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" w:before="0" w:line="250"/>
        <w:jc w:val="right"/>
      </w:pPr>
      <w:r>
        <w:rPr>
          <w:rFonts w:ascii="David" w:cs="David" w:eastAsia="David" w:hAnsi="David"/>
          <w:b/>
          <w:bCs/>
          <w:color w:val="1F3864"/>
          <w:sz w:val="18"/>
          <w:szCs w:val="18"/>
          <w:rtl/>
        </w:rPr>
        <w:t xml:space="preserve">בס"ד</w:t>
      </w:r>
    </w:p>
    <w:p>
      <w:pPr>
        <w:bidi/>
        <w:spacing w:after="40" w:before="0" w:line="300"/>
        <w:jc w:val="center"/>
      </w:pPr>
      <w:r>
        <w:rPr>
          <w:rFonts w:ascii="FrankRuehl" w:cs="FrankRuehl" w:eastAsia="FrankRuehl" w:hAnsi="FrankRuehl"/>
          <w:b/>
          <w:bCs/>
          <w:color w:val="1F3864"/>
          <w:sz w:val="52"/>
          <w:szCs w:val="52"/>
          <w:rtl/>
        </w:rPr>
        <w:t xml:space="preserve">סדר לימוד הלכות</w:t>
      </w:r>
    </w:p>
    <w:p>
      <w:pPr>
        <w:bidi/>
        <w:spacing w:after="40" w:before="0" w:line="250"/>
        <w:jc w:val="center"/>
      </w:pPr>
      <w:r>
        <w:rPr>
          <w:rFonts w:ascii="FrankRuehl" w:cs="FrankRuehl" w:eastAsia="FrankRuehl" w:hAnsi="FrankRuehl"/>
          <w:b/>
          <w:bCs/>
          <w:color w:val="B8862B"/>
          <w:sz w:val="28"/>
          <w:szCs w:val="28"/>
          <w:rtl/>
        </w:rPr>
        <w:t xml:space="preserve">ברכות  ·  קריאת שמע  ·  תפילה</w:t>
      </w:r>
    </w:p>
    <w:p>
      <w:pPr>
        <w:pBdr>
          <w:bottom w:val="double" w:color="1F3864" w:sz="6" w:space="4"/>
        </w:pBdr>
        <w:bidi/>
        <w:spacing w:after="40" w:before="0" w:line="250"/>
        <w:jc w:val="center"/>
      </w:pPr>
      <w:r>
        <w:rPr>
          <w:rFonts w:ascii="David" w:cs="David" w:eastAsia="David" w:hAnsi="David"/>
          <w:i/>
          <w:iCs/>
          <w:color w:val="595959"/>
          <w:sz w:val="20"/>
          <w:szCs w:val="20"/>
          <w:rtl/>
        </w:rPr>
        <w:t xml:space="preserve">ט"ל שבועות של לימוד</w:t>
      </w:r>
    </w:p>
    <w:p>
      <w:pPr>
        <w:pBdr>
          <w:bottom w:val="single" w:color="B8862B" w:sz="12" w:space="2"/>
        </w:pBdr>
        <w:bidi/>
        <w:spacing w:after="100" w:before="260" w:line="250"/>
        <w:jc w:val="right"/>
      </w:pPr>
      <w:r>
        <w:rPr>
          <w:rFonts w:ascii="David" w:cs="David" w:eastAsia="David" w:hAnsi="David"/>
          <w:color w:val="B8862B"/>
          <w:sz w:val="18"/>
          <w:szCs w:val="18"/>
          <w:rtl/>
        </w:rPr>
        <w:t xml:space="preserve">◆  </w:t>
      </w:r>
      <w:r>
        <w:rPr>
          <w:rFonts w:ascii="FrankRuehl" w:cs="FrankRuehl" w:eastAsia="FrankRuehl" w:hAnsi="FrankRuehl"/>
          <w:b/>
          <w:bCs/>
          <w:color w:val="1F3864"/>
          <w:sz w:val="30"/>
          <w:szCs w:val="30"/>
          <w:rtl/>
        </w:rPr>
        <w:t xml:space="preserve">ברכות וקריאת שמע</w:t>
      </w:r>
    </w:p>
    <w:tbl>
      <w:tblPr>
        <w:bidiVisual/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8866"/>
      </w:tblGrid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א'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הלכה א' על חשיבות הקימה בזריזות והכנה לתפילה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וביאור ההלכה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שש מצוות תמידיות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ה'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כוונת הברכות וההסבר "גדול העונה אמן יותר מן המברך" כולל את שני השמות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ו'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ההסבר של ברכת אשר יצר, בפרוטרוט כל הפירושים והדיוקים עפ"י הגר"א בביאור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הגר"א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מו'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FrankRuehl" w:cs="FrankRuehl" w:eastAsia="FrankRuehl" w:hAnsi="FrankRuehl"/>
                <w:b/>
                <w:bCs/>
                <w:color w:val="B8862B"/>
                <w:sz w:val="24"/>
                <w:szCs w:val="24"/>
                <w:rtl/>
              </w:rPr>
              <w:t xml:space="preserve">ברכות השחר</w:t>
            </w:r>
            <w:r>
              <w:rPr>
                <w:rFonts w:ascii="David" w:cs="David" w:eastAsia="David" w:hAnsi="David"/>
                <w:color w:val="B8862B"/>
                <w:sz w:val="22"/>
                <w:szCs w:val="22"/>
                <w:rtl/>
              </w:rPr>
              <w:t xml:space="preserve">  · 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ט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סעיפים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שלוש שבועות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שבוע שלם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על מאה ברכות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הלכה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מז'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FrankRuehl" w:cs="FrankRuehl" w:eastAsia="FrankRuehl" w:hAnsi="FrankRuehl"/>
                <w:b/>
                <w:bCs/>
                <w:color w:val="B8862B"/>
                <w:sz w:val="24"/>
                <w:szCs w:val="24"/>
                <w:rtl/>
              </w:rPr>
              <w:t xml:space="preserve">ברכות התורה</w:t>
            </w:r>
            <w:r>
              <w:rPr>
                <w:rFonts w:ascii="David" w:cs="David" w:eastAsia="David" w:hAnsi="David"/>
                <w:color w:val="B8862B"/>
                <w:sz w:val="22"/>
                <w:szCs w:val="22"/>
                <w:rtl/>
              </w:rPr>
              <w:t xml:space="preserve">  ·  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ובו יד סעיפים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שלש שבועות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מה נחשב הפסק וההבדל בין אהבה רבה לברכות התורה עם חלק מביאור הגר"א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מח'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FrankRuehl" w:cs="FrankRuehl" w:eastAsia="FrankRuehl" w:hAnsi="FrankRuehl"/>
                <w:b/>
                <w:bCs/>
                <w:color w:val="B8862B"/>
                <w:sz w:val="24"/>
                <w:szCs w:val="24"/>
                <w:rtl/>
              </w:rPr>
              <w:t xml:space="preserve">כל עצמותי תאמרנה</w:t>
            </w:r>
            <w:r>
              <w:rPr>
                <w:rFonts w:ascii="David" w:cs="David" w:eastAsia="David" w:hAnsi="David"/>
                <w:color w:val="B8862B"/>
                <w:sz w:val="22"/>
                <w:szCs w:val="22"/>
                <w:rtl/>
              </w:rPr>
              <w:t xml:space="preserve">  ·  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סימן מח' שבוע אחד הרמ"א, והמחבר. והחשיבות של להתנוענע בפסד"ז ובלימוד התורה הקדושה וכו'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מט'–נ'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FrankRuehl" w:cs="FrankRuehl" w:eastAsia="FrankRuehl" w:hAnsi="FrankRuehl"/>
                <w:b/>
                <w:bCs/>
                <w:color w:val="B8862B"/>
                <w:sz w:val="24"/>
                <w:szCs w:val="24"/>
                <w:rtl/>
              </w:rPr>
              <w:t xml:space="preserve">פרשת התמיד וכו'</w:t>
            </w:r>
            <w:r>
              <w:rPr>
                <w:rFonts w:ascii="David" w:cs="David" w:eastAsia="David" w:hAnsi="David"/>
                <w:color w:val="B8862B"/>
                <w:sz w:val="22"/>
                <w:szCs w:val="22"/>
                <w:rtl/>
              </w:rPr>
              <w:t xml:space="preserve">  · 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בשבוע אחד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עם סיכום כל השיטות של דברים שבכתב אי אתה רשאי לאומרם על פה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נא'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שני שבועות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עם הדגשה של החשיבות של לא לדבר ולהפסיק אחרי ברוך שאמר וחשיבות מזמור לתודה ושלא להפסיק בין ישתבח ליוצר אור... חוזר מערכי המלחמה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ס'–סח'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FrankRuehl" w:cs="FrankRuehl" w:eastAsia="FrankRuehl" w:hAnsi="FrankRuehl"/>
                <w:b/>
                <w:bCs/>
                <w:color w:val="B8862B"/>
                <w:sz w:val="24"/>
                <w:szCs w:val="24"/>
                <w:rtl/>
              </w:rPr>
              <w:t xml:space="preserve">קריאת שמע</w:t>
            </w:r>
            <w:r>
              <w:rPr>
                <w:rFonts w:ascii="David" w:cs="David" w:eastAsia="David" w:hAnsi="David"/>
                <w:color w:val="B8862B"/>
                <w:sz w:val="22"/>
                <w:szCs w:val="22"/>
                <w:rtl/>
              </w:rPr>
              <w:t xml:space="preserve">  ·  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מסימן ס' ועד סח' ועד בכלל,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במשך כעשרה שבועות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כדי לקבל עלינו עול מלכות שמים, כולל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מצוות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צריכות כוונה זמן קר"ש שלא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להתעסק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בק"ש מה כולל קר"ש עשרת הדברות...</w:t>
            </w:r>
          </w:p>
        </w:tc>
      </w:tr>
    </w:tbl>
    <w:p>
      <w:pPr>
        <w:pBdr>
          <w:bottom w:val="single" w:color="B8862B" w:sz="12" w:space="2"/>
        </w:pBdr>
        <w:bidi/>
        <w:spacing w:after="100" w:before="260" w:line="250"/>
        <w:jc w:val="right"/>
      </w:pPr>
      <w:r>
        <w:rPr>
          <w:rFonts w:ascii="David" w:cs="David" w:eastAsia="David" w:hAnsi="David"/>
          <w:color w:val="B8862B"/>
          <w:sz w:val="18"/>
          <w:szCs w:val="18"/>
          <w:rtl/>
        </w:rPr>
        <w:t xml:space="preserve">◆  </w:t>
      </w:r>
      <w:r>
        <w:rPr>
          <w:rFonts w:ascii="FrankRuehl" w:cs="FrankRuehl" w:eastAsia="FrankRuehl" w:hAnsi="FrankRuehl"/>
          <w:b/>
          <w:bCs/>
          <w:color w:val="1F3864"/>
          <w:sz w:val="30"/>
          <w:szCs w:val="30"/>
          <w:rtl/>
        </w:rPr>
        <w:t xml:space="preserve">תפילה</w:t>
      </w:r>
    </w:p>
    <w:tbl>
      <w:tblPr>
        <w:bidiVisual/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8866"/>
      </w:tblGrid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פט'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ובו ח' סעיפים,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במשך שבועיים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כולל זמן תפילה הקדמת שלו ואיסור אכילה ושתיה לפני התפילה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צ'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כז' סעיפים, </w:t>
            </w: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לאו דווקא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את כל הסימן עם הדגשה על הלכה יד טו שלוש שבועות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צא'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שבוע אחד עם הדגשה של חשיבות כובע וחליפה בתפילה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צב'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שבוע אחד מה שמתאים ללמוד בעיקר הלכה ב' ג' ד'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צג'–צד'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שבוע אחד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צה'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שבוע אחד עם הדגשה על חשיבות של קדושה לכוון רגליו וכו'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צו'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שבוע אחד עם הדגשה כל חשיבות להתפלל מתוך סידור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צח'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b/>
                <w:bCs/>
                <w:color w:val="1F3864"/>
                <w:sz w:val="23"/>
                <w:szCs w:val="23"/>
                <w:rtl/>
              </w:rPr>
              <w:t xml:space="preserve">חשוב ביותר</w:t>
            </w: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 בעיקר הלכה ג' וד' עם משנה ברורה, שבוע אחד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קא'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הלכה א' ב' שבוע אחד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קב'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חשוב מאד שבוע אחד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קטו'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FFFFF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בינה זו אתה חונן שבוע אחד בינה ר"ת בשמיים, יין, נר הבדלה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FFFFFF" w:sz="4"/>
              <w:left w:val="none" w:color="FFFFFF" w:sz="0"/>
              <w:bottom w:val="single" w:color="FFFFFF" w:sz="4"/>
              <w:right w:val="none" w:color="FFFFFF" w:sz="0"/>
            </w:tcBorders>
            <w:shd w:fill="1F3864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center"/>
            </w:pPr>
            <w:r>
              <w:rPr>
                <w:rFonts w:ascii="David" w:cs="David" w:eastAsia="David" w:hAnsi="David"/>
                <w:color w:val="D9C48F"/>
                <w:sz w:val="16"/>
                <w:szCs w:val="16"/>
                <w:rtl/>
              </w:rPr>
              <w:t xml:space="preserve">סימן </w:t>
            </w:r>
            <w:r>
              <w:rPr>
                <w:rFonts w:ascii="FrankRuehl" w:cs="FrankRuehl" w:eastAsia="FrankRuehl" w:hAnsi="FrankRuehl"/>
                <w:b/>
                <w:bCs/>
                <w:color w:val="FFFFFF"/>
                <w:sz w:val="25"/>
                <w:szCs w:val="25"/>
                <w:rtl/>
              </w:rPr>
              <w:t xml:space="preserve">קכה'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D9CFB4" w:sz="4"/>
              <w:right w:val="none" w:color="FFFFFF" w:sz="0"/>
            </w:tcBorders>
            <w:shd w:fill="FAF8F2" w:color="auto" w:val="clear"/>
            <w:tcMar>
              <w:top w:type="dxa" w:w="95"/>
              <w:left w:type="dxa" w:w="140"/>
              <w:bottom w:type="dxa" w:w="95"/>
              <w:right w:type="dxa" w:w="140"/>
            </w:tcMar>
            <w:vAlign w:val="center"/>
          </w:tcPr>
          <w:p>
            <w:pPr>
              <w:bidi/>
              <w:spacing w:after="0" w:before="0" w:line="250"/>
              <w:jc w:val="right"/>
            </w:pPr>
            <w:r>
              <w:rPr>
                <w:rFonts w:ascii="David" w:cs="David" w:eastAsia="David" w:hAnsi="David"/>
                <w:sz w:val="23"/>
                <w:szCs w:val="23"/>
                <w:rtl/>
              </w:rPr>
              <w:t xml:space="preserve">דיני קדושה עם הציבור והנחת רוח להקב"ה באמירת קדושה</w:t>
            </w:r>
          </w:p>
        </w:tc>
      </w:tr>
    </w:tbl>
    <w:p>
      <w:pPr>
        <w:pBdr>
          <w:top w:val="single" w:color="B8862B" w:sz="8" w:space="6"/>
        </w:pBdr>
        <w:bidi/>
        <w:spacing w:after="0" w:before="200" w:line="250"/>
        <w:jc w:val="center"/>
      </w:pPr>
      <w:r>
        <w:rPr>
          <w:rFonts w:ascii="David" w:cs="David" w:eastAsia="David" w:hAnsi="David"/>
          <w:color w:val="1F3864"/>
          <w:sz w:val="21"/>
          <w:szCs w:val="21"/>
          <w:rtl/>
        </w:rPr>
        <w:t xml:space="preserve">הרי לך ט"ל שבועות של לימוד הלכות ברכות קריאת שמע ותפילה,</w:t>
      </w:r>
    </w:p>
    <w:p>
      <w:pPr>
        <w:pBdr>
          <w:bottom w:val="single" w:color="B8862B" w:sz="8" w:space="6"/>
        </w:pBdr>
        <w:bidi/>
        <w:spacing w:after="0" w:before="40" w:line="250"/>
        <w:jc w:val="center"/>
      </w:pPr>
      <w:r>
        <w:rPr>
          <w:rFonts w:ascii="FrankRuehl" w:cs="FrankRuehl" w:eastAsia="FrankRuehl" w:hAnsi="FrankRuehl"/>
          <w:b/>
          <w:bCs/>
          <w:color w:val="B8862B"/>
          <w:sz w:val="26"/>
          <w:szCs w:val="26"/>
          <w:rtl/>
        </w:rPr>
        <w:t xml:space="preserve">"תן לך טל ילדותיך"</w:t>
      </w:r>
      <w:r>
        <w:rPr>
          <w:rFonts w:ascii="David" w:cs="David" w:eastAsia="David" w:hAnsi="David"/>
          <w:b/>
          <w:bCs/>
          <w:color w:val="1F3864"/>
          <w:sz w:val="21"/>
          <w:szCs w:val="21"/>
          <w:rtl/>
        </w:rPr>
        <w:t xml:space="preserve"> לרומם ולהדר את הדבר העומד ברומו של עולם.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0"/>
        <w:szCs w:val="20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2026-10-20T02:37:37.593Z</dcterms:created>
  <dcterms:modified xsi:type="dcterms:W3CDTF">2026-10-20T02:37:37.594Z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