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ABFC" w14:textId="3D9BE85F" w:rsidR="002F5A1A" w:rsidRDefault="002F5A1A" w:rsidP="002F5A1A">
      <w:pPr>
        <w:bidi/>
        <w:spacing w:before="600" w:after="240"/>
        <w:jc w:val="center"/>
        <w:rPr>
          <w:rFonts w:ascii="BA Franknatan Bold" w:hAnsi="BA Franknatan Bold" w:cs="EFT_Algebra"/>
          <w:spacing w:val="20"/>
          <w:sz w:val="70"/>
          <w:szCs w:val="70"/>
          <w:rtl/>
        </w:rPr>
      </w:pPr>
    </w:p>
    <w:p w14:paraId="2E778ED8" w14:textId="03572515" w:rsidR="00236B03" w:rsidRPr="002F5A1A" w:rsidRDefault="00236B03" w:rsidP="002F5A1A">
      <w:pPr>
        <w:bidi/>
        <w:spacing w:before="600" w:after="240"/>
        <w:jc w:val="center"/>
        <w:rPr>
          <w:rFonts w:ascii="BA Franknatan Bold" w:hAnsi="BA Franknatan Bold" w:cs="EFT_Algebra"/>
          <w:b/>
          <w:bCs/>
          <w:color w:val="404040" w:themeColor="text1" w:themeTint="BF"/>
          <w:spacing w:val="30"/>
          <w:sz w:val="70"/>
          <w:szCs w:val="70"/>
          <w:rtl/>
        </w:rPr>
      </w:pPr>
    </w:p>
    <w:p w14:paraId="7FCA9D99" w14:textId="60F17D93" w:rsidR="002F5A1A" w:rsidRPr="002F5A1A" w:rsidRDefault="002F5A1A" w:rsidP="002F5A1A">
      <w:pPr>
        <w:bidi/>
        <w:spacing w:before="600" w:after="320"/>
        <w:jc w:val="center"/>
        <w:rPr>
          <w:rFonts w:ascii="BA Franknatan Bold" w:hAnsi="BA Franknatan Bold" w:cs="RimonMF"/>
          <w:color w:val="404040" w:themeColor="text1" w:themeTint="BF"/>
          <w:sz w:val="54"/>
          <w:szCs w:val="54"/>
          <w:rtl/>
        </w:rPr>
      </w:pPr>
      <w:r w:rsidRPr="002F5A1A">
        <w:rPr>
          <w:rFonts w:ascii="BA Franknatan Bold" w:hAnsi="BA Franknatan Bold" w:cs="RimonMF"/>
          <w:color w:val="404040" w:themeColor="text1" w:themeTint="BF"/>
          <w:sz w:val="54"/>
          <w:szCs w:val="54"/>
          <w:rtl/>
        </w:rPr>
        <w:t>סימן סה</w:t>
      </w:r>
    </w:p>
    <w:p w14:paraId="7E7FCF2F" w14:textId="46BED3A3" w:rsidR="00240203" w:rsidRPr="00240203" w:rsidRDefault="00240203" w:rsidP="00240203">
      <w:pPr>
        <w:pStyle w:val="afd"/>
        <w:rPr>
          <w:rtl/>
        </w:rPr>
      </w:pPr>
      <w:r w:rsidRPr="00240203">
        <w:rPr>
          <w:rtl/>
        </w:rPr>
        <mc:AlternateContent>
          <mc:Choice Requires="wps">
            <w:drawing>
              <wp:inline distT="0" distB="0" distL="0" distR="0" wp14:anchorId="083C2747" wp14:editId="06BB832C">
                <wp:extent cx="107950" cy="71755"/>
                <wp:effectExtent l="0" t="0" r="6350" b="4445"/>
                <wp:docPr id="311697749"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B97C1B9"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sidRPr="00240203">
        <w:rPr>
          <w:rFonts w:hint="cs"/>
          <w:rtl/>
        </w:rPr>
        <w:t xml:space="preserve"> א </w:t>
      </w:r>
      <w:r w:rsidRPr="00240203">
        <w:rPr>
          <w:rtl/>
        </w:rPr>
        <mc:AlternateContent>
          <mc:Choice Requires="wps">
            <w:drawing>
              <wp:inline distT="0" distB="0" distL="0" distR="0" wp14:anchorId="62A3E12F" wp14:editId="4402BCBD">
                <wp:extent cx="108000" cy="71755"/>
                <wp:effectExtent l="0" t="0" r="6350" b="4445"/>
                <wp:docPr id="107544094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AC33D13"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5D5B5835" w14:textId="532B6228" w:rsidR="002F5A1A" w:rsidRDefault="002F5A1A" w:rsidP="00240203">
      <w:pPr>
        <w:pStyle w:val="afa"/>
        <w:rPr>
          <w:rFonts w:ascii="Times New Roman (כותרות עבריות)" w:hAnsi="Times New Roman (כותרות עבריות)"/>
        </w:rPr>
      </w:pPr>
      <w:r w:rsidRPr="002F5A1A">
        <w:rPr>
          <w:rtl/>
        </w:rPr>
        <w:t>יש לתמוה אין היה מותר לר' אבהו [כמבואר ברכות כד: ר״ה לד:] להפסיק באמצע קר"ש</w:t>
      </w:r>
      <w:r w:rsidRPr="002F5A1A">
        <w:rPr>
          <w:rFonts w:hint="cs"/>
          <w:rtl/>
        </w:rPr>
        <w:t xml:space="preserve"> </w:t>
      </w:r>
      <w:r w:rsidRPr="002F5A1A">
        <w:rPr>
          <w:rtl/>
        </w:rPr>
        <w:t>1</w:t>
      </w:r>
      <w:r w:rsidRPr="002F5A1A">
        <w:t>.</w:t>
      </w:r>
      <w:r w:rsidRPr="002F5A1A">
        <w:rPr>
          <w:rtl/>
        </w:rPr>
        <w:t xml:space="preserve"> ולעבור וללכת במקום מטונף, 2. איך הותר לו להפסיק באמצע קר"ש ולשאול שאלה הלכתית באמצע קר״ש</w:t>
      </w:r>
      <w:r w:rsidRPr="002F5A1A">
        <w:rPr>
          <w:rFonts w:ascii="Times New Roman (כותרות עבריות)" w:hAnsi="Times New Roman (כותרות עבריות)"/>
          <w:rtl/>
        </w:rPr>
        <w:t>?</w:t>
      </w:r>
    </w:p>
    <w:bookmarkStart w:id="0" w:name="_Hlk215952074"/>
    <w:p w14:paraId="56680A40" w14:textId="3A26D9BE" w:rsidR="00240203" w:rsidRPr="002F5A1A" w:rsidRDefault="00240203" w:rsidP="00240203">
      <w:pPr>
        <w:pStyle w:val="afd"/>
        <w:rPr>
          <w:rtl/>
        </w:rPr>
      </w:pPr>
      <w:r>
        <w:rPr>
          <w:rtl/>
        </w:rPr>
        <mc:AlternateContent>
          <mc:Choice Requires="wps">
            <w:drawing>
              <wp:inline distT="0" distB="0" distL="0" distR="0" wp14:anchorId="62CB323A" wp14:editId="17DCFCAF">
                <wp:extent cx="107950" cy="71755"/>
                <wp:effectExtent l="0" t="0" r="6350" b="4445"/>
                <wp:docPr id="99913742"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C087A97"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ב </w:t>
      </w:r>
      <w:r>
        <w:rPr>
          <w:rtl/>
        </w:rPr>
        <mc:AlternateContent>
          <mc:Choice Requires="wps">
            <w:drawing>
              <wp:inline distT="0" distB="0" distL="0" distR="0" wp14:anchorId="7877B8CA" wp14:editId="23F90F93">
                <wp:extent cx="108000" cy="71755"/>
                <wp:effectExtent l="0" t="0" r="6350" b="4445"/>
                <wp:docPr id="1601507339"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FC8E6C7"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bookmarkEnd w:id="0"/>
    <w:p w14:paraId="1453D84D" w14:textId="1B497736" w:rsidR="002F5A1A" w:rsidRDefault="002F5A1A" w:rsidP="00240203">
      <w:pPr>
        <w:pStyle w:val="afa"/>
      </w:pPr>
      <w:r w:rsidRPr="002F5A1A">
        <w:rPr>
          <w:rtl/>
        </w:rPr>
        <w:t>בדעת</w:t>
      </w:r>
      <w:r w:rsidR="00240203" w:rsidRPr="00240203">
        <w:rPr>
          <w:rtl/>
        </w:rPr>
        <w:t xml:space="preserve"> </w:t>
      </w:r>
      <w:r w:rsidRPr="002F5A1A">
        <w:rPr>
          <w:rtl/>
        </w:rPr>
        <w:t>הר״ש</w:t>
      </w:r>
      <w:r w:rsidR="00240203" w:rsidRPr="00240203">
        <w:rPr>
          <w:rtl/>
        </w:rPr>
        <w:t xml:space="preserve"> </w:t>
      </w:r>
      <w:r w:rsidRPr="002F5A1A">
        <w:rPr>
          <w:rtl/>
        </w:rPr>
        <w:t>מקוצי</w:t>
      </w:r>
      <w:r w:rsidR="00240203" w:rsidRPr="00240203">
        <w:rPr>
          <w:rtl/>
        </w:rPr>
        <w:t xml:space="preserve"> </w:t>
      </w:r>
      <w:r w:rsidRPr="002F5A1A">
        <w:rPr>
          <w:rtl/>
        </w:rPr>
        <w:t>[שהובא</w:t>
      </w:r>
      <w:r w:rsidR="00240203" w:rsidRPr="00240203">
        <w:rPr>
          <w:rtl/>
        </w:rPr>
        <w:t xml:space="preserve"> </w:t>
      </w:r>
      <w:r w:rsidRPr="002F5A1A">
        <w:rPr>
          <w:rtl/>
        </w:rPr>
        <w:t>בתוס'</w:t>
      </w:r>
      <w:r w:rsidR="00240203" w:rsidRPr="00240203">
        <w:rPr>
          <w:rtl/>
        </w:rPr>
        <w:t xml:space="preserve"> </w:t>
      </w:r>
      <w:r w:rsidRPr="002F5A1A">
        <w:rPr>
          <w:rtl/>
        </w:rPr>
        <w:t>כב:</w:t>
      </w:r>
      <w:r w:rsidR="00240203" w:rsidRPr="00240203">
        <w:rPr>
          <w:rtl/>
        </w:rPr>
        <w:t xml:space="preserve"> </w:t>
      </w:r>
      <w:r w:rsidRPr="002F5A1A">
        <w:rPr>
          <w:rtl/>
        </w:rPr>
        <w:t>ר״ה</w:t>
      </w:r>
      <w:r w:rsidR="00240203" w:rsidRPr="00240203">
        <w:rPr>
          <w:rtl/>
        </w:rPr>
        <w:t xml:space="preserve"> </w:t>
      </w:r>
      <w:r w:rsidRPr="002F5A1A">
        <w:rPr>
          <w:rtl/>
        </w:rPr>
        <w:t>לד:]</w:t>
      </w:r>
      <w:r w:rsidR="00240203" w:rsidRPr="00240203">
        <w:rPr>
          <w:rtl/>
        </w:rPr>
        <w:t xml:space="preserve"> </w:t>
      </w:r>
      <w:r w:rsidRPr="002F5A1A">
        <w:rPr>
          <w:rtl/>
        </w:rPr>
        <w:t>שס"ל</w:t>
      </w:r>
      <w:r w:rsidR="00240203" w:rsidRPr="00240203">
        <w:rPr>
          <w:rtl/>
        </w:rPr>
        <w:t xml:space="preserve"> </w:t>
      </w:r>
      <w:r w:rsidRPr="002F5A1A">
        <w:rPr>
          <w:rtl/>
        </w:rPr>
        <w:t>שבגברא</w:t>
      </w:r>
      <w:r w:rsidR="00240203" w:rsidRPr="00240203">
        <w:rPr>
          <w:rtl/>
        </w:rPr>
        <w:t xml:space="preserve"> </w:t>
      </w:r>
      <w:r w:rsidRPr="002F5A1A">
        <w:rPr>
          <w:rtl/>
        </w:rPr>
        <w:t>לא</w:t>
      </w:r>
      <w:r w:rsidR="00240203" w:rsidRPr="00240203">
        <w:rPr>
          <w:rtl/>
        </w:rPr>
        <w:t xml:space="preserve"> </w:t>
      </w:r>
      <w:r w:rsidRPr="002F5A1A">
        <w:rPr>
          <w:rtl/>
        </w:rPr>
        <w:t>חזי</w:t>
      </w:r>
      <w:r w:rsidR="00240203" w:rsidRPr="00240203">
        <w:rPr>
          <w:rtl/>
        </w:rPr>
        <w:t xml:space="preserve"> </w:t>
      </w:r>
      <w:r w:rsidRPr="002F5A1A">
        <w:rPr>
          <w:rtl/>
        </w:rPr>
        <w:t>אמרינן</w:t>
      </w:r>
      <w:r w:rsidR="00240203" w:rsidRPr="00240203">
        <w:rPr>
          <w:rtl/>
        </w:rPr>
        <w:t xml:space="preserve"> </w:t>
      </w:r>
      <w:r w:rsidRPr="002F5A1A">
        <w:rPr>
          <w:rtl/>
        </w:rPr>
        <w:t>שאז</w:t>
      </w:r>
      <w:r w:rsidR="00240203" w:rsidRPr="00240203">
        <w:rPr>
          <w:rtl/>
        </w:rPr>
        <w:t xml:space="preserve"> </w:t>
      </w:r>
      <w:r w:rsidRPr="002F5A1A">
        <w:rPr>
          <w:rtl/>
        </w:rPr>
        <w:t>אם</w:t>
      </w:r>
      <w:r w:rsidR="00240203" w:rsidRPr="00240203">
        <w:rPr>
          <w:rtl/>
        </w:rPr>
        <w:t xml:space="preserve"> </w:t>
      </w:r>
      <w:r w:rsidRPr="002F5A1A">
        <w:rPr>
          <w:rtl/>
        </w:rPr>
        <w:t>שהה</w:t>
      </w:r>
      <w:r w:rsidR="00240203" w:rsidRPr="00240203">
        <w:rPr>
          <w:rtl/>
        </w:rPr>
        <w:t xml:space="preserve"> </w:t>
      </w:r>
      <w:r w:rsidRPr="002F5A1A">
        <w:rPr>
          <w:rtl/>
        </w:rPr>
        <w:t>לגמור</w:t>
      </w:r>
      <w:r w:rsidR="00240203" w:rsidRPr="00240203">
        <w:rPr>
          <w:rtl/>
        </w:rPr>
        <w:t xml:space="preserve"> </w:t>
      </w:r>
      <w:r w:rsidRPr="002F5A1A">
        <w:rPr>
          <w:rtl/>
        </w:rPr>
        <w:t>את</w:t>
      </w:r>
      <w:r w:rsidR="00240203" w:rsidRPr="00240203">
        <w:rPr>
          <w:rtl/>
        </w:rPr>
        <w:t xml:space="preserve"> </w:t>
      </w:r>
      <w:r w:rsidRPr="002F5A1A">
        <w:rPr>
          <w:rtl/>
        </w:rPr>
        <w:t>כולה</w:t>
      </w:r>
      <w:r w:rsidR="00240203" w:rsidRPr="00240203">
        <w:rPr>
          <w:rtl/>
        </w:rPr>
        <w:t xml:space="preserve"> </w:t>
      </w:r>
      <w:r w:rsidRPr="002F5A1A">
        <w:rPr>
          <w:rtl/>
        </w:rPr>
        <w:t>חוזר</w:t>
      </w:r>
      <w:r w:rsidR="00240203" w:rsidRPr="00240203">
        <w:rPr>
          <w:rtl/>
        </w:rPr>
        <w:t xml:space="preserve"> </w:t>
      </w:r>
      <w:r w:rsidRPr="002F5A1A">
        <w:rPr>
          <w:rtl/>
        </w:rPr>
        <w:t>לראש</w:t>
      </w:r>
      <w:r w:rsidR="00240203" w:rsidRPr="00240203">
        <w:rPr>
          <w:rtl/>
        </w:rPr>
        <w:t xml:space="preserve"> </w:t>
      </w:r>
      <w:r w:rsidRPr="002F5A1A">
        <w:rPr>
          <w:rtl/>
        </w:rPr>
        <w:t>1.</w:t>
      </w:r>
      <w:r w:rsidR="00240203" w:rsidRPr="00240203">
        <w:rPr>
          <w:rtl/>
        </w:rPr>
        <w:t xml:space="preserve"> </w:t>
      </w:r>
      <w:r w:rsidRPr="002F5A1A">
        <w:rPr>
          <w:rtl/>
        </w:rPr>
        <w:t>מהו</w:t>
      </w:r>
      <w:r w:rsidR="00240203" w:rsidRPr="00240203">
        <w:rPr>
          <w:rtl/>
        </w:rPr>
        <w:t xml:space="preserve"> </w:t>
      </w:r>
      <w:r w:rsidRPr="002F5A1A">
        <w:rPr>
          <w:rtl/>
        </w:rPr>
        <w:t>החיסרון</w:t>
      </w:r>
      <w:r w:rsidR="00240203" w:rsidRPr="00240203">
        <w:rPr>
          <w:rtl/>
        </w:rPr>
        <w:t xml:space="preserve"> </w:t>
      </w:r>
      <w:r w:rsidRPr="002F5A1A">
        <w:rPr>
          <w:rtl/>
        </w:rPr>
        <w:t>שיש</w:t>
      </w:r>
      <w:r w:rsidR="00240203" w:rsidRPr="00240203">
        <w:rPr>
          <w:rtl/>
        </w:rPr>
        <w:t xml:space="preserve"> </w:t>
      </w:r>
      <w:r w:rsidRPr="002F5A1A">
        <w:rPr>
          <w:rtl/>
        </w:rPr>
        <w:t>בגברא</w:t>
      </w:r>
      <w:r w:rsidR="00240203" w:rsidRPr="00240203">
        <w:rPr>
          <w:rtl/>
        </w:rPr>
        <w:t xml:space="preserve"> </w:t>
      </w:r>
      <w:r w:rsidRPr="002F5A1A">
        <w:rPr>
          <w:rtl/>
        </w:rPr>
        <w:t>לא</w:t>
      </w:r>
      <w:r w:rsidR="00240203" w:rsidRPr="00240203">
        <w:rPr>
          <w:rtl/>
        </w:rPr>
        <w:t xml:space="preserve"> </w:t>
      </w:r>
      <w:r w:rsidRPr="002F5A1A">
        <w:rPr>
          <w:rtl/>
        </w:rPr>
        <w:t>חזי</w:t>
      </w:r>
      <w:r w:rsidR="00240203" w:rsidRPr="00240203">
        <w:rPr>
          <w:rtl/>
        </w:rPr>
        <w:t xml:space="preserve"> </w:t>
      </w:r>
      <w:r w:rsidRPr="002F5A1A">
        <w:rPr>
          <w:rtl/>
        </w:rPr>
        <w:t>שבו</w:t>
      </w:r>
      <w:r w:rsidR="00240203" w:rsidRPr="00240203">
        <w:rPr>
          <w:rtl/>
        </w:rPr>
        <w:t xml:space="preserve"> </w:t>
      </w:r>
      <w:r w:rsidRPr="002F5A1A">
        <w:rPr>
          <w:rtl/>
        </w:rPr>
        <w:t>אמרינן</w:t>
      </w:r>
      <w:r w:rsidR="00240203" w:rsidRPr="00240203">
        <w:rPr>
          <w:rtl/>
        </w:rPr>
        <w:t xml:space="preserve"> </w:t>
      </w:r>
      <w:r w:rsidRPr="002F5A1A">
        <w:rPr>
          <w:rtl/>
        </w:rPr>
        <w:t>שהוא</w:t>
      </w:r>
      <w:r w:rsidR="00240203" w:rsidRPr="00240203">
        <w:rPr>
          <w:rtl/>
        </w:rPr>
        <w:t xml:space="preserve"> </w:t>
      </w:r>
      <w:r w:rsidRPr="002F5A1A">
        <w:rPr>
          <w:rtl/>
        </w:rPr>
        <w:t>אכן</w:t>
      </w:r>
      <w:r w:rsidR="00240203" w:rsidRPr="00240203">
        <w:rPr>
          <w:rtl/>
        </w:rPr>
        <w:t xml:space="preserve"> </w:t>
      </w:r>
      <w:r w:rsidRPr="002F5A1A">
        <w:rPr>
          <w:rtl/>
        </w:rPr>
        <w:t>חוזר</w:t>
      </w:r>
      <w:r w:rsidR="00240203" w:rsidRPr="00240203">
        <w:rPr>
          <w:rtl/>
        </w:rPr>
        <w:t xml:space="preserve"> </w:t>
      </w:r>
      <w:r w:rsidRPr="002F5A1A">
        <w:rPr>
          <w:rtl/>
        </w:rPr>
        <w:t>לראש</w:t>
      </w:r>
      <w:r w:rsidR="00240203" w:rsidRPr="00240203">
        <w:rPr>
          <w:rtl/>
        </w:rPr>
        <w:t xml:space="preserve"> </w:t>
      </w:r>
      <w:r w:rsidRPr="002F5A1A">
        <w:rPr>
          <w:rtl/>
        </w:rPr>
        <w:t>יותר</w:t>
      </w:r>
      <w:r w:rsidR="00240203" w:rsidRPr="00240203">
        <w:rPr>
          <w:rtl/>
        </w:rPr>
        <w:t xml:space="preserve"> </w:t>
      </w:r>
      <w:r w:rsidRPr="002F5A1A">
        <w:rPr>
          <w:rtl/>
        </w:rPr>
        <w:t>מבסתם</w:t>
      </w:r>
      <w:r w:rsidR="00240203" w:rsidRPr="00240203">
        <w:rPr>
          <w:rtl/>
        </w:rPr>
        <w:t xml:space="preserve"> </w:t>
      </w:r>
      <w:r w:rsidRPr="00240203">
        <w:rPr>
          <w:rtl/>
        </w:rPr>
        <w:t>שהה</w:t>
      </w:r>
      <w:r w:rsidR="00240203" w:rsidRPr="00240203">
        <w:rPr>
          <w:rtl/>
        </w:rPr>
        <w:t xml:space="preserve"> </w:t>
      </w:r>
      <w:r w:rsidRPr="002F5A1A">
        <w:rPr>
          <w:rtl/>
        </w:rPr>
        <w:t>לגמור</w:t>
      </w:r>
      <w:r w:rsidR="00240203" w:rsidRPr="00240203">
        <w:rPr>
          <w:rtl/>
        </w:rPr>
        <w:t xml:space="preserve"> </w:t>
      </w:r>
      <w:r w:rsidRPr="002F5A1A">
        <w:rPr>
          <w:rtl/>
        </w:rPr>
        <w:t>את</w:t>
      </w:r>
      <w:r w:rsidR="00240203" w:rsidRPr="00240203">
        <w:rPr>
          <w:rtl/>
        </w:rPr>
        <w:t xml:space="preserve"> </w:t>
      </w:r>
      <w:r w:rsidRPr="002F5A1A">
        <w:rPr>
          <w:rtl/>
        </w:rPr>
        <w:t>כולה</w:t>
      </w:r>
      <w:r w:rsidR="00240203" w:rsidRPr="00240203">
        <w:rPr>
          <w:rtl/>
        </w:rPr>
        <w:t xml:space="preserve"> </w:t>
      </w:r>
      <w:r w:rsidRPr="002F5A1A">
        <w:rPr>
          <w:rtl/>
        </w:rPr>
        <w:t>2.</w:t>
      </w:r>
      <w:r w:rsidR="00240203" w:rsidRPr="00240203">
        <w:rPr>
          <w:rtl/>
        </w:rPr>
        <w:t xml:space="preserve"> </w:t>
      </w:r>
      <w:r w:rsidRPr="002F5A1A">
        <w:rPr>
          <w:rtl/>
        </w:rPr>
        <w:t>אם</w:t>
      </w:r>
      <w:r w:rsidR="00240203" w:rsidRPr="00240203">
        <w:rPr>
          <w:rtl/>
        </w:rPr>
        <w:t xml:space="preserve"> </w:t>
      </w:r>
      <w:r w:rsidRPr="002F5A1A">
        <w:rPr>
          <w:rtl/>
        </w:rPr>
        <w:t>אכן</w:t>
      </w:r>
      <w:r w:rsidR="00240203" w:rsidRPr="00240203">
        <w:rPr>
          <w:rtl/>
        </w:rPr>
        <w:t xml:space="preserve"> </w:t>
      </w:r>
      <w:r w:rsidRPr="002F5A1A">
        <w:rPr>
          <w:rtl/>
        </w:rPr>
        <w:t>אמרינן</w:t>
      </w:r>
      <w:r w:rsidR="00240203" w:rsidRPr="00240203">
        <w:rPr>
          <w:rtl/>
        </w:rPr>
        <w:t xml:space="preserve"> </w:t>
      </w:r>
      <w:r w:rsidRPr="002F5A1A">
        <w:rPr>
          <w:rtl/>
        </w:rPr>
        <w:t>שהגברא</w:t>
      </w:r>
      <w:r w:rsidR="00240203" w:rsidRPr="00240203">
        <w:rPr>
          <w:rtl/>
        </w:rPr>
        <w:t xml:space="preserve"> </w:t>
      </w:r>
      <w:r w:rsidRPr="002F5A1A">
        <w:rPr>
          <w:rtl/>
        </w:rPr>
        <w:t>לא</w:t>
      </w:r>
      <w:r w:rsidR="00240203" w:rsidRPr="00240203">
        <w:rPr>
          <w:rtl/>
        </w:rPr>
        <w:t xml:space="preserve"> </w:t>
      </w:r>
      <w:r w:rsidRPr="002F5A1A">
        <w:rPr>
          <w:rtl/>
        </w:rPr>
        <w:t>חזי</w:t>
      </w:r>
      <w:r w:rsidR="00240203" w:rsidRPr="00240203">
        <w:rPr>
          <w:rtl/>
        </w:rPr>
        <w:t xml:space="preserve"> </w:t>
      </w:r>
      <w:r w:rsidRPr="002F5A1A">
        <w:rPr>
          <w:rtl/>
        </w:rPr>
        <w:t>אז</w:t>
      </w:r>
      <w:r w:rsidR="00240203" w:rsidRPr="00240203">
        <w:rPr>
          <w:rtl/>
        </w:rPr>
        <w:t xml:space="preserve"> </w:t>
      </w:r>
      <w:r w:rsidRPr="002F5A1A">
        <w:rPr>
          <w:rtl/>
        </w:rPr>
        <w:t>למה</w:t>
      </w:r>
      <w:r w:rsidR="00240203" w:rsidRPr="00240203">
        <w:rPr>
          <w:rtl/>
        </w:rPr>
        <w:t xml:space="preserve"> </w:t>
      </w:r>
      <w:r w:rsidRPr="002F5A1A">
        <w:rPr>
          <w:rtl/>
        </w:rPr>
        <w:t>רק</w:t>
      </w:r>
      <w:r w:rsidR="00240203" w:rsidRPr="00240203">
        <w:rPr>
          <w:rtl/>
        </w:rPr>
        <w:t xml:space="preserve"> </w:t>
      </w:r>
      <w:r w:rsidRPr="002F5A1A">
        <w:rPr>
          <w:rtl/>
        </w:rPr>
        <w:t>בשהה</w:t>
      </w:r>
      <w:r w:rsidR="00240203" w:rsidRPr="00240203">
        <w:rPr>
          <w:rtl/>
        </w:rPr>
        <w:t xml:space="preserve"> </w:t>
      </w:r>
      <w:r w:rsidRPr="002F5A1A">
        <w:rPr>
          <w:rtl/>
        </w:rPr>
        <w:t>לגמור</w:t>
      </w:r>
      <w:r w:rsidR="00240203" w:rsidRPr="00240203">
        <w:rPr>
          <w:rtl/>
        </w:rPr>
        <w:t xml:space="preserve"> </w:t>
      </w:r>
      <w:r w:rsidRPr="002F5A1A">
        <w:rPr>
          <w:rtl/>
        </w:rPr>
        <w:t>את</w:t>
      </w:r>
      <w:r w:rsidR="00240203" w:rsidRPr="00240203">
        <w:rPr>
          <w:rtl/>
        </w:rPr>
        <w:t xml:space="preserve"> </w:t>
      </w:r>
      <w:r w:rsidRPr="002F5A1A">
        <w:rPr>
          <w:rtl/>
        </w:rPr>
        <w:t>כולה</w:t>
      </w:r>
      <w:r w:rsidR="00240203" w:rsidRPr="00240203">
        <w:rPr>
          <w:rtl/>
        </w:rPr>
        <w:t xml:space="preserve"> </w:t>
      </w:r>
      <w:r w:rsidRPr="002F5A1A">
        <w:rPr>
          <w:rtl/>
        </w:rPr>
        <w:t>חוזר</w:t>
      </w:r>
      <w:r w:rsidR="00240203" w:rsidRPr="00240203">
        <w:rPr>
          <w:rtl/>
        </w:rPr>
        <w:t xml:space="preserve"> </w:t>
      </w:r>
      <w:r w:rsidRPr="002F5A1A">
        <w:rPr>
          <w:rtl/>
        </w:rPr>
        <w:t>לראש</w:t>
      </w:r>
      <w:r w:rsidR="00240203" w:rsidRPr="00240203">
        <w:rPr>
          <w:rtl/>
        </w:rPr>
        <w:t xml:space="preserve"> </w:t>
      </w:r>
      <w:r w:rsidRPr="002F5A1A">
        <w:rPr>
          <w:rtl/>
        </w:rPr>
        <w:t>נימא</w:t>
      </w:r>
      <w:r w:rsidR="00240203" w:rsidRPr="00240203">
        <w:rPr>
          <w:rtl/>
        </w:rPr>
        <w:t xml:space="preserve"> </w:t>
      </w:r>
      <w:r w:rsidRPr="00240203">
        <w:rPr>
          <w:rtl/>
        </w:rPr>
        <w:t>שאף</w:t>
      </w:r>
      <w:r w:rsidR="00240203" w:rsidRPr="00240203">
        <w:rPr>
          <w:rtl/>
        </w:rPr>
        <w:t xml:space="preserve"> </w:t>
      </w:r>
      <w:r w:rsidRPr="002F5A1A">
        <w:rPr>
          <w:rtl/>
        </w:rPr>
        <w:t>בלא</w:t>
      </w:r>
      <w:r w:rsidR="00240203" w:rsidRPr="00240203">
        <w:rPr>
          <w:rtl/>
        </w:rPr>
        <w:t xml:space="preserve"> </w:t>
      </w:r>
      <w:r w:rsidRPr="002F5A1A">
        <w:rPr>
          <w:rtl/>
        </w:rPr>
        <w:t>שהה</w:t>
      </w:r>
      <w:r w:rsidR="00240203" w:rsidRPr="00240203">
        <w:rPr>
          <w:rtl/>
        </w:rPr>
        <w:t xml:space="preserve"> </w:t>
      </w:r>
      <w:r w:rsidRPr="002F5A1A">
        <w:rPr>
          <w:rtl/>
        </w:rPr>
        <w:t>לגמור</w:t>
      </w:r>
      <w:r w:rsidR="00240203" w:rsidRPr="00240203">
        <w:rPr>
          <w:rtl/>
        </w:rPr>
        <w:t xml:space="preserve"> </w:t>
      </w:r>
      <w:r w:rsidRPr="002F5A1A">
        <w:rPr>
          <w:rtl/>
        </w:rPr>
        <w:t>את</w:t>
      </w:r>
      <w:r w:rsidR="00240203" w:rsidRPr="00240203">
        <w:rPr>
          <w:rtl/>
        </w:rPr>
        <w:t xml:space="preserve"> </w:t>
      </w:r>
      <w:r w:rsidRPr="002F5A1A">
        <w:rPr>
          <w:rtl/>
        </w:rPr>
        <w:t>כולה</w:t>
      </w:r>
      <w:r w:rsidR="00240203" w:rsidRPr="00240203">
        <w:rPr>
          <w:rtl/>
        </w:rPr>
        <w:t xml:space="preserve"> </w:t>
      </w:r>
      <w:r w:rsidRPr="002F5A1A">
        <w:rPr>
          <w:rtl/>
        </w:rPr>
        <w:t>נמי</w:t>
      </w:r>
      <w:r w:rsidR="00240203" w:rsidRPr="00240203">
        <w:rPr>
          <w:rtl/>
        </w:rPr>
        <w:t xml:space="preserve"> </w:t>
      </w:r>
      <w:r w:rsidRPr="002F5A1A">
        <w:rPr>
          <w:rtl/>
        </w:rPr>
        <w:t>יחזור</w:t>
      </w:r>
      <w:r w:rsidRPr="002F5A1A">
        <w:rPr>
          <w:rFonts w:ascii="Times New Roman (כותרות עבריות)" w:hAnsi="Times New Roman (כותרות עבריות)"/>
          <w:rtl/>
        </w:rPr>
        <w:t>?</w:t>
      </w:r>
    </w:p>
    <w:p w14:paraId="3D407A43" w14:textId="787AFB50" w:rsidR="00240203" w:rsidRPr="002F5A1A" w:rsidRDefault="00240203" w:rsidP="00240203">
      <w:pPr>
        <w:pStyle w:val="afd"/>
        <w:rPr>
          <w:rtl/>
        </w:rPr>
      </w:pPr>
      <w:r>
        <w:rPr>
          <w:rtl/>
        </w:rPr>
        <mc:AlternateContent>
          <mc:Choice Requires="wps">
            <w:drawing>
              <wp:inline distT="0" distB="0" distL="0" distR="0" wp14:anchorId="6D9F3906" wp14:editId="105B9AF0">
                <wp:extent cx="107950" cy="71755"/>
                <wp:effectExtent l="0" t="0" r="6350" b="4445"/>
                <wp:docPr id="999278323"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55A40FB"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ג </w:t>
      </w:r>
      <w:r>
        <w:rPr>
          <w:rtl/>
        </w:rPr>
        <mc:AlternateContent>
          <mc:Choice Requires="wps">
            <w:drawing>
              <wp:inline distT="0" distB="0" distL="0" distR="0" wp14:anchorId="3D9E5D30" wp14:editId="7F69DBB1">
                <wp:extent cx="108000" cy="71755"/>
                <wp:effectExtent l="0" t="0" r="6350" b="4445"/>
                <wp:docPr id="1043701487"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7D0C56A"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F9DBCCA" w14:textId="5835AD35" w:rsidR="002F5A1A" w:rsidRPr="00240203" w:rsidRDefault="002F5A1A" w:rsidP="00240203">
      <w:pPr>
        <w:pStyle w:val="afa"/>
      </w:pPr>
      <w:r w:rsidRPr="002F5A1A">
        <w:rPr>
          <w:rtl/>
        </w:rPr>
        <w:t>מהו החילוק שיש בין אופן שמים שותתין שאז אמרינן שהוי גברא שלא חזי לבין מה שמבואר בברכות כד: שמותר לקרוא קר״ש בעודו ערום ובלבד שיהיה משהו שיכסה את ערותו</w:t>
      </w:r>
      <w:r w:rsidRPr="002F5A1A">
        <w:rPr>
          <w:rFonts w:ascii="Times New Roman (כותרות עבריות)" w:hAnsi="Times New Roman (כותרות עבריות)"/>
          <w:rtl/>
        </w:rPr>
        <w:t>?</w:t>
      </w:r>
    </w:p>
    <w:p w14:paraId="0DE82234" w14:textId="51001547" w:rsidR="00240203" w:rsidRPr="002F5A1A" w:rsidRDefault="00240203" w:rsidP="00240203">
      <w:pPr>
        <w:pStyle w:val="afd"/>
        <w:rPr>
          <w:rtl/>
        </w:rPr>
      </w:pPr>
      <w:r>
        <w:rPr>
          <w:rtl/>
        </w:rPr>
        <mc:AlternateContent>
          <mc:Choice Requires="wps">
            <w:drawing>
              <wp:inline distT="0" distB="0" distL="0" distR="0" wp14:anchorId="1D74D0F3" wp14:editId="2580CCA0">
                <wp:extent cx="107950" cy="71755"/>
                <wp:effectExtent l="0" t="0" r="6350" b="4445"/>
                <wp:docPr id="1609057653"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F306140"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ד </w:t>
      </w:r>
      <w:r>
        <w:rPr>
          <w:rtl/>
        </w:rPr>
        <mc:AlternateContent>
          <mc:Choice Requires="wps">
            <w:drawing>
              <wp:inline distT="0" distB="0" distL="0" distR="0" wp14:anchorId="2A537BE9" wp14:editId="5FC56C4A">
                <wp:extent cx="108000" cy="71755"/>
                <wp:effectExtent l="0" t="0" r="6350" b="4445"/>
                <wp:docPr id="580472466"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EC315DA"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116081C7" w14:textId="2AE0C236" w:rsidR="002F5A1A" w:rsidRDefault="002F5A1A" w:rsidP="00240203">
      <w:pPr>
        <w:pStyle w:val="afa"/>
      </w:pPr>
      <w:r w:rsidRPr="002F5A1A">
        <w:rPr>
          <w:rtl/>
        </w:rPr>
        <w:t>הנה יש לדון ולחקור בכל הדין הזה בשהה לגמור את כולה שחוזר לראש שמאיזה דין וסיבה אנו דנים שיחזור לראש האם אמרינן כן משום שיש כאן היסח הדעת מצד הגברא שאומר שבכך הוא הסיח את דעתו מן המצוה או שמא אנו דנים שאין החיסרון ביחס להיסח הדעת אלא מצד גוף המצוה שכעת נעשה כאן חיסרון בעצם המצוה מחמת ההפסקה הזאת</w:t>
      </w:r>
      <w:r w:rsidRPr="002F5A1A">
        <w:rPr>
          <w:rFonts w:ascii="Times New Roman (כותרות עבריות)" w:hAnsi="Times New Roman (כותרות עבריות)"/>
          <w:rtl/>
        </w:rPr>
        <w:t>?</w:t>
      </w:r>
    </w:p>
    <w:p w14:paraId="7A5B76CD" w14:textId="3834D77E" w:rsidR="00240203" w:rsidRPr="002F5A1A" w:rsidRDefault="00240203" w:rsidP="00240203">
      <w:pPr>
        <w:pStyle w:val="afd"/>
        <w:rPr>
          <w:rtl/>
        </w:rPr>
      </w:pPr>
      <w:r>
        <w:rPr>
          <w:rtl/>
        </w:rPr>
        <mc:AlternateContent>
          <mc:Choice Requires="wps">
            <w:drawing>
              <wp:inline distT="0" distB="0" distL="0" distR="0" wp14:anchorId="21E99182" wp14:editId="187FE598">
                <wp:extent cx="107950" cy="71755"/>
                <wp:effectExtent l="0" t="0" r="6350" b="4445"/>
                <wp:docPr id="404071082"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F7C2177"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ה </w:t>
      </w:r>
      <w:r>
        <w:rPr>
          <w:rtl/>
        </w:rPr>
        <mc:AlternateContent>
          <mc:Choice Requires="wps">
            <w:drawing>
              <wp:inline distT="0" distB="0" distL="0" distR="0" wp14:anchorId="6D0680F4" wp14:editId="2D8E053B">
                <wp:extent cx="108000" cy="71755"/>
                <wp:effectExtent l="0" t="0" r="6350" b="4445"/>
                <wp:docPr id="371109153"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30687B9"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3E5F7474" w14:textId="20740C06" w:rsidR="002F5A1A" w:rsidRPr="00240203" w:rsidRDefault="002F5A1A" w:rsidP="004938DF">
      <w:pPr>
        <w:pStyle w:val="afa"/>
        <w:jc w:val="center"/>
        <w:rPr>
          <w:rFonts w:hint="cs"/>
          <w:rtl/>
        </w:rPr>
      </w:pPr>
      <w:r w:rsidRPr="002F5A1A">
        <w:rPr>
          <w:rtl/>
        </w:rPr>
        <w:t>מה הדין במסופק אם שהה לגמור את כולה</w:t>
      </w:r>
      <w:r w:rsidRPr="002F5A1A">
        <w:rPr>
          <w:rFonts w:ascii="Times New Roman (כותרות עבריות)" w:hAnsi="Times New Roman (כותרות עבריות)"/>
          <w:rtl/>
        </w:rPr>
        <w:t>?</w:t>
      </w:r>
      <w:r w:rsidR="0027576F">
        <w:rPr>
          <w:rFonts w:ascii="Times New Roman (כותרות עבריות)" w:hAnsi="Times New Roman (כותרות עבריות)"/>
          <w:rtl/>
        </w:rPr>
        <w:tab/>
      </w:r>
    </w:p>
    <w:p w14:paraId="53FF5CB4" w14:textId="34D9826C" w:rsidR="00240203" w:rsidRPr="00240203" w:rsidRDefault="00240203" w:rsidP="00240203">
      <w:pPr>
        <w:pStyle w:val="afd"/>
        <w:rPr>
          <w:rtl/>
          <w:lang w:val="en-US"/>
        </w:rPr>
      </w:pPr>
      <w:r>
        <w:rPr>
          <w:rtl/>
        </w:rPr>
        <w:lastRenderedPageBreak/>
        <mc:AlternateContent>
          <mc:Choice Requires="wps">
            <w:drawing>
              <wp:inline distT="0" distB="0" distL="0" distR="0" wp14:anchorId="711F15EF" wp14:editId="50996703">
                <wp:extent cx="107950" cy="71755"/>
                <wp:effectExtent l="0" t="0" r="6350" b="4445"/>
                <wp:docPr id="2003276498"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277DBD4"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ו </w:t>
      </w:r>
      <w:r>
        <w:rPr>
          <w:rtl/>
        </w:rPr>
        <mc:AlternateContent>
          <mc:Choice Requires="wps">
            <w:drawing>
              <wp:inline distT="0" distB="0" distL="0" distR="0" wp14:anchorId="3534DFEE" wp14:editId="487F8C2C">
                <wp:extent cx="108000" cy="71755"/>
                <wp:effectExtent l="0" t="0" r="6350" b="4445"/>
                <wp:docPr id="1861676256"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E58BC86"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F0352B7" w14:textId="5A7D93AC" w:rsidR="002F5A1A" w:rsidRDefault="002F5A1A" w:rsidP="00240203">
      <w:pPr>
        <w:pStyle w:val="afa"/>
      </w:pPr>
      <w:r w:rsidRPr="002F5A1A">
        <w:rPr>
          <w:rtl/>
        </w:rPr>
        <w:t>יש לדון שמע ציבור בשמע ישראל או פותח את ידיך וכל אחד מהציבור נמצא במקום אחר ורק החזן בקול [א"א אומר שכיון שהחזן קורא חשיב שכול</w:t>
      </w:r>
      <w:r w:rsidRPr="002F5A1A">
        <w:rPr>
          <w:rFonts w:hint="cs"/>
          <w:rtl/>
        </w:rPr>
        <w:t>ם</w:t>
      </w:r>
      <w:r w:rsidRPr="002F5A1A">
        <w:rPr>
          <w:rtl/>
        </w:rPr>
        <w:t xml:space="preserve"> קוראים עמו]</w:t>
      </w:r>
      <w:r w:rsidRPr="002F5A1A">
        <w:rPr>
          <w:rFonts w:ascii="Times New Roman (כותרות עבריות)" w:hAnsi="Times New Roman (כותרות עבריות)"/>
          <w:rtl/>
        </w:rPr>
        <w:t>?</w:t>
      </w:r>
    </w:p>
    <w:p w14:paraId="5CB5EA58" w14:textId="51A83021" w:rsidR="00240203" w:rsidRPr="00240203" w:rsidRDefault="00240203" w:rsidP="00240203">
      <w:pPr>
        <w:pStyle w:val="afd"/>
        <w:rPr>
          <w:rtl/>
          <w:lang w:val="en-US"/>
        </w:rPr>
      </w:pPr>
      <w:r>
        <w:rPr>
          <w:rtl/>
        </w:rPr>
        <mc:AlternateContent>
          <mc:Choice Requires="wps">
            <w:drawing>
              <wp:inline distT="0" distB="0" distL="0" distR="0" wp14:anchorId="4995799F" wp14:editId="0667ABF8">
                <wp:extent cx="107950" cy="71755"/>
                <wp:effectExtent l="0" t="0" r="6350" b="4445"/>
                <wp:docPr id="617968477"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4EDA67E"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ז </w:t>
      </w:r>
      <w:r>
        <w:rPr>
          <w:rtl/>
        </w:rPr>
        <mc:AlternateContent>
          <mc:Choice Requires="wps">
            <w:drawing>
              <wp:inline distT="0" distB="0" distL="0" distR="0" wp14:anchorId="466CE1F4" wp14:editId="5A252D8C">
                <wp:extent cx="108000" cy="71755"/>
                <wp:effectExtent l="0" t="0" r="6350" b="4445"/>
                <wp:docPr id="1547073353"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89A7683"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D8928BE" w14:textId="2031BB98" w:rsidR="002F5A1A" w:rsidRPr="00240203" w:rsidRDefault="002F5A1A" w:rsidP="004938DF">
      <w:pPr>
        <w:pStyle w:val="afa"/>
        <w:jc w:val="center"/>
      </w:pPr>
      <w:r w:rsidRPr="002F5A1A">
        <w:rPr>
          <w:rtl/>
        </w:rPr>
        <w:t>יש לדון נמצא במקום שלא יכול לומר עלינו לשבח עם ציבור אם יכרע</w:t>
      </w:r>
      <w:r w:rsidRPr="002F5A1A">
        <w:rPr>
          <w:rFonts w:ascii="Times New Roman (כותרות עבריות)" w:hAnsi="Times New Roman (כותרות עבריות)"/>
          <w:rtl/>
        </w:rPr>
        <w:t>?</w:t>
      </w:r>
    </w:p>
    <w:p w14:paraId="00CCE785" w14:textId="310E99FA" w:rsidR="00240203" w:rsidRPr="00240203" w:rsidRDefault="00240203" w:rsidP="00240203">
      <w:pPr>
        <w:pStyle w:val="afd"/>
        <w:rPr>
          <w:rtl/>
        </w:rPr>
      </w:pPr>
      <w:r w:rsidRPr="00240203">
        <w:rPr>
          <w:rtl/>
        </w:rPr>
        <mc:AlternateContent>
          <mc:Choice Requires="wps">
            <w:drawing>
              <wp:inline distT="0" distB="0" distL="0" distR="0" wp14:anchorId="406AB2EA" wp14:editId="585E84BC">
                <wp:extent cx="107950" cy="71755"/>
                <wp:effectExtent l="0" t="0" r="6350" b="4445"/>
                <wp:docPr id="88723201"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42A69E"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sidRPr="00240203">
        <w:rPr>
          <w:rFonts w:hint="cs"/>
          <w:rtl/>
        </w:rPr>
        <w:t xml:space="preserve"> ח </w:t>
      </w:r>
      <w:r w:rsidRPr="00240203">
        <w:rPr>
          <w:rtl/>
        </w:rPr>
        <mc:AlternateContent>
          <mc:Choice Requires="wps">
            <w:drawing>
              <wp:inline distT="0" distB="0" distL="0" distR="0" wp14:anchorId="0A13503F" wp14:editId="21FA4287">
                <wp:extent cx="108000" cy="71755"/>
                <wp:effectExtent l="0" t="0" r="6350" b="4445"/>
                <wp:docPr id="1497707145"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D27BDA1"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41ED0160" w14:textId="4ECCA4D5" w:rsidR="002F5A1A" w:rsidRPr="00240203" w:rsidRDefault="002F5A1A" w:rsidP="004938DF">
      <w:pPr>
        <w:pStyle w:val="afa"/>
        <w:jc w:val="center"/>
      </w:pPr>
      <w:r w:rsidRPr="002F5A1A">
        <w:rPr>
          <w:rtl/>
        </w:rPr>
        <w:t>מלמדי תינוקות השומעים את התינוקות אומרים שמע אם יאמרו עמהם</w:t>
      </w:r>
      <w:r w:rsidRPr="002F5A1A">
        <w:rPr>
          <w:rFonts w:ascii="Times New Roman (כותרות עבריות)" w:hAnsi="Times New Roman (כותרות עבריות)"/>
          <w:rtl/>
        </w:rPr>
        <w:t>?</w:t>
      </w:r>
    </w:p>
    <w:p w14:paraId="0EB6F528" w14:textId="64E0EB46" w:rsidR="00240203" w:rsidRPr="00240203" w:rsidRDefault="00240203" w:rsidP="00240203">
      <w:pPr>
        <w:pStyle w:val="afd"/>
        <w:rPr>
          <w:rtl/>
          <w:lang w:val="en-US"/>
        </w:rPr>
      </w:pPr>
      <w:r>
        <w:rPr>
          <w:rtl/>
        </w:rPr>
        <mc:AlternateContent>
          <mc:Choice Requires="wps">
            <w:drawing>
              <wp:inline distT="0" distB="0" distL="0" distR="0" wp14:anchorId="20162DD0" wp14:editId="0DE836FE">
                <wp:extent cx="107950" cy="71755"/>
                <wp:effectExtent l="0" t="0" r="6350" b="4445"/>
                <wp:docPr id="1289589824"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1877936"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ט </w:t>
      </w:r>
      <w:r>
        <w:rPr>
          <w:rtl/>
        </w:rPr>
        <mc:AlternateContent>
          <mc:Choice Requires="wps">
            <w:drawing>
              <wp:inline distT="0" distB="0" distL="0" distR="0" wp14:anchorId="018FC0F6" wp14:editId="02EA4DB3">
                <wp:extent cx="108000" cy="71755"/>
                <wp:effectExtent l="0" t="0" r="6350" b="4445"/>
                <wp:docPr id="46969430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A49C85D"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3C5A9F8F" w14:textId="363E9DFE" w:rsidR="002F5A1A" w:rsidRPr="00240203" w:rsidRDefault="002F5A1A" w:rsidP="004938DF">
      <w:pPr>
        <w:pStyle w:val="afa"/>
        <w:jc w:val="center"/>
      </w:pPr>
      <w:r w:rsidRPr="002F5A1A">
        <w:rPr>
          <w:rtl/>
        </w:rPr>
        <w:t>כשנרדם מחמת עייפות באמצע קר״ש ושהה לגמור את כולה האם זה חשיב לאונס או לא</w:t>
      </w:r>
      <w:r w:rsidRPr="002F5A1A">
        <w:rPr>
          <w:rFonts w:ascii="Times New Roman (כותרות עבריות)" w:hAnsi="Times New Roman (כותרות עבריות)"/>
          <w:rtl/>
        </w:rPr>
        <w:t>?</w:t>
      </w:r>
    </w:p>
    <w:p w14:paraId="214FB679" w14:textId="040E5EA7" w:rsidR="00240203" w:rsidRPr="00240203" w:rsidRDefault="00240203" w:rsidP="00240203">
      <w:pPr>
        <w:pStyle w:val="afd"/>
        <w:rPr>
          <w:rtl/>
          <w:lang w:val="en-US"/>
        </w:rPr>
      </w:pPr>
      <w:r>
        <w:rPr>
          <w:rtl/>
        </w:rPr>
        <mc:AlternateContent>
          <mc:Choice Requires="wps">
            <w:drawing>
              <wp:inline distT="0" distB="0" distL="0" distR="0" wp14:anchorId="498CFE5A" wp14:editId="4106B20A">
                <wp:extent cx="107950" cy="71755"/>
                <wp:effectExtent l="0" t="0" r="6350" b="4445"/>
                <wp:docPr id="746267428"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2A997F1"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י </w:t>
      </w:r>
      <w:r>
        <w:rPr>
          <w:rtl/>
        </w:rPr>
        <mc:AlternateContent>
          <mc:Choice Requires="wps">
            <w:drawing>
              <wp:inline distT="0" distB="0" distL="0" distR="0" wp14:anchorId="69123C78" wp14:editId="7BA6AC72">
                <wp:extent cx="108000" cy="71755"/>
                <wp:effectExtent l="0" t="0" r="6350" b="4445"/>
                <wp:docPr id="10133902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3786D72"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151D511" w14:textId="734555D3" w:rsidR="00014AD8" w:rsidRDefault="002F5A1A" w:rsidP="00240203">
      <w:pPr>
        <w:pStyle w:val="afa"/>
        <w:rPr>
          <w:rFonts w:ascii="Times New Roman (כותרות עבריות)" w:hAnsi="Times New Roman (כותרות עבריות)"/>
        </w:rPr>
      </w:pPr>
      <w:r w:rsidRPr="002F5A1A">
        <w:rPr>
          <w:rtl/>
        </w:rPr>
        <w:t>יש לשאול על מה שאמרו [ברכות כד: ר"ה לד:] שמבואר שם על ר' אבהו שהחמיר במקום רבו לא לומר דברים שבקדושה לפני רבו ותמוה איך ר' אבהו תלמידו של ר' יוחנן החמיר נגד רבו בפניו והרי זה חשיב למורה הלכה בפני רבו או שנראה כחולק על רבותיו שמבואר ביש"ש [פרק ח אות מא. הו"ד במ"א או"ח סג, ב] שהוי משום יוהרא וא"כ איך הוא יכול להחמיר במקום הרב ועוד במקומו</w:t>
      </w:r>
      <w:r w:rsidRPr="002F5A1A">
        <w:rPr>
          <w:rFonts w:ascii="Times New Roman (כותרות עבריות)" w:hAnsi="Times New Roman (כותרות עבריות)"/>
          <w:rtl/>
        </w:rPr>
        <w:t>?</w:t>
      </w:r>
    </w:p>
    <w:p w14:paraId="54D9EFE0" w14:textId="7731AC6A" w:rsidR="00240203" w:rsidRPr="00240203" w:rsidRDefault="00240203" w:rsidP="00240203">
      <w:pPr>
        <w:pStyle w:val="afd"/>
        <w:rPr>
          <w:lang w:val="en-US"/>
        </w:rPr>
      </w:pPr>
      <w:r>
        <w:rPr>
          <w:rtl/>
        </w:rPr>
        <mc:AlternateContent>
          <mc:Choice Requires="wps">
            <w:drawing>
              <wp:inline distT="0" distB="0" distL="0" distR="0" wp14:anchorId="75D26CC0" wp14:editId="24A30720">
                <wp:extent cx="107950" cy="71755"/>
                <wp:effectExtent l="0" t="0" r="6350" b="4445"/>
                <wp:docPr id="1345644732"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BF64D0A"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יא </w:t>
      </w:r>
      <w:r>
        <w:rPr>
          <w:rtl/>
        </w:rPr>
        <mc:AlternateContent>
          <mc:Choice Requires="wps">
            <w:drawing>
              <wp:inline distT="0" distB="0" distL="0" distR="0" wp14:anchorId="5690835B" wp14:editId="010C1F5E">
                <wp:extent cx="108000" cy="71755"/>
                <wp:effectExtent l="0" t="0" r="6350" b="4445"/>
                <wp:docPr id="710743156"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02B44E6"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773C56C5" w14:textId="618BB411" w:rsidR="00014AD8" w:rsidRDefault="00014AD8" w:rsidP="00240203">
      <w:pPr>
        <w:pStyle w:val="afa"/>
      </w:pPr>
      <w:r w:rsidRPr="00014AD8">
        <w:rPr>
          <w:rtl/>
        </w:rPr>
        <w:t>בגמ' [ברכות כד: ר"ה לד:] מבואר דרבי אבהו החמיר שלא לקרות ק"ש במבואות המטונפות, ויש לשאול, הרי ר' אבהו תלמידו דרבי יוחנן הוה, ונראה כחולק על רבותיו, ויש בזה יוהרא [כמבואר ביש"ש פ"ח אות מא, והובא במ"א סי' סג סק"ב], וכל המורה הוראה בפני רבו חייב מיתה?</w:t>
      </w:r>
      <w:r w:rsidR="00240203">
        <w:rPr>
          <w:sz w:val="22"/>
          <w:szCs w:val="22"/>
          <w:rtl/>
        </w:rPr>
        <w:tab/>
      </w:r>
      <w:r w:rsidRPr="00014AD8">
        <w:rPr>
          <w:rStyle w:val="afc"/>
          <w:rFonts w:hint="cs"/>
          <w:b w:val="0"/>
          <w:bCs w:val="0"/>
          <w:rtl/>
        </w:rPr>
        <w:t>[</w:t>
      </w:r>
      <w:r w:rsidRPr="00014AD8">
        <w:rPr>
          <w:rStyle w:val="afc"/>
          <w:b w:val="0"/>
          <w:bCs w:val="0"/>
          <w:rtl/>
        </w:rPr>
        <w:t>הערת ראש הכולל שליט"א</w:t>
      </w:r>
      <w:r w:rsidRPr="00014AD8">
        <w:rPr>
          <w:rStyle w:val="afc"/>
          <w:rFonts w:hint="cs"/>
          <w:b w:val="0"/>
          <w:bCs w:val="0"/>
          <w:rtl/>
        </w:rPr>
        <w:t>]</w:t>
      </w:r>
      <w:r w:rsidRPr="00014AD8">
        <w:rPr>
          <w:rtl/>
        </w:rPr>
        <w:t>.</w:t>
      </w:r>
    </w:p>
    <w:p w14:paraId="32F3A635" w14:textId="34491BFE" w:rsidR="00240203" w:rsidRPr="00240203" w:rsidRDefault="00240203" w:rsidP="00240203">
      <w:pPr>
        <w:pStyle w:val="afd"/>
      </w:pPr>
      <w:r>
        <w:rPr>
          <w:rtl/>
        </w:rPr>
        <mc:AlternateContent>
          <mc:Choice Requires="wps">
            <w:drawing>
              <wp:inline distT="0" distB="0" distL="0" distR="0" wp14:anchorId="76F22B98" wp14:editId="437F64C6">
                <wp:extent cx="107950" cy="71755"/>
                <wp:effectExtent l="0" t="0" r="6350" b="4445"/>
                <wp:docPr id="660642211"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F9525FA"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יב </w:t>
      </w:r>
      <w:r>
        <w:rPr>
          <w:rtl/>
        </w:rPr>
        <mc:AlternateContent>
          <mc:Choice Requires="wps">
            <w:drawing>
              <wp:inline distT="0" distB="0" distL="0" distR="0" wp14:anchorId="506A2123" wp14:editId="12862F08">
                <wp:extent cx="108000" cy="71755"/>
                <wp:effectExtent l="0" t="0" r="6350" b="4445"/>
                <wp:docPr id="404215366"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58FF97E"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27C301E" w14:textId="4D1BD566" w:rsidR="00014AD8" w:rsidRDefault="00014AD8" w:rsidP="00240203">
      <w:pPr>
        <w:pStyle w:val="afa"/>
      </w:pPr>
      <w:r w:rsidRPr="00014AD8">
        <w:rPr>
          <w:rtl/>
        </w:rPr>
        <w:t xml:space="preserve">יש לחקור בדין שהייה כדי לגמור את כולה, היכא דחוזר לראש, האם פירוש הדבר דמדאורייתא לא עשה כלום, או דמדרבנן הוא. ובביאור ד"ה חוזר לראש הוכיח מספקו של הירושלמי לענין אם שיעור כדי לגמור את כולה בק"ש כולל ברכותיה הוא או לא, דמדרבנן הוא, דברכותיה ודאי דרבנן. ולכא' הו"מ להוכיח מק"ש גופא דחוזר וקורא כולה, הגם דאין כל פרשיותיה מדאורייתא, [וכנראה לא הוכיח כן, משום דמהירושלמי עדיף ליה להוכיח, ואילו היה מוכיח מק"ש גופא היה מקום לדחוק דודאי חוזר רק על פרשיות דאורייתא]. </w:t>
      </w:r>
      <w:r w:rsidRPr="00014AD8">
        <w:rPr>
          <w:rStyle w:val="afc"/>
          <w:sz w:val="26"/>
          <w:szCs w:val="26"/>
          <w:rtl/>
        </w:rPr>
        <w:t>וה"ר שמשון ברמץ שליט"א וה"ר יעקב ישראל שטרן שליט"א</w:t>
      </w:r>
      <w:r w:rsidRPr="00014AD8">
        <w:rPr>
          <w:rtl/>
        </w:rPr>
        <w:t xml:space="preserve"> אמרו להוכיח מדברי הרשב"א [ברכות כג.] דאיכא מ"ד הלל ומגילה חמור מק"ש ואי אמרת מדאורייתא נמי ליכא בשהייה קריאה אחת, א"כ מהיכי תיתי למימר דבק"ש דהיא מדאורייתא כן ייקרא קריאה. ומהיכי תיתי למימר דהבבלי חולק על הירושלמי גם בזה. </w:t>
      </w:r>
      <w:r w:rsidRPr="00014AD8">
        <w:rPr>
          <w:rStyle w:val="afc"/>
          <w:sz w:val="26"/>
          <w:szCs w:val="26"/>
          <w:rtl/>
        </w:rPr>
        <w:t>וה"ר יעקב ישראל שטרן שליט"א</w:t>
      </w:r>
      <w:r w:rsidRPr="00014AD8">
        <w:rPr>
          <w:rtl/>
        </w:rPr>
        <w:t xml:space="preserve"> הק' אמש"כ הב"ח בריש הסימן דלענין הלכה בפלוגתא דרבוותא אית לן למיזל לחומרא, וצ"ב כיון דהוי דין דרבנן אדרבה אית לן למיזל לקולא</w:t>
      </w:r>
      <w:r w:rsidR="00240203">
        <w:rPr>
          <w:rFonts w:hint="cs"/>
          <w:rtl/>
        </w:rPr>
        <w:t>?</w:t>
      </w:r>
    </w:p>
    <w:p w14:paraId="431A50B8" w14:textId="297C6E78" w:rsidR="00240203" w:rsidRPr="00240203" w:rsidRDefault="00240203" w:rsidP="00240203">
      <w:pPr>
        <w:pStyle w:val="afd"/>
        <w:rPr>
          <w:lang w:val="en-US"/>
        </w:rPr>
      </w:pPr>
      <w:r>
        <w:rPr>
          <w:rtl/>
        </w:rPr>
        <mc:AlternateContent>
          <mc:Choice Requires="wps">
            <w:drawing>
              <wp:inline distT="0" distB="0" distL="0" distR="0" wp14:anchorId="3AB44E02" wp14:editId="3221724D">
                <wp:extent cx="107950" cy="71755"/>
                <wp:effectExtent l="0" t="0" r="6350" b="4445"/>
                <wp:docPr id="930479987"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4B235E1"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יג </w:t>
      </w:r>
      <w:r>
        <w:rPr>
          <w:rtl/>
        </w:rPr>
        <mc:AlternateContent>
          <mc:Choice Requires="wps">
            <w:drawing>
              <wp:inline distT="0" distB="0" distL="0" distR="0" wp14:anchorId="2DD206A8" wp14:editId="6D561686">
                <wp:extent cx="108000" cy="71755"/>
                <wp:effectExtent l="0" t="0" r="6350" b="4445"/>
                <wp:docPr id="814451721"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64401DE"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4E8F5C1E" w14:textId="2677385F" w:rsidR="00014AD8" w:rsidRDefault="00014AD8" w:rsidP="00240203">
      <w:pPr>
        <w:pStyle w:val="afa"/>
      </w:pPr>
      <w:r w:rsidRPr="00014AD8">
        <w:rPr>
          <w:rtl/>
        </w:rPr>
        <w:t>בביאור הלכה ד"ה קראה הביא דמדרך החיים משמע דאם שהה בברכות ק"ש כדי לגמור את כולה חוזר ומברך, וכתב דאולי טעמו דהשוו ברכות שמע לק"ש. ויש להעיר מדקי"ל [סי' סז, וכ"פ הדרך החיים] דהמסופק אם קרא ק"ש חוזר וקוראה עם ברכותיה, משא"כ במסופק על הברכות אינו חוזר ומברך, הרי דלא השוו הברכות ק"ש לק"ש כשהנידון על הברכה</w:t>
      </w:r>
      <w:r w:rsidR="00240203">
        <w:rPr>
          <w:rFonts w:hint="cs"/>
          <w:rtl/>
        </w:rPr>
        <w:t>?</w:t>
      </w:r>
    </w:p>
    <w:p w14:paraId="47CA7DE6" w14:textId="46350810" w:rsidR="00240203" w:rsidRPr="00240203" w:rsidRDefault="00240203" w:rsidP="00240203">
      <w:pPr>
        <w:pStyle w:val="afd"/>
        <w:rPr>
          <w:lang w:val="en-US"/>
        </w:rPr>
      </w:pPr>
      <w:r>
        <w:rPr>
          <w:rtl/>
        </w:rPr>
        <mc:AlternateContent>
          <mc:Choice Requires="wps">
            <w:drawing>
              <wp:inline distT="0" distB="0" distL="0" distR="0" wp14:anchorId="48D1FE20" wp14:editId="3B0EDB81">
                <wp:extent cx="107950" cy="71755"/>
                <wp:effectExtent l="0" t="0" r="6350" b="4445"/>
                <wp:docPr id="734984351"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5207595"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יד </w:t>
      </w:r>
      <w:r>
        <w:rPr>
          <w:rtl/>
        </w:rPr>
        <mc:AlternateContent>
          <mc:Choice Requires="wps">
            <w:drawing>
              <wp:inline distT="0" distB="0" distL="0" distR="0" wp14:anchorId="0E0311BD" wp14:editId="26CC3A55">
                <wp:extent cx="108000" cy="71755"/>
                <wp:effectExtent l="0" t="0" r="6350" b="4445"/>
                <wp:docPr id="1409178375"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931498A"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3C2CDD72" w14:textId="77777777" w:rsidR="00240203" w:rsidRDefault="00014AD8" w:rsidP="00240203">
      <w:pPr>
        <w:pStyle w:val="afa"/>
        <w:spacing w:after="0"/>
        <w:rPr>
          <w:rStyle w:val="afc"/>
          <w:b w:val="0"/>
          <w:bCs w:val="0"/>
          <w:rtl/>
        </w:rPr>
      </w:pPr>
      <w:r w:rsidRPr="00014AD8">
        <w:rPr>
          <w:rtl/>
        </w:rPr>
        <w:t>כתב המג"א בסימן תכב דהרמ"א בהלל לא החמיר כהתוס' והרא"ש לענין שהייה באונס, משום דהוי דרבנן, ובדרבנן אזלי' להקל, משא"כ בק"ש דהוי דאורייתא. ויש להעיר מ"ט בתפילה שתיק רמ"א, הלא להתוס' והרא"ש היכא דליכא אונס אי"צ לחזור לראש, והוי ספק ברכות</w:t>
      </w:r>
      <w:r w:rsidR="00240203">
        <w:rPr>
          <w:rFonts w:hint="cs"/>
          <w:rtl/>
        </w:rPr>
        <w:t>?</w:t>
      </w:r>
    </w:p>
    <w:p w14:paraId="5E7BFA85" w14:textId="0909130F" w:rsidR="00014AD8" w:rsidRDefault="00014AD8" w:rsidP="00240203">
      <w:pPr>
        <w:pStyle w:val="afa"/>
        <w:jc w:val="right"/>
      </w:pPr>
      <w:r w:rsidRPr="00014AD8">
        <w:rPr>
          <w:rStyle w:val="afc"/>
          <w:rFonts w:hint="cs"/>
          <w:b w:val="0"/>
          <w:bCs w:val="0"/>
          <w:rtl/>
        </w:rPr>
        <w:t>[</w:t>
      </w:r>
      <w:r w:rsidRPr="00014AD8">
        <w:rPr>
          <w:rStyle w:val="afc"/>
          <w:b w:val="0"/>
          <w:bCs w:val="0"/>
          <w:rtl/>
        </w:rPr>
        <w:t>הערת ה"ר נח קליין שליט"א</w:t>
      </w:r>
      <w:r w:rsidRPr="00014AD8">
        <w:rPr>
          <w:rStyle w:val="afc"/>
          <w:rFonts w:hint="cs"/>
          <w:b w:val="0"/>
          <w:bCs w:val="0"/>
          <w:rtl/>
        </w:rPr>
        <w:t>]</w:t>
      </w:r>
      <w:r>
        <w:rPr>
          <w:rFonts w:hint="cs"/>
          <w:rtl/>
        </w:rPr>
        <w:t>.</w:t>
      </w:r>
    </w:p>
    <w:p w14:paraId="2035CAC3" w14:textId="4D933B54" w:rsidR="00240203" w:rsidRPr="00240203" w:rsidRDefault="00240203" w:rsidP="00240203">
      <w:pPr>
        <w:pStyle w:val="afd"/>
      </w:pPr>
      <w:r>
        <w:rPr>
          <w:rtl/>
        </w:rPr>
        <mc:AlternateContent>
          <mc:Choice Requires="wps">
            <w:drawing>
              <wp:inline distT="0" distB="0" distL="0" distR="0" wp14:anchorId="5011D42B" wp14:editId="570552E8">
                <wp:extent cx="107950" cy="71755"/>
                <wp:effectExtent l="0" t="0" r="6350" b="4445"/>
                <wp:docPr id="1403251995"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68E1514"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טו </w:t>
      </w:r>
      <w:r>
        <w:rPr>
          <w:rtl/>
        </w:rPr>
        <mc:AlternateContent>
          <mc:Choice Requires="wps">
            <w:drawing>
              <wp:inline distT="0" distB="0" distL="0" distR="0" wp14:anchorId="4D54623C" wp14:editId="39497216">
                <wp:extent cx="108000" cy="71755"/>
                <wp:effectExtent l="0" t="0" r="6350" b="4445"/>
                <wp:docPr id="2078773610"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899343F"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7E979DF8" w14:textId="2961043A" w:rsidR="00014AD8" w:rsidRDefault="00014AD8" w:rsidP="00240203">
      <w:pPr>
        <w:pStyle w:val="afa"/>
      </w:pPr>
      <w:r w:rsidRPr="00014AD8">
        <w:rPr>
          <w:rtl/>
        </w:rPr>
        <w:t>יש לדון במי שנמצא בבית הכנסת בשעה שהציבור קורא ק"ש לאחר זמנה, האם מחויב לקרותה עמהם או לא. והביא הראש כולל שליט"א בשם המאירי דצריך לומר עם הציבור, דסו"ס יש כאן קבלת עול מלכות שמים, [וכבר האריך בזה ה"ר יעקב ישראל שטרן שליט"א בחבורה ששני עניינים יש בק"ש]. אמנם יש להעיר אמש"כ באור לציון [ח"ב פמ"ה הלכה ח] דאי"צ לומר עם הציבור בכה"ג, משום דאין זה אלא כקריאה בתורה. יש לציין דנידון זה שייך אף בשמע שבכתר ושבסליחות</w:t>
      </w:r>
      <w:r w:rsidR="00240203">
        <w:rPr>
          <w:rFonts w:hint="cs"/>
          <w:rtl/>
        </w:rPr>
        <w:t>?</w:t>
      </w:r>
      <w:r w:rsidR="00240203">
        <w:rPr>
          <w:rtl/>
        </w:rPr>
        <w:tab/>
      </w:r>
      <w:r w:rsidRPr="00014AD8">
        <w:rPr>
          <w:rStyle w:val="afc"/>
          <w:rFonts w:hint="cs"/>
          <w:b w:val="0"/>
          <w:bCs w:val="0"/>
          <w:rtl/>
        </w:rPr>
        <w:t>[</w:t>
      </w:r>
      <w:r w:rsidRPr="00014AD8">
        <w:rPr>
          <w:rStyle w:val="afc"/>
          <w:b w:val="0"/>
          <w:bCs w:val="0"/>
          <w:rtl/>
        </w:rPr>
        <w:t>הערת הראש כולל שליט"א</w:t>
      </w:r>
      <w:r w:rsidRPr="00014AD8">
        <w:rPr>
          <w:rStyle w:val="afc"/>
          <w:rFonts w:hint="cs"/>
          <w:b w:val="0"/>
          <w:bCs w:val="0"/>
          <w:rtl/>
        </w:rPr>
        <w:t>]</w:t>
      </w:r>
      <w:r>
        <w:rPr>
          <w:rFonts w:hint="cs"/>
          <w:rtl/>
        </w:rPr>
        <w:t>.</w:t>
      </w:r>
    </w:p>
    <w:p w14:paraId="6C6820AD" w14:textId="14B964C5" w:rsidR="00240203" w:rsidRPr="00240203" w:rsidRDefault="00240203" w:rsidP="00240203">
      <w:pPr>
        <w:pStyle w:val="afd"/>
      </w:pPr>
      <w:r>
        <w:rPr>
          <w:rtl/>
        </w:rPr>
        <mc:AlternateContent>
          <mc:Choice Requires="wps">
            <w:drawing>
              <wp:inline distT="0" distB="0" distL="0" distR="0" wp14:anchorId="6712FEA7" wp14:editId="5EC03E1C">
                <wp:extent cx="107950" cy="71755"/>
                <wp:effectExtent l="0" t="0" r="6350" b="4445"/>
                <wp:docPr id="758562490"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E5716FF"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טז </w:t>
      </w:r>
      <w:r>
        <w:rPr>
          <w:rtl/>
        </w:rPr>
        <mc:AlternateContent>
          <mc:Choice Requires="wps">
            <w:drawing>
              <wp:inline distT="0" distB="0" distL="0" distR="0" wp14:anchorId="32103C03" wp14:editId="33DB0E11">
                <wp:extent cx="108000" cy="71755"/>
                <wp:effectExtent l="0" t="0" r="6350" b="4445"/>
                <wp:docPr id="1626539439"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54CCDF2"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789552A" w14:textId="77777777" w:rsidR="00240203" w:rsidRDefault="00014AD8" w:rsidP="00240203">
      <w:pPr>
        <w:pStyle w:val="afa"/>
        <w:spacing w:after="0"/>
        <w:jc w:val="distribute"/>
      </w:pPr>
      <w:r>
        <w:rPr>
          <w:rFonts w:hint="cs"/>
          <w:rtl/>
        </w:rPr>
        <w:t>הי</w:t>
      </w:r>
      <w:r w:rsidRPr="00014AD8">
        <w:rPr>
          <w:rtl/>
        </w:rPr>
        <w:t>ה מתפלל ונכנס רופא לבקרו, וחייב לדבר עם הרופא, האם חשיב אונס [לענין תפילה]</w:t>
      </w:r>
      <w:r w:rsidR="00240203">
        <w:rPr>
          <w:rFonts w:hint="cs"/>
          <w:rtl/>
        </w:rPr>
        <w:t>?</w:t>
      </w:r>
    </w:p>
    <w:p w14:paraId="297E1025" w14:textId="589801DD" w:rsidR="00014AD8" w:rsidRDefault="00014AD8" w:rsidP="00240203">
      <w:pPr>
        <w:pStyle w:val="afa"/>
        <w:jc w:val="right"/>
        <w:rPr>
          <w:rtl/>
        </w:rPr>
      </w:pPr>
      <w:r w:rsidRPr="00014AD8">
        <w:rPr>
          <w:rStyle w:val="afc"/>
          <w:rFonts w:hint="cs"/>
          <w:b w:val="0"/>
          <w:bCs w:val="0"/>
          <w:rtl/>
        </w:rPr>
        <w:t>[</w:t>
      </w:r>
      <w:r w:rsidRPr="00014AD8">
        <w:rPr>
          <w:rStyle w:val="afc"/>
          <w:b w:val="0"/>
          <w:bCs w:val="0"/>
          <w:rtl/>
        </w:rPr>
        <w:t>הערת ה"ר שמעון למברגר</w:t>
      </w:r>
      <w:r w:rsidRPr="00014AD8">
        <w:rPr>
          <w:rStyle w:val="afc"/>
          <w:rFonts w:hint="cs"/>
          <w:b w:val="0"/>
          <w:bCs w:val="0"/>
          <w:rtl/>
        </w:rPr>
        <w:t>]</w:t>
      </w:r>
      <w:r w:rsidR="00240203">
        <w:rPr>
          <w:rFonts w:hint="cs"/>
          <w:rtl/>
        </w:rPr>
        <w:t>.</w:t>
      </w:r>
    </w:p>
    <w:p w14:paraId="1B57CDC4" w14:textId="071EF8A7" w:rsidR="00240203" w:rsidRPr="00240203" w:rsidRDefault="00240203" w:rsidP="00240203">
      <w:pPr>
        <w:pStyle w:val="afd"/>
      </w:pPr>
      <w:r>
        <w:rPr>
          <w:rtl/>
        </w:rPr>
        <mc:AlternateContent>
          <mc:Choice Requires="wps">
            <w:drawing>
              <wp:inline distT="0" distB="0" distL="0" distR="0" wp14:anchorId="141DC482" wp14:editId="55087821">
                <wp:extent cx="107950" cy="71755"/>
                <wp:effectExtent l="0" t="0" r="6350" b="4445"/>
                <wp:docPr id="1299556034"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BD93745"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w:t>
      </w:r>
      <w:r w:rsidRPr="00240203">
        <w:rPr>
          <w:rFonts w:hint="cs"/>
          <w:rtl/>
        </w:rPr>
        <w:t>יז</w:t>
      </w:r>
      <w:r>
        <w:rPr>
          <w:rFonts w:hint="cs"/>
          <w:rtl/>
        </w:rPr>
        <w:t xml:space="preserve"> </w:t>
      </w:r>
      <w:r>
        <w:rPr>
          <w:rtl/>
        </w:rPr>
        <mc:AlternateContent>
          <mc:Choice Requires="wps">
            <w:drawing>
              <wp:inline distT="0" distB="0" distL="0" distR="0" wp14:anchorId="0611631C" wp14:editId="6413EB2F">
                <wp:extent cx="108000" cy="71755"/>
                <wp:effectExtent l="0" t="0" r="6350" b="4445"/>
                <wp:docPr id="207080727"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F05629E"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4811D507" w14:textId="7974F510" w:rsidR="00014AD8" w:rsidRDefault="00014AD8" w:rsidP="00240203">
      <w:pPr>
        <w:pStyle w:val="afa"/>
        <w:rPr>
          <w:rtl/>
        </w:rPr>
      </w:pPr>
      <w:r w:rsidRPr="00014AD8">
        <w:rPr>
          <w:rtl/>
        </w:rPr>
        <w:t xml:space="preserve">שמע </w:t>
      </w:r>
      <w:r w:rsidR="00240203">
        <w:rPr>
          <w:rFonts w:hint="cs"/>
          <w:rtl/>
        </w:rPr>
        <w:t>א</w:t>
      </w:r>
      <w:r w:rsidRPr="00014AD8">
        <w:rPr>
          <w:rtl/>
        </w:rPr>
        <w:t>זעקה באמצע קריאת שמע, והוצרך להפסיק, ואח"כ הלך לאסוף את הילדים האם חשיב אונס מחמת ליסטים או לא?</w:t>
      </w:r>
      <w:r w:rsidR="00240203">
        <w:rPr>
          <w:rStyle w:val="afc"/>
          <w:b w:val="0"/>
          <w:bCs w:val="0"/>
          <w:rtl/>
        </w:rPr>
        <w:tab/>
      </w:r>
      <w:r w:rsidRPr="00014AD8">
        <w:rPr>
          <w:rStyle w:val="afc"/>
          <w:rFonts w:hint="cs"/>
          <w:b w:val="0"/>
          <w:bCs w:val="0"/>
          <w:rtl/>
        </w:rPr>
        <w:t>[</w:t>
      </w:r>
      <w:r w:rsidRPr="00014AD8">
        <w:rPr>
          <w:rStyle w:val="afc"/>
          <w:b w:val="0"/>
          <w:bCs w:val="0"/>
          <w:rtl/>
        </w:rPr>
        <w:t>הערת ה"ר אהרן כהן שליט"א</w:t>
      </w:r>
      <w:r w:rsidRPr="00014AD8">
        <w:rPr>
          <w:rStyle w:val="afc"/>
          <w:rFonts w:hint="cs"/>
          <w:b w:val="0"/>
          <w:bCs w:val="0"/>
          <w:rtl/>
        </w:rPr>
        <w:t>]</w:t>
      </w:r>
      <w:r w:rsidRPr="00014AD8">
        <w:rPr>
          <w:rtl/>
        </w:rPr>
        <w:t>.</w:t>
      </w:r>
    </w:p>
    <w:p w14:paraId="3D7B6011" w14:textId="17269DE8" w:rsidR="00283AD1" w:rsidRPr="00283AD1" w:rsidRDefault="00283AD1" w:rsidP="00283AD1">
      <w:pPr>
        <w:keepNext/>
        <w:bidi/>
        <w:jc w:val="center"/>
        <w:rPr>
          <w:rFonts w:ascii="Times New Roman (כותרות עבריות)" w:hAnsi="Times New Roman (כותרות עבריות)" w:cs="RimonMF"/>
          <w:b/>
          <w:noProof/>
          <w:color w:val="404040" w:themeColor="text1" w:themeTint="BF"/>
          <w:spacing w:val="10"/>
          <w:position w:val="-4"/>
          <w:sz w:val="40"/>
          <w:szCs w:val="40"/>
          <w:lang w:val="he-IL"/>
        </w:rPr>
      </w:pPr>
      <w:r w:rsidRPr="00283AD1">
        <w:rPr>
          <w:rFonts w:ascii="Times New Roman (כותרות עבריות)" w:hAnsi="Times New Roman (כותרות עבריות)" w:cs="RimonMF"/>
          <w:b/>
          <w:noProof/>
          <w:color w:val="404040" w:themeColor="text1" w:themeTint="BF"/>
          <w:spacing w:val="10"/>
          <w:position w:val="-4"/>
          <w:sz w:val="40"/>
          <w:szCs w:val="40"/>
          <w:rtl/>
          <w:lang w:val="he-IL"/>
        </w:rPr>
        <mc:AlternateContent>
          <mc:Choice Requires="wps">
            <w:drawing>
              <wp:inline distT="0" distB="0" distL="0" distR="0" wp14:anchorId="412130CF" wp14:editId="315A5DBA">
                <wp:extent cx="107950" cy="71755"/>
                <wp:effectExtent l="0" t="0" r="6350" b="4445"/>
                <wp:docPr id="1063064312"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ysClr val="window" lastClr="FFFFFF">
                                <a:lumMod val="65000"/>
                                <a:tint val="66000"/>
                                <a:satMod val="160000"/>
                              </a:sysClr>
                            </a:gs>
                            <a:gs pos="50000">
                              <a:sysClr val="window" lastClr="FFFFFF">
                                <a:lumMod val="65000"/>
                                <a:tint val="44500"/>
                                <a:satMod val="160000"/>
                              </a:sysClr>
                            </a:gs>
                            <a:gs pos="100000">
                              <a:sysClr val="window" lastClr="FFFFFF">
                                <a:lumMod val="65000"/>
                                <a:tint val="23500"/>
                                <a:satMod val="160000"/>
                              </a:sysClr>
                            </a:gs>
                          </a:gsLst>
                          <a:path path="circle">
                            <a:fillToRect l="50000" t="50000" r="50000" b="50000"/>
                          </a:path>
                          <a:tileRect/>
                        </a:gradFill>
                        <a:ln w="25400" cap="flat" cmpd="sng" algn="ctr">
                          <a:noFill/>
                          <a:prstDash val="solid"/>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F9FCAD2"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" fillcolor="#cacaca" stroked="f" strokeweight="2pt">
                <v:fill color2="#eee" rotate="t" focusposition=".5,.5" focussize="" colors="0 #cacaca;.5 #ddd;1 #eee" focus="100%" type="gradientRadial"/>
                <w10:wrap anchorx="page"/>
                <w10:anchorlock/>
              </v:rect>
            </w:pict>
          </mc:Fallback>
        </mc:AlternateContent>
      </w:r>
      <w:r w:rsidRPr="00283AD1">
        <w:rPr>
          <w:rFonts w:ascii="Times New Roman (כותרות עבריות)" w:hAnsi="Times New Roman (כותרות עבריות)" w:cs="RimonMF" w:hint="cs"/>
          <w:b/>
          <w:noProof/>
          <w:color w:val="404040" w:themeColor="text1" w:themeTint="BF"/>
          <w:spacing w:val="10"/>
          <w:position w:val="-4"/>
          <w:sz w:val="40"/>
          <w:szCs w:val="40"/>
          <w:rtl/>
          <w:lang w:val="he-IL"/>
        </w:rPr>
        <w:t xml:space="preserve"> י</w:t>
      </w:r>
      <w:r>
        <w:rPr>
          <w:rFonts w:ascii="Times New Roman (כותרות עבריות)" w:hAnsi="Times New Roman (כותרות עבריות)" w:cs="RimonMF" w:hint="cs"/>
          <w:b/>
          <w:noProof/>
          <w:color w:val="404040" w:themeColor="text1" w:themeTint="BF"/>
          <w:spacing w:val="10"/>
          <w:position w:val="-4"/>
          <w:sz w:val="40"/>
          <w:szCs w:val="40"/>
          <w:rtl/>
          <w:lang w:val="he-IL"/>
        </w:rPr>
        <w:t>ח</w:t>
      </w:r>
      <w:r w:rsidRPr="00283AD1">
        <w:rPr>
          <w:rFonts w:ascii="Times New Roman (כותרות עבריות)" w:hAnsi="Times New Roman (כותרות עבריות)" w:cs="RimonMF" w:hint="cs"/>
          <w:b/>
          <w:noProof/>
          <w:color w:val="404040" w:themeColor="text1" w:themeTint="BF"/>
          <w:spacing w:val="10"/>
          <w:position w:val="-4"/>
          <w:sz w:val="40"/>
          <w:szCs w:val="40"/>
          <w:rtl/>
          <w:lang w:val="he-IL"/>
        </w:rPr>
        <w:t xml:space="preserve"> </w:t>
      </w:r>
      <w:r w:rsidRPr="00283AD1">
        <w:rPr>
          <w:rFonts w:ascii="Times New Roman (כותרות עבריות)" w:hAnsi="Times New Roman (כותרות עבריות)" w:cs="RimonMF"/>
          <w:b/>
          <w:noProof/>
          <w:color w:val="404040" w:themeColor="text1" w:themeTint="BF"/>
          <w:spacing w:val="10"/>
          <w:position w:val="-4"/>
          <w:sz w:val="40"/>
          <w:szCs w:val="40"/>
          <w:rtl/>
          <w:lang w:val="he-IL"/>
        </w:rPr>
        <mc:AlternateContent>
          <mc:Choice Requires="wps">
            <w:drawing>
              <wp:inline distT="0" distB="0" distL="0" distR="0" wp14:anchorId="72CA6AF4" wp14:editId="5A76104B">
                <wp:extent cx="108000" cy="71755"/>
                <wp:effectExtent l="0" t="0" r="6350" b="4445"/>
                <wp:docPr id="1519786405"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ysClr val="window" lastClr="FFFFFF">
                                <a:lumMod val="65000"/>
                                <a:tint val="66000"/>
                                <a:satMod val="160000"/>
                              </a:sysClr>
                            </a:gs>
                            <a:gs pos="50000">
                              <a:sysClr val="window" lastClr="FFFFFF">
                                <a:lumMod val="65000"/>
                                <a:tint val="44500"/>
                                <a:satMod val="160000"/>
                              </a:sysClr>
                            </a:gs>
                            <a:gs pos="100000">
                              <a:sysClr val="window" lastClr="FFFFFF">
                                <a:lumMod val="65000"/>
                                <a:tint val="23500"/>
                                <a:satMod val="160000"/>
                              </a:sysClr>
                            </a:gs>
                          </a:gsLst>
                          <a:path path="circle">
                            <a:fillToRect l="50000" t="50000" r="50000" b="50000"/>
                          </a:path>
                          <a:tileRect/>
                        </a:gradFill>
                        <a:ln w="25400" cap="flat" cmpd="sng" algn="ctr">
                          <a:noFill/>
                          <a:prstDash val="solid"/>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F93ACF8"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" fillcolor="#cacaca" stroked="f" strokeweight="2pt">
                <v:fill color2="#eee" rotate="t" focusposition=".5,.5" focussize="" colors="0 #cacaca;.5 #ddd;1 #eee" focus="100%" type="gradientRadial"/>
                <w10:wrap anchorx="page"/>
                <w10:anchorlock/>
              </v:rect>
            </w:pict>
          </mc:Fallback>
        </mc:AlternateContent>
      </w:r>
    </w:p>
    <w:p w14:paraId="0053C578" w14:textId="0A39724B" w:rsidR="00283AD1" w:rsidRDefault="00283AD1" w:rsidP="00240203">
      <w:pPr>
        <w:pStyle w:val="afa"/>
        <w:rPr>
          <w:rtl/>
        </w:rPr>
      </w:pPr>
      <w:r>
        <w:rPr>
          <w:rFonts w:hint="cs"/>
          <w:rtl/>
        </w:rPr>
        <w:t>בביאור הלכה ד"ה קראה הביא דעת הדרכי משה דבדרבנן יש להקל כהרי"ף דאפי' בשהה מחמת אונס אינו חוזר לראש, ושדעת המג"א לחשוש לדרכי משה בענין ברכות. והנה, המגן אברהם בסימן נג (סק"ה) פסק, דמי ששהה בפסוקי דזמרה אפי' כדי לגמור את כולה ואפי' מחמת אונס, אינו חוזר לראש, ומשמע מיניה דאי"צ אפי' לחזור על פסוד"ז מלבד ברוך שאמר, ויש לתמוה, מאחר דאין בזה חשש ברכות, אמאי לא חשש לדעת הסוברים דמחמת אונס צריך לחזור לראש, וה"נ יחזור לפסוקי דזמרה אע"ג דאינו חוזר לישתבח. מוכח לכא' דכיון דלא חוזר ומברך ברוך שאמר (משום סב"ל) תו אין משמעות לאם יחזור על פסוקי דזמרה, דלא יהא זה אלא כקורא בתורה. ומכאן יש להעיר לכא' אמש"כ ביאור הלכה בסימן נג (ס"ב ד"ה אמר) בשם הפמ"ג (שם א"א סק"ב) דמי שדילג ברוך שאמר, וכבר אמר פסוד"ז שוב לא יוכל לברך ברוך שאמר, כי היא נתקנה דוקא על פסוד"ז וכבר אמרם, מוכח דס"ל דפסוד"ז אף בלא ברוך שאמר חשיבי, ולכא' ממג"א הנז' משמע לא כן.</w:t>
      </w:r>
    </w:p>
    <w:p w14:paraId="2D212F39" w14:textId="77777777" w:rsidR="00CB783F" w:rsidRDefault="00CB783F" w:rsidP="00283AD1">
      <w:pPr>
        <w:bidi/>
        <w:spacing w:before="600" w:after="320"/>
        <w:jc w:val="center"/>
        <w:rPr>
          <w:rFonts w:ascii="BA Franknatan Bold" w:hAnsi="BA Franknatan Bold" w:cs="RimonMF"/>
          <w:color w:val="404040" w:themeColor="text1" w:themeTint="BF"/>
          <w:sz w:val="54"/>
          <w:szCs w:val="54"/>
          <w:rtl/>
        </w:rPr>
      </w:pPr>
    </w:p>
    <w:p w14:paraId="5DE2EFDA" w14:textId="0EA6B958" w:rsidR="00283AD1" w:rsidRPr="00283AD1" w:rsidRDefault="00283AD1" w:rsidP="00283AD1">
      <w:pPr>
        <w:bidi/>
        <w:spacing w:before="600" w:after="320"/>
        <w:jc w:val="center"/>
        <w:rPr>
          <w:rFonts w:ascii="BA Franknatan Bold" w:hAnsi="BA Franknatan Bold" w:cs="RimonMF"/>
          <w:color w:val="404040" w:themeColor="text1" w:themeTint="BF"/>
          <w:sz w:val="54"/>
          <w:szCs w:val="54"/>
          <w:rtl/>
        </w:rPr>
      </w:pPr>
      <w:r w:rsidRPr="00283AD1">
        <w:rPr>
          <w:rFonts w:ascii="BA Franknatan Bold" w:hAnsi="BA Franknatan Bold" w:cs="RimonMF" w:hint="cs"/>
          <w:color w:val="404040" w:themeColor="text1" w:themeTint="BF"/>
          <w:sz w:val="54"/>
          <w:szCs w:val="54"/>
          <w:rtl/>
        </w:rPr>
        <w:t>סימן סו</w:t>
      </w:r>
    </w:p>
    <w:p w14:paraId="32576BAC" w14:textId="7EED48F8" w:rsidR="00283AD1" w:rsidRPr="00240203" w:rsidRDefault="00283AD1" w:rsidP="00283AD1">
      <w:pPr>
        <w:pStyle w:val="afd"/>
      </w:pPr>
      <w:r>
        <w:rPr>
          <w:rtl/>
        </w:rPr>
        <mc:AlternateContent>
          <mc:Choice Requires="wps">
            <w:drawing>
              <wp:inline distT="0" distB="0" distL="0" distR="0" wp14:anchorId="5ECA6D30" wp14:editId="16CBC420">
                <wp:extent cx="107950" cy="71755"/>
                <wp:effectExtent l="0" t="0" r="6350" b="4445"/>
                <wp:docPr id="106967367"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CF9F431"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א </w:t>
      </w:r>
      <w:r>
        <w:rPr>
          <w:rtl/>
        </w:rPr>
        <mc:AlternateContent>
          <mc:Choice Requires="wps">
            <w:drawing>
              <wp:inline distT="0" distB="0" distL="0" distR="0" wp14:anchorId="222FB281" wp14:editId="1ADFBF28">
                <wp:extent cx="108000" cy="71755"/>
                <wp:effectExtent l="0" t="0" r="6350" b="4445"/>
                <wp:docPr id="1356370904"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F3A5CE1"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5C434201" w14:textId="6447D94C" w:rsidR="00283AD1" w:rsidRDefault="00283AD1" w:rsidP="00240203">
      <w:pPr>
        <w:pStyle w:val="afa"/>
        <w:rPr>
          <w:rtl/>
        </w:rPr>
      </w:pPr>
      <w:r>
        <w:rPr>
          <w:rFonts w:hint="cs"/>
          <w:rtl/>
        </w:rPr>
        <w:t>כתב הב"ח (אות א) להק' על הרא"ש דתמה על רש"י והרמב"ם שפירשו דין שאלת שלום מפני היראה, דמיירי ביראה מחמת נפשות, ותמה הרא"ש, פשיטא שאי"צ למסור נפש בזה. ותמה הב"ח א"כ מה ישיב הרא"ש אהא דאמר רב יוסף דמה שאמרו במתני' דהעומד בתפילה אפי' המלך שואל בשלומו לא ישיבנו, מיירי למלכי ישראל, אבל למלכי אומות העולם פוסק. והתם נמי תיקשי פשיטא. ולכא' יש לחלק, התם כיון דבעי תנא להשמיע עיקר הדין לגבי מלכי ישראל, חייש רב יוסף לטועה שאפי' למלכי אומות העולם לא יפסיק, מטעם דתפילה הוי עומד לפני הקב"ה, ומחויב למסור נפשו. משא"כ הכא פשיטא כל עיקר דינא דתנא, ולא הול"ל כלל דין שאלת שלום מפני היראה. ודוחק לומר דה"נ קאמר הב"ח, גבי ק"ש נמי איכא למיטעי שמא יאמרו ק"ש מלכות שמים היא, וצריך למסור הנפש, קמ"ל תנא דשואל מפני היראה [ונאמר דאע"ג דתנא קאי נמי אברכות ק"ש, מ"מ דין זה נשנה מפני ק"ש שיש בה מלכות שמים]. זה ק"ק לומר, דא"ה גבי תפילה נמי הו"ל לתנא למיחש שמא יטעו, ואמאי לא פירש, משמע דתנא לא נחית להאי חששא, ורב יוסף הוצרך לכך, כ"ש גבי ק"ש דהו"ל לתנא לישתוק וליכא למיחש שמא יטעו למסור נפש.</w:t>
      </w:r>
    </w:p>
    <w:p w14:paraId="4C239859" w14:textId="319F5236" w:rsidR="00283AD1" w:rsidRPr="00240203" w:rsidRDefault="00283AD1" w:rsidP="00283AD1">
      <w:pPr>
        <w:pStyle w:val="afd"/>
      </w:pPr>
      <w:r>
        <w:rPr>
          <w:rtl/>
        </w:rPr>
        <mc:AlternateContent>
          <mc:Choice Requires="wps">
            <w:drawing>
              <wp:inline distT="0" distB="0" distL="0" distR="0" wp14:anchorId="0C98604F" wp14:editId="4CB35F3C">
                <wp:extent cx="107950" cy="71755"/>
                <wp:effectExtent l="0" t="0" r="6350" b="4445"/>
                <wp:docPr id="359479667"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31D412D"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ב </w:t>
      </w:r>
      <w:r>
        <w:rPr>
          <w:rtl/>
        </w:rPr>
        <mc:AlternateContent>
          <mc:Choice Requires="wps">
            <w:drawing>
              <wp:inline distT="0" distB="0" distL="0" distR="0" wp14:anchorId="185964E7" wp14:editId="3880BF2B">
                <wp:extent cx="108000" cy="71755"/>
                <wp:effectExtent l="0" t="0" r="6350" b="4445"/>
                <wp:docPr id="186564857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FE00BF"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40245026" w14:textId="702D7DB0" w:rsidR="00283AD1" w:rsidRDefault="00283AD1" w:rsidP="00240203">
      <w:pPr>
        <w:pStyle w:val="afa"/>
        <w:rPr>
          <w:rtl/>
        </w:rPr>
      </w:pPr>
      <w:r>
        <w:rPr>
          <w:rFonts w:hint="cs"/>
          <w:rtl/>
        </w:rPr>
        <w:t>עוד כתב הב"ח (שם) להק' על תמיהת הרא"ש הנז' בהערה לעיל, דא"כ מה סבר אותו חסיד שלא ענה להגמון באמצע התפילה, עוד כתב הב"ח להק' על שיטת הרא"ש דפי' דמפני היראה היינו יראת אביו או רבו, והא דין השבת שלום לאביו ורבו הוא מדין כבוד לא מדין יראה, ואדרבה לשאול את אביו או רבו שלום אינו נכון. וציבור בני התורה האברכים שליט"א מתבקשים לעורר אש ולדון בשאלות העצומות של רבינו הב"ח זצ"ל</w:t>
      </w:r>
      <w:r w:rsidRPr="00883345">
        <w:rPr>
          <w:rFonts w:hint="cs"/>
          <w:sz w:val="18"/>
          <w:szCs w:val="18"/>
          <w:rtl/>
        </w:rPr>
        <w:t>.</w:t>
      </w:r>
      <w:r>
        <w:rPr>
          <w:sz w:val="18"/>
          <w:szCs w:val="18"/>
          <w:rtl/>
        </w:rPr>
        <w:tab/>
      </w:r>
      <w:r w:rsidRPr="00283AD1">
        <w:rPr>
          <w:rStyle w:val="afc"/>
          <w:rFonts w:hint="cs"/>
          <w:b w:val="0"/>
          <w:bCs w:val="0"/>
          <w:rtl/>
        </w:rPr>
        <w:t>[ראש הכולל שליט"א].</w:t>
      </w:r>
    </w:p>
    <w:p w14:paraId="2B8A783F" w14:textId="51CAE18B" w:rsidR="00283AD1" w:rsidRPr="00240203" w:rsidRDefault="00283AD1" w:rsidP="00283AD1">
      <w:pPr>
        <w:pStyle w:val="afd"/>
      </w:pPr>
      <w:r>
        <w:rPr>
          <w:rtl/>
        </w:rPr>
        <mc:AlternateContent>
          <mc:Choice Requires="wps">
            <w:drawing>
              <wp:inline distT="0" distB="0" distL="0" distR="0" wp14:anchorId="7A33E51F" wp14:editId="33E9C71B">
                <wp:extent cx="107950" cy="71755"/>
                <wp:effectExtent l="0" t="0" r="6350" b="4445"/>
                <wp:docPr id="1959822451"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A59A296"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ג </w:t>
      </w:r>
      <w:r>
        <w:rPr>
          <w:rtl/>
        </w:rPr>
        <mc:AlternateContent>
          <mc:Choice Requires="wps">
            <w:drawing>
              <wp:inline distT="0" distB="0" distL="0" distR="0" wp14:anchorId="2A881F91" wp14:editId="432FBF77">
                <wp:extent cx="108000" cy="71755"/>
                <wp:effectExtent l="0" t="0" r="6350" b="4445"/>
                <wp:docPr id="143732583"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811EACA"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097A1529" w14:textId="1CEBA29B" w:rsidR="00283AD1" w:rsidRDefault="00283AD1" w:rsidP="00240203">
      <w:pPr>
        <w:pStyle w:val="afa"/>
        <w:rPr>
          <w:rtl/>
        </w:rPr>
      </w:pPr>
      <w:r>
        <w:rPr>
          <w:rFonts w:hint="cs"/>
          <w:rtl/>
        </w:rPr>
        <w:t>כתב הב"ח (שם), דאע"ג דלגבי תפילה איכא חילוק בין מלכי ישראל למלכי אומות העולם בק"ש אין לחלק. וכתב בסוף דבריו להביא ראיה מדברי רבינו יונה, דפירש דברי הרי"ף שכתב ודברת בם ולא בתפילה, שבתפילה הוא דאין רשות להפסיק כדתנן ואפי' המלך שואל בשלומו לא ישיבנו, משא"כ בק"ש. אמנם יש להעיר, דיתכן דרבינו יונה ס"ל כהרא"ש ורשב"א דמפני היראה היינו יראת אביו או רבו, וממילא כ"ש מלך ישראל [וס"ל הכי נמי בדעת הרי"ף, ויהיה בזה כדי ליישב פסק הב"י דהכריע נגד מיעוט ראשונים, עי' בב"ח שתמה עליו, ולפי"ז י"ל דאיכא כאן דעת רי"ף ורא"ש, דהיינו ב' עמודי הוראה], משא"כ אי הוה ס"ל כרש"י והרמב"ם דמפני היראה היינו אנס, היה מודה ה"ר יונה, דמשמע דדוקא אנס התירו דומיא דתפילה ולא מלכי ישראל.</w:t>
      </w:r>
    </w:p>
    <w:p w14:paraId="00107554" w14:textId="594EC8D9" w:rsidR="00283AD1" w:rsidRPr="00240203" w:rsidRDefault="00283AD1" w:rsidP="00283AD1">
      <w:pPr>
        <w:pStyle w:val="afd"/>
      </w:pPr>
      <w:r>
        <w:rPr>
          <w:rtl/>
        </w:rPr>
        <mc:AlternateContent>
          <mc:Choice Requires="wps">
            <w:drawing>
              <wp:inline distT="0" distB="0" distL="0" distR="0" wp14:anchorId="1271CA78" wp14:editId="327124DA">
                <wp:extent cx="107950" cy="71755"/>
                <wp:effectExtent l="0" t="0" r="6350" b="4445"/>
                <wp:docPr id="1521234445"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4E0C35F"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ד </w:t>
      </w:r>
      <w:r>
        <w:rPr>
          <w:rtl/>
        </w:rPr>
        <mc:AlternateContent>
          <mc:Choice Requires="wps">
            <w:drawing>
              <wp:inline distT="0" distB="0" distL="0" distR="0" wp14:anchorId="399F9CBA" wp14:editId="3B4C518E">
                <wp:extent cx="108000" cy="71755"/>
                <wp:effectExtent l="0" t="0" r="6350" b="4445"/>
                <wp:docPr id="1302857423"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CB68617"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285FD8E4" w14:textId="71211127" w:rsidR="00283AD1" w:rsidRDefault="00283AD1" w:rsidP="00240203">
      <w:pPr>
        <w:pStyle w:val="afa"/>
        <w:rPr>
          <w:rtl/>
        </w:rPr>
      </w:pPr>
      <w:r>
        <w:rPr>
          <w:rFonts w:hint="cs"/>
          <w:rtl/>
        </w:rPr>
        <w:t>המשנה ברורה (סקט"ז) הביא ב' טעמים מ"ש תפילין דהמניחם בק"ש וברכותיה יברך עליהם [לשו"ע דוקא בבין הפרקים, ולהרמ"א אף באמצע הפרק היכא דלא אפשר כגון בק"ש מטעם דאיכא מצוה בכל תיבה שיאמרנה עם תפילין ובאמת ויציב דתו ליכא סיום פרק], לטלית דהכרעת הרמ"א דלא יברך עליהם, והם: א'. טלית אינה חובת גברא. ב'. תפילין אם יאמר וקשרתם ואינו קושר הרי הוא כמעיד עדות שקר, בשונה מטלית דאע"ג דיאמר פרשת ציצית אין באמירתו עדות שקר, שהרי אין חובת הנחה. נמצאו ב' הטעמים משלימים זה את זה. [ומילת 'וגם' במ"ב קצת צ"ב]. ומ"מ יש לדון באם אפשר לו לקיים מצוה עוברת דיש בה חיוב גברא (כגון ד' מינים) בק"ש וברכותיה [שאין בה טורח, עי' מ"ב סי' ע סקי"ח] האם יברך. דיש לומר להכי שמעי' כאן נמי לטעם הראשון שמחלק בין חובת גברא לאינו חובת גברא.</w:t>
      </w:r>
    </w:p>
    <w:p w14:paraId="3A40FBAF" w14:textId="385AB7AC" w:rsidR="00283AD1" w:rsidRPr="00240203" w:rsidRDefault="00283AD1" w:rsidP="00283AD1">
      <w:pPr>
        <w:pStyle w:val="afd"/>
      </w:pPr>
      <w:r>
        <w:rPr>
          <w:rtl/>
        </w:rPr>
        <mc:AlternateContent>
          <mc:Choice Requires="wps">
            <w:drawing>
              <wp:inline distT="0" distB="0" distL="0" distR="0" wp14:anchorId="6A0449C1" wp14:editId="418E6182">
                <wp:extent cx="107950" cy="71755"/>
                <wp:effectExtent l="0" t="0" r="6350" b="4445"/>
                <wp:docPr id="1756963721"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057E70"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ה </w:t>
      </w:r>
      <w:r>
        <w:rPr>
          <w:rtl/>
        </w:rPr>
        <mc:AlternateContent>
          <mc:Choice Requires="wps">
            <w:drawing>
              <wp:inline distT="0" distB="0" distL="0" distR="0" wp14:anchorId="0E3F7D64" wp14:editId="34BA0B8B">
                <wp:extent cx="108000" cy="71755"/>
                <wp:effectExtent l="0" t="0" r="6350" b="4445"/>
                <wp:docPr id="155152679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135DDE7"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225120DD" w14:textId="758CDD8D" w:rsidR="00283AD1" w:rsidRDefault="00283AD1" w:rsidP="00283AD1">
      <w:pPr>
        <w:pStyle w:val="afa"/>
        <w:rPr>
          <w:rtl/>
        </w:rPr>
      </w:pPr>
      <w:r>
        <w:rPr>
          <w:rFonts w:hint="cs"/>
          <w:rtl/>
        </w:rPr>
        <w:t>פסק המשנה ברורה (סקט"ז) דמי שמתבייש לשבת בבית הכנסת כשאינו מעוטף בטלית, לכו"ע יכול לברך עליה בין הפרקים [פירוש, אף להכרעת הרמ"א דבטלית לא יברך אלא לאחר התפילה], וכ"כ המ"ב בסי' נג סק"ה. והעיר בשו"ת שבט הלוי (ח"ג סי' טו אות ז) דלכא' צ"ב מ"ט יברך, הלא יכול להתעטף בלא ברכה, וליכא תו ביוש. ואבן העוזר לשיטתו דאין להתעטף בלא לברך. והביאו בשם הגרח"ק זצ"ל (הו"ד במשנה אחרונה), דכיון דאיכא ביוש איכא היתר גמור להתעטף בטלית וממילא מצי לברך. אמנם לכא' צ"ב, סו"ס יש שיטה בראשונים [דכ"פ הרמ"א] דמתעטף בלא ברכה, [בשונה מדעת השו"ע דהוא כר"י (בתוס' ברכות יד: ד"ה ומנח) דאף טלית בברכה, ובשונה מדעת התוס' (שם) דלא יתעטף כלל], ומאחר דמעיקר דינא להרמ"א מתעטף בלא ברכה, מהיכן אתא מצב של ביוש, נהי דאם היה אסור להתעטף היה ביוש, מ"מ השתא עיקר דינא דמותר, וליכא ביוש, והיתר ברכה מהיכן בא.</w:t>
      </w:r>
    </w:p>
    <w:p w14:paraId="74990E2B" w14:textId="1175767A" w:rsidR="00CB783F" w:rsidRPr="00240203" w:rsidRDefault="00CB783F" w:rsidP="00CB783F">
      <w:pPr>
        <w:pStyle w:val="afd"/>
      </w:pPr>
      <w:r>
        <w:rPr>
          <w:rtl/>
        </w:rPr>
        <mc:AlternateContent>
          <mc:Choice Requires="wps">
            <w:drawing>
              <wp:inline distT="0" distB="0" distL="0" distR="0" wp14:anchorId="2EC17EE9" wp14:editId="502E6AB7">
                <wp:extent cx="107950" cy="71755"/>
                <wp:effectExtent l="0" t="0" r="6350" b="4445"/>
                <wp:docPr id="1757672792"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1AD564A"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ו </w:t>
      </w:r>
      <w:r>
        <w:rPr>
          <w:rtl/>
        </w:rPr>
        <mc:AlternateContent>
          <mc:Choice Requires="wps">
            <w:drawing>
              <wp:inline distT="0" distB="0" distL="0" distR="0" wp14:anchorId="1FC0BF8E" wp14:editId="40817298">
                <wp:extent cx="108000" cy="71755"/>
                <wp:effectExtent l="0" t="0" r="6350" b="4445"/>
                <wp:docPr id="724810811"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5478658"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2F67D782" w14:textId="7C5155B7" w:rsidR="00CB783F" w:rsidRDefault="00CB783F" w:rsidP="00CB783F">
      <w:pPr>
        <w:pStyle w:val="afa"/>
        <w:jc w:val="center"/>
        <w:rPr>
          <w:rtl/>
        </w:rPr>
      </w:pPr>
      <w:r w:rsidRPr="00CB783F">
        <w:rPr>
          <w:rtl/>
        </w:rPr>
        <w:t>צ"ע אמאי השמיט הרמב"ם [קר"ש ב. יז]  דינא דגמ' (ברכות יד. יד:) אי חוזר ואומר אמת או לא?</w:t>
      </w:r>
    </w:p>
    <w:p w14:paraId="41E037F9" w14:textId="093C53CC" w:rsidR="00CB783F" w:rsidRPr="00240203" w:rsidRDefault="00CB783F" w:rsidP="00CB783F">
      <w:pPr>
        <w:pStyle w:val="afd"/>
      </w:pPr>
      <w:r>
        <w:rPr>
          <w:rtl/>
        </w:rPr>
        <mc:AlternateContent>
          <mc:Choice Requires="wps">
            <w:drawing>
              <wp:inline distT="0" distB="0" distL="0" distR="0" wp14:anchorId="51D030D6" wp14:editId="3AEE695E">
                <wp:extent cx="107950" cy="71755"/>
                <wp:effectExtent l="0" t="0" r="6350" b="4445"/>
                <wp:docPr id="702741243"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AF3FA92"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ז </w:t>
      </w:r>
      <w:r>
        <w:rPr>
          <w:rtl/>
        </w:rPr>
        <mc:AlternateContent>
          <mc:Choice Requires="wps">
            <w:drawing>
              <wp:inline distT="0" distB="0" distL="0" distR="0" wp14:anchorId="674D1D01" wp14:editId="145E91BF">
                <wp:extent cx="108000" cy="71755"/>
                <wp:effectExtent l="0" t="0" r="6350" b="4445"/>
                <wp:docPr id="1844553734"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04033EF"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0284F60E" w14:textId="2638E7BD" w:rsidR="00CB783F" w:rsidRDefault="00CB783F" w:rsidP="00CB783F">
      <w:pPr>
        <w:pStyle w:val="afa"/>
        <w:jc w:val="center"/>
        <w:rPr>
          <w:rtl/>
        </w:rPr>
      </w:pPr>
      <w:r w:rsidRPr="00CB783F">
        <w:rPr>
          <w:rtl/>
        </w:rPr>
        <w:t>לדעת הרמב"ם [הנ"ל.] לר"י אפי' באמצע הפרק לא יפסוק, קשה שלכאו' הוא סותר למש"כ לעיל דלר"י יפסיק כבאמצע הפרקים?</w:t>
      </w:r>
    </w:p>
    <w:p w14:paraId="04B90ED4" w14:textId="1E447694" w:rsidR="00CB783F" w:rsidRPr="00240203" w:rsidRDefault="00CB783F" w:rsidP="00CB783F">
      <w:pPr>
        <w:pStyle w:val="afd"/>
      </w:pPr>
      <w:r>
        <w:rPr>
          <w:rtl/>
        </w:rPr>
        <mc:AlternateContent>
          <mc:Choice Requires="wps">
            <w:drawing>
              <wp:inline distT="0" distB="0" distL="0" distR="0" wp14:anchorId="4A7A9BE7" wp14:editId="5CBBD24B">
                <wp:extent cx="107950" cy="71755"/>
                <wp:effectExtent l="0" t="0" r="6350" b="4445"/>
                <wp:docPr id="616203908"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2B0BE9B"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ח </w:t>
      </w:r>
      <w:r>
        <w:rPr>
          <w:rtl/>
        </w:rPr>
        <mc:AlternateContent>
          <mc:Choice Requires="wps">
            <w:drawing>
              <wp:inline distT="0" distB="0" distL="0" distR="0" wp14:anchorId="2C7F7E3C" wp14:editId="321A885C">
                <wp:extent cx="108000" cy="71755"/>
                <wp:effectExtent l="0" t="0" r="6350" b="4445"/>
                <wp:docPr id="1219779258"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124F479"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6D0FB585" w14:textId="6243978A" w:rsidR="00CB783F" w:rsidRDefault="00CB783F" w:rsidP="00CB783F">
      <w:pPr>
        <w:pStyle w:val="afa"/>
        <w:jc w:val="center"/>
        <w:rPr>
          <w:rtl/>
        </w:rPr>
      </w:pPr>
      <w:r w:rsidRPr="00CB783F">
        <w:rPr>
          <w:rtl/>
        </w:rPr>
        <w:t>ועוד צ"ע שסותר הכס"מ [שם.] למש"כ בשמו הב"י [.סו"ס נט]  שאין להפסיק כלל בין הברכות לק"ש ?</w:t>
      </w:r>
    </w:p>
    <w:p w14:paraId="1BD2D52D" w14:textId="7F34261A" w:rsidR="00CB783F" w:rsidRPr="00240203" w:rsidRDefault="00CB783F" w:rsidP="00CB783F">
      <w:pPr>
        <w:pStyle w:val="afd"/>
      </w:pPr>
      <w:r>
        <w:rPr>
          <w:rtl/>
        </w:rPr>
        <mc:AlternateContent>
          <mc:Choice Requires="wps">
            <w:drawing>
              <wp:inline distT="0" distB="0" distL="0" distR="0" wp14:anchorId="0248D0BB" wp14:editId="3E7C3DF2">
                <wp:extent cx="107950" cy="71755"/>
                <wp:effectExtent l="0" t="0" r="6350" b="4445"/>
                <wp:docPr id="712834877" name="מלבן 2"/>
                <wp:cNvGraphicFramePr/>
                <a:graphic xmlns:a="http://schemas.openxmlformats.org/drawingml/2006/main">
                  <a:graphicData uri="http://schemas.microsoft.com/office/word/2010/wordprocessingShape">
                    <wps:wsp>
                      <wps:cNvSpPr/>
                      <wps:spPr>
                        <a:xfrm>
                          <a:off x="0" y="0"/>
                          <a:ext cx="10795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A870576" id="מלבן 2"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" fillcolor="#a5a5a5 [2092]" stroked="f" strokeweight="2pt">
                <v:fill color2="#a5a5a5 [2092]" rotate="t" focusposition=".5,.5" focussize="" colors="0 #cacaca;.5 #ddd;1 #eee" focus="100%" type="gradientRadial"/>
                <w10:wrap anchorx="page"/>
                <w10:anchorlock/>
              </v:rect>
            </w:pict>
          </mc:Fallback>
        </mc:AlternateContent>
      </w:r>
      <w:r>
        <w:rPr>
          <w:rFonts w:hint="cs"/>
          <w:rtl/>
        </w:rPr>
        <w:t xml:space="preserve"> ט </w:t>
      </w:r>
      <w:r>
        <w:rPr>
          <w:rtl/>
        </w:rPr>
        <mc:AlternateContent>
          <mc:Choice Requires="wps">
            <w:drawing>
              <wp:inline distT="0" distB="0" distL="0" distR="0" wp14:anchorId="3F61469B" wp14:editId="11DE830D">
                <wp:extent cx="108000" cy="71755"/>
                <wp:effectExtent l="0" t="0" r="6350" b="4445"/>
                <wp:docPr id="1360679570" name="מלבן 3"/>
                <wp:cNvGraphicFramePr/>
                <a:graphic xmlns:a="http://schemas.openxmlformats.org/drawingml/2006/main">
                  <a:graphicData uri="http://schemas.microsoft.com/office/word/2010/wordprocessingShape">
                    <wps:wsp>
                      <wps:cNvSpPr/>
                      <wps:spPr>
                        <a:xfrm>
                          <a:off x="0" y="0"/>
                          <a:ext cx="108000" cy="71755"/>
                        </a:xfrm>
                        <a:prstGeom prst="rect">
                          <a:avLst/>
                        </a:prstGeom>
                        <a:gradFill flip="none" rotWithShape="1">
                          <a:gsLst>
                            <a:gs pos="0">
                              <a:schemeClr val="bg1">
                                <a:lumMod val="65000"/>
                                <a:tint val="66000"/>
                                <a:satMod val="160000"/>
                              </a:schemeClr>
                            </a:gs>
                            <a:gs pos="50000">
                              <a:schemeClr val="bg1">
                                <a:lumMod val="65000"/>
                                <a:tint val="44500"/>
                                <a:satMod val="160000"/>
                              </a:schemeClr>
                            </a:gs>
                            <a:gs pos="100000">
                              <a:schemeClr val="bg1">
                                <a:lumMod val="65000"/>
                                <a:tint val="23500"/>
                                <a:satMod val="160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1904745" id="מלבן 3" o:spid="_x0000_s1026" style="width:8.5pt;height:5.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" fillcolor="#a5a5a5 [2092]" stroked="f" strokeweight="2pt">
                <v:fill color2="#a5a5a5 [2092]" rotate="t" focusposition=".5,.5" focussize="" colors="0 #cacaca;.5 #ddd;1 #eee" focus="100%" type="gradientRadial"/>
                <w10:wrap anchorx="page"/>
                <w10:anchorlock/>
              </v:rect>
            </w:pict>
          </mc:Fallback>
        </mc:AlternateContent>
      </w:r>
    </w:p>
    <w:p w14:paraId="5C3982E6" w14:textId="1A0C9889" w:rsidR="00CB783F" w:rsidRDefault="00CB783F" w:rsidP="00CB783F">
      <w:pPr>
        <w:pStyle w:val="afa"/>
        <w:jc w:val="center"/>
      </w:pPr>
      <w:r w:rsidRPr="00CB783F">
        <w:rPr>
          <w:rtl/>
        </w:rPr>
        <w:t>צ"ב מה ביאור המחלוקת המפרשים האם בעי למסמך ה' אליקכם אמת ?</w:t>
      </w:r>
    </w:p>
    <w:sectPr w:rsidR="00CB783F" w:rsidSect="009816EC">
      <w:footerReference w:type="default" r:id="rId7"/>
      <w:footerReference w:type="first" r:id="rId8"/>
      <w:pgSz w:w="11906" w:h="16838"/>
      <w:pgMar w:top="1440" w:right="1077" w:bottom="851" w:left="1077" w:header="709" w:footer="113" w:gutter="0"/>
      <w:pgNumType w:fmt="hebrew1"/>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BD7C" w14:textId="77777777" w:rsidR="00B433DD" w:rsidRDefault="00B433DD" w:rsidP="00902056">
      <w:r>
        <w:separator/>
      </w:r>
    </w:p>
  </w:endnote>
  <w:endnote w:type="continuationSeparator" w:id="0">
    <w:p w14:paraId="396BE256" w14:textId="77777777" w:rsidR="00B433DD" w:rsidRDefault="00B433DD" w:rsidP="0090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bsfaradi A">
    <w:panose1 w:val="02020603050405020304"/>
    <w:charset w:val="00"/>
    <w:family w:val="roman"/>
    <w:pitch w:val="variable"/>
    <w:sig w:usb0="80000827" w:usb1="50000000" w:usb2="00000000" w:usb3="00000000" w:csb0="00000021" w:csb1="00000000"/>
  </w:font>
  <w:font w:name="Ktifa">
    <w:panose1 w:val="00000000000000000000"/>
    <w:charset w:val="B1"/>
    <w:family w:val="auto"/>
    <w:pitch w:val="variable"/>
    <w:sig w:usb0="00000801" w:usb1="00000000" w:usb2="00000000" w:usb3="00000000" w:csb0="0000002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BA Franknatan Bold">
    <w:panose1 w:val="02020803050405020304"/>
    <w:charset w:val="00"/>
    <w:family w:val="roman"/>
    <w:pitch w:val="variable"/>
    <w:sig w:usb0="00000803" w:usb1="50000000" w:usb2="00000000" w:usb3="00000000" w:csb0="00000021" w:csb1="00000000"/>
  </w:font>
  <w:font w:name="EFT_Atara">
    <w:panose1 w:val="01000503000000020003"/>
    <w:charset w:val="B1"/>
    <w:family w:val="auto"/>
    <w:pitch w:val="variable"/>
    <w:sig w:usb0="80000827" w:usb1="5000004A" w:usb2="00000000" w:usb3="00000000" w:csb0="00000020" w:csb1="00000000"/>
  </w:font>
  <w:font w:name="Tehila">
    <w:altName w:val="Arial"/>
    <w:panose1 w:val="00000000000000000000"/>
    <w:charset w:val="B1"/>
    <w:family w:val="auto"/>
    <w:pitch w:val="variable"/>
    <w:sig w:usb0="00000801" w:usb1="00000000" w:usb2="00000000" w:usb3="00000000" w:csb0="00000020" w:csb1="00000000"/>
  </w:font>
  <w:font w:name="Gisha">
    <w:panose1 w:val="020B0502040204020203"/>
    <w:charset w:val="00"/>
    <w:family w:val="swiss"/>
    <w:pitch w:val="variable"/>
    <w:sig w:usb0="80000807" w:usb1="40000042" w:usb2="00000000" w:usb3="00000000" w:csb0="00000021" w:csb1="00000000"/>
  </w:font>
  <w:font w:name="Times New Roman (כותרות עבריות)">
    <w:altName w:val="Times New Roman"/>
    <w:panose1 w:val="00000000000000000000"/>
    <w:charset w:val="00"/>
    <w:family w:val="roman"/>
    <w:notTrueType/>
    <w:pitch w:val="default"/>
  </w:font>
  <w:font w:name="RimonMF">
    <w:panose1 w:val="05000000000000000000"/>
    <w:charset w:val="B1"/>
    <w:family w:val="auto"/>
    <w:pitch w:val="variable"/>
    <w:sig w:usb0="00000801" w:usb1="00000000" w:usb2="00000000" w:usb3="00000000" w:csb0="00000020" w:csb1="00000000"/>
  </w:font>
  <w:font w:name="EFT_Algebra">
    <w:panose1 w:val="01000503000000020003"/>
    <w:charset w:val="B1"/>
    <w:family w:val="auto"/>
    <w:pitch w:val="variable"/>
    <w:sig w:usb0="80000827" w:usb1="5000004A"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ehila"/>
        <w:sz w:val="30"/>
        <w:szCs w:val="30"/>
      </w:rPr>
      <w:id w:val="-1659605147"/>
      <w:docPartObj>
        <w:docPartGallery w:val="Page Numbers (Bottom of Page)"/>
        <w:docPartUnique/>
      </w:docPartObj>
    </w:sdtPr>
    <w:sdtContent>
      <w:p w14:paraId="77B5BF0C" w14:textId="22CD4371" w:rsidR="00CB783F" w:rsidRPr="00CB783F" w:rsidRDefault="00CB783F" w:rsidP="009816EC">
        <w:pPr>
          <w:pStyle w:val="af7"/>
          <w:jc w:val="center"/>
          <w:rPr>
            <w:rFonts w:cs="Tehila"/>
            <w:sz w:val="30"/>
            <w:szCs w:val="30"/>
          </w:rPr>
        </w:pPr>
        <w:r w:rsidRPr="00CB783F">
          <w:rPr>
            <w:rFonts w:cs="Tehila"/>
            <w:sz w:val="30"/>
            <w:szCs w:val="30"/>
          </w:rPr>
          <w:fldChar w:fldCharType="begin"/>
        </w:r>
        <w:r w:rsidRPr="00CB783F">
          <w:rPr>
            <w:rFonts w:cs="Tehila"/>
            <w:sz w:val="30"/>
            <w:szCs w:val="30"/>
          </w:rPr>
          <w:instrText>PAGE   \* MERGEFORMAT</w:instrText>
        </w:r>
        <w:r w:rsidRPr="00CB783F">
          <w:rPr>
            <w:rFonts w:cs="Tehila"/>
            <w:sz w:val="30"/>
            <w:szCs w:val="30"/>
          </w:rPr>
          <w:fldChar w:fldCharType="separate"/>
        </w:r>
        <w:r w:rsidRPr="00CB783F">
          <w:rPr>
            <w:rFonts w:cs="Tehila"/>
            <w:sz w:val="30"/>
            <w:szCs w:val="30"/>
            <w:rtl/>
          </w:rPr>
          <w:t>2</w:t>
        </w:r>
        <w:r w:rsidRPr="00CB783F">
          <w:rPr>
            <w:rFonts w:cs="Tehila"/>
            <w:sz w:val="30"/>
            <w:szCs w:val="3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ehila"/>
        <w:sz w:val="30"/>
        <w:szCs w:val="30"/>
      </w:rPr>
      <w:id w:val="236064130"/>
      <w:docPartObj>
        <w:docPartGallery w:val="Page Numbers (Bottom of Page)"/>
        <w:docPartUnique/>
      </w:docPartObj>
    </w:sdtPr>
    <w:sdtContent>
      <w:p w14:paraId="5CEAF44C" w14:textId="33727824" w:rsidR="00CB783F" w:rsidRPr="00CB783F" w:rsidRDefault="00CB783F">
        <w:pPr>
          <w:pStyle w:val="af7"/>
          <w:jc w:val="center"/>
          <w:rPr>
            <w:rFonts w:cs="Tehila"/>
            <w:sz w:val="30"/>
            <w:szCs w:val="30"/>
          </w:rPr>
        </w:pPr>
        <w:r w:rsidRPr="00CB783F">
          <w:rPr>
            <w:rFonts w:cs="Tehila"/>
            <w:sz w:val="30"/>
            <w:szCs w:val="30"/>
          </w:rPr>
          <w:fldChar w:fldCharType="begin"/>
        </w:r>
        <w:r w:rsidRPr="00CB783F">
          <w:rPr>
            <w:rFonts w:cs="Tehila"/>
            <w:sz w:val="30"/>
            <w:szCs w:val="30"/>
          </w:rPr>
          <w:instrText>PAGE   \* MERGEFORMAT</w:instrText>
        </w:r>
        <w:r w:rsidRPr="00CB783F">
          <w:rPr>
            <w:rFonts w:cs="Tehila"/>
            <w:sz w:val="30"/>
            <w:szCs w:val="30"/>
          </w:rPr>
          <w:fldChar w:fldCharType="separate"/>
        </w:r>
        <w:r w:rsidRPr="00CB783F">
          <w:rPr>
            <w:rFonts w:cs="Tehila"/>
            <w:sz w:val="30"/>
            <w:szCs w:val="30"/>
            <w:rtl/>
            <w:lang w:val="he-IL"/>
          </w:rPr>
          <w:t>2</w:t>
        </w:r>
        <w:r w:rsidRPr="00CB783F">
          <w:rPr>
            <w:rFonts w:cs="Tehila"/>
            <w:sz w:val="30"/>
            <w:szCs w:val="3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23B7" w14:textId="77777777" w:rsidR="00B433DD" w:rsidRDefault="00B433DD" w:rsidP="00902056">
      <w:r>
        <w:separator/>
      </w:r>
    </w:p>
  </w:footnote>
  <w:footnote w:type="continuationSeparator" w:id="0">
    <w:p w14:paraId="4CC7F1E5" w14:textId="77777777" w:rsidR="00B433DD" w:rsidRDefault="00B433DD" w:rsidP="00902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1C50"/>
    <w:multiLevelType w:val="hybridMultilevel"/>
    <w:tmpl w:val="2D6ABDD0"/>
    <w:lvl w:ilvl="0" w:tplc="A55EBB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51C0D"/>
    <w:multiLevelType w:val="hybridMultilevel"/>
    <w:tmpl w:val="1EA4CF92"/>
    <w:lvl w:ilvl="0" w:tplc="CB5ABA28">
      <w:start w:val="1"/>
      <w:numFmt w:val="hebrew1"/>
      <w:lvlText w:val="%1."/>
      <w:lvlJc w:val="left"/>
      <w:pPr>
        <w:ind w:left="720" w:hanging="360"/>
      </w:pPr>
      <w:rPr>
        <w:rFonts w:ascii="fbsfaradi A" w:hAnsi="fbsfaradi A" w:cs="Ktifa" w:hint="default"/>
        <w:b w:val="0"/>
        <w:bCs/>
        <w:i w:val="0"/>
        <w:caps w:val="0"/>
        <w:color w:val="0D0D0D" w:themeColor="text1" w:themeTint="F2"/>
        <w:spacing w:val="0"/>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9261E"/>
    <w:multiLevelType w:val="hybridMultilevel"/>
    <w:tmpl w:val="EE3C1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7730F62"/>
    <w:multiLevelType w:val="hybridMultilevel"/>
    <w:tmpl w:val="8CE49FB2"/>
    <w:lvl w:ilvl="0" w:tplc="1018E6C8">
      <w:start w:val="1"/>
      <w:numFmt w:val="bullet"/>
      <w:pStyle w:val="bullets"/>
      <w:lvlText w:val=""/>
      <w:lvlJc w:val="left"/>
      <w:pPr>
        <w:ind w:left="720" w:hanging="360"/>
      </w:pPr>
      <w:rPr>
        <w:rFonts w:ascii="Wingdings" w:hAnsi="Wingdings" w:cs="Wingdings" w:hint="default"/>
        <w:sz w:val="18"/>
        <w:szCs w:val="18"/>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110490"/>
    <w:multiLevelType w:val="hybridMultilevel"/>
    <w:tmpl w:val="90743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808816">
    <w:abstractNumId w:val="3"/>
  </w:num>
  <w:num w:numId="2" w16cid:durableId="1213543558">
    <w:abstractNumId w:val="2"/>
  </w:num>
  <w:num w:numId="3" w16cid:durableId="1620911371">
    <w:abstractNumId w:val="0"/>
  </w:num>
  <w:num w:numId="4" w16cid:durableId="1239441305">
    <w:abstractNumId w:val="1"/>
  </w:num>
  <w:num w:numId="5" w16cid:durableId="921335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9"/>
    <w:rsid w:val="000034E2"/>
    <w:rsid w:val="00014AD8"/>
    <w:rsid w:val="00035482"/>
    <w:rsid w:val="0003695C"/>
    <w:rsid w:val="00055773"/>
    <w:rsid w:val="00062F35"/>
    <w:rsid w:val="000A1D15"/>
    <w:rsid w:val="000C43A5"/>
    <w:rsid w:val="000C5F45"/>
    <w:rsid w:val="000F5150"/>
    <w:rsid w:val="001043F1"/>
    <w:rsid w:val="00114AFE"/>
    <w:rsid w:val="00155714"/>
    <w:rsid w:val="00184134"/>
    <w:rsid w:val="00196579"/>
    <w:rsid w:val="001A1ECF"/>
    <w:rsid w:val="001E26DA"/>
    <w:rsid w:val="001E2966"/>
    <w:rsid w:val="00213F24"/>
    <w:rsid w:val="00220AFB"/>
    <w:rsid w:val="00225D23"/>
    <w:rsid w:val="00236B03"/>
    <w:rsid w:val="00240203"/>
    <w:rsid w:val="00243774"/>
    <w:rsid w:val="00267275"/>
    <w:rsid w:val="00267C27"/>
    <w:rsid w:val="00271E03"/>
    <w:rsid w:val="0027576F"/>
    <w:rsid w:val="00283AD1"/>
    <w:rsid w:val="0028423F"/>
    <w:rsid w:val="002E7094"/>
    <w:rsid w:val="002F5A1A"/>
    <w:rsid w:val="00306629"/>
    <w:rsid w:val="00310C0C"/>
    <w:rsid w:val="003315E6"/>
    <w:rsid w:val="00334914"/>
    <w:rsid w:val="003362C3"/>
    <w:rsid w:val="00341982"/>
    <w:rsid w:val="00357C99"/>
    <w:rsid w:val="00366EC9"/>
    <w:rsid w:val="003F0CB1"/>
    <w:rsid w:val="00475F8B"/>
    <w:rsid w:val="00491CC0"/>
    <w:rsid w:val="004938DF"/>
    <w:rsid w:val="004C0795"/>
    <w:rsid w:val="00507CE8"/>
    <w:rsid w:val="00522E51"/>
    <w:rsid w:val="005353D2"/>
    <w:rsid w:val="005852B9"/>
    <w:rsid w:val="005B27CD"/>
    <w:rsid w:val="005B315D"/>
    <w:rsid w:val="005F5821"/>
    <w:rsid w:val="005F6835"/>
    <w:rsid w:val="006020B9"/>
    <w:rsid w:val="00634FA3"/>
    <w:rsid w:val="0066394D"/>
    <w:rsid w:val="00675D19"/>
    <w:rsid w:val="00677CAD"/>
    <w:rsid w:val="00680797"/>
    <w:rsid w:val="00684715"/>
    <w:rsid w:val="00696115"/>
    <w:rsid w:val="006F4C12"/>
    <w:rsid w:val="00725696"/>
    <w:rsid w:val="007434D0"/>
    <w:rsid w:val="0077666D"/>
    <w:rsid w:val="0078301F"/>
    <w:rsid w:val="007845FF"/>
    <w:rsid w:val="00797900"/>
    <w:rsid w:val="007B1E3E"/>
    <w:rsid w:val="007E4201"/>
    <w:rsid w:val="007F3FE9"/>
    <w:rsid w:val="00866AE3"/>
    <w:rsid w:val="00893018"/>
    <w:rsid w:val="008A780E"/>
    <w:rsid w:val="008C5091"/>
    <w:rsid w:val="008F685F"/>
    <w:rsid w:val="00902056"/>
    <w:rsid w:val="00905743"/>
    <w:rsid w:val="0093295C"/>
    <w:rsid w:val="00937A81"/>
    <w:rsid w:val="00946C95"/>
    <w:rsid w:val="009816EC"/>
    <w:rsid w:val="009A00CA"/>
    <w:rsid w:val="009A0198"/>
    <w:rsid w:val="009C0CC3"/>
    <w:rsid w:val="009C30A1"/>
    <w:rsid w:val="009D0776"/>
    <w:rsid w:val="009F5C7D"/>
    <w:rsid w:val="00A07C44"/>
    <w:rsid w:val="00A11D57"/>
    <w:rsid w:val="00A20B71"/>
    <w:rsid w:val="00A367A9"/>
    <w:rsid w:val="00A61EDD"/>
    <w:rsid w:val="00AC715D"/>
    <w:rsid w:val="00AD4D33"/>
    <w:rsid w:val="00AE4A3A"/>
    <w:rsid w:val="00B433DD"/>
    <w:rsid w:val="00B547A7"/>
    <w:rsid w:val="00B551AE"/>
    <w:rsid w:val="00B65466"/>
    <w:rsid w:val="00B8073A"/>
    <w:rsid w:val="00BE7189"/>
    <w:rsid w:val="00BF681C"/>
    <w:rsid w:val="00C70370"/>
    <w:rsid w:val="00C82B47"/>
    <w:rsid w:val="00CB4680"/>
    <w:rsid w:val="00CB783F"/>
    <w:rsid w:val="00CE2468"/>
    <w:rsid w:val="00D20029"/>
    <w:rsid w:val="00D20379"/>
    <w:rsid w:val="00D40F6F"/>
    <w:rsid w:val="00D6664E"/>
    <w:rsid w:val="00D81560"/>
    <w:rsid w:val="00D8358E"/>
    <w:rsid w:val="00D94AFD"/>
    <w:rsid w:val="00DD7548"/>
    <w:rsid w:val="00E42CD0"/>
    <w:rsid w:val="00E53508"/>
    <w:rsid w:val="00E55C90"/>
    <w:rsid w:val="00E767DD"/>
    <w:rsid w:val="00E9068D"/>
    <w:rsid w:val="00E9188A"/>
    <w:rsid w:val="00EA5DD7"/>
    <w:rsid w:val="00EA735B"/>
    <w:rsid w:val="00EB2377"/>
    <w:rsid w:val="00EE3EB9"/>
    <w:rsid w:val="00EE7427"/>
    <w:rsid w:val="00EF3924"/>
    <w:rsid w:val="00F45F29"/>
    <w:rsid w:val="00F4652C"/>
    <w:rsid w:val="00F72DD4"/>
    <w:rsid w:val="00F80DC2"/>
    <w:rsid w:val="00FB4733"/>
    <w:rsid w:val="00FC10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6DDAC"/>
  <w15:chartTrackingRefBased/>
  <w15:docId w15:val="{4F0A4DAD-A69B-4464-96E6-1BAAD252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4AD8"/>
  </w:style>
  <w:style w:type="paragraph" w:styleId="1">
    <w:name w:val="heading 1"/>
    <w:basedOn w:val="a"/>
    <w:next w:val="a"/>
    <w:link w:val="10"/>
    <w:uiPriority w:val="9"/>
    <w:qFormat/>
    <w:rsid w:val="00BF681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BF681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autoRedefine/>
    <w:uiPriority w:val="99"/>
    <w:unhideWhenUsed/>
    <w:rsid w:val="00E42CD0"/>
    <w:pPr>
      <w:spacing w:before="80" w:after="80"/>
    </w:pPr>
    <w:rPr>
      <w:szCs w:val="24"/>
    </w:rPr>
  </w:style>
  <w:style w:type="character" w:customStyle="1" w:styleId="a4">
    <w:name w:val="טקסט הערת שוליים תו"/>
    <w:basedOn w:val="a0"/>
    <w:link w:val="a3"/>
    <w:uiPriority w:val="99"/>
    <w:rsid w:val="00E42CD0"/>
    <w:rPr>
      <w:rFonts w:cs="Narkisim"/>
      <w:sz w:val="20"/>
      <w:szCs w:val="24"/>
    </w:rPr>
  </w:style>
  <w:style w:type="paragraph" w:customStyle="1" w:styleId="a5">
    <w:name w:val="עניני הסימן"/>
    <w:basedOn w:val="a"/>
    <w:link w:val="Char"/>
    <w:qFormat/>
    <w:rsid w:val="00213F24"/>
    <w:pPr>
      <w:jc w:val="center"/>
    </w:pPr>
    <w:rPr>
      <w:rFonts w:ascii="Narkisim" w:hAnsi="Narkisim"/>
      <w:b/>
      <w:bCs/>
      <w:sz w:val="32"/>
      <w:szCs w:val="32"/>
    </w:rPr>
  </w:style>
  <w:style w:type="character" w:customStyle="1" w:styleId="Char">
    <w:name w:val="עניני הסימן Char"/>
    <w:basedOn w:val="a0"/>
    <w:link w:val="a5"/>
    <w:rsid w:val="00213F24"/>
    <w:rPr>
      <w:rFonts w:ascii="Narkisim" w:hAnsi="Narkisim" w:cs="Narkisim"/>
      <w:b/>
      <w:bCs/>
      <w:sz w:val="32"/>
      <w:szCs w:val="32"/>
    </w:rPr>
  </w:style>
  <w:style w:type="paragraph" w:styleId="a6">
    <w:name w:val="List Paragraph"/>
    <w:basedOn w:val="a"/>
    <w:uiPriority w:val="34"/>
    <w:qFormat/>
    <w:rsid w:val="00DD7548"/>
    <w:pPr>
      <w:ind w:left="720"/>
      <w:contextualSpacing/>
    </w:pPr>
  </w:style>
  <w:style w:type="paragraph" w:styleId="a7">
    <w:name w:val="No Spacing"/>
    <w:uiPriority w:val="1"/>
    <w:qFormat/>
    <w:rsid w:val="00DD7548"/>
    <w:pPr>
      <w:bidi/>
    </w:pPr>
  </w:style>
  <w:style w:type="paragraph" w:customStyle="1" w:styleId="a8">
    <w:name w:val="סימן"/>
    <w:basedOn w:val="1"/>
    <w:qFormat/>
    <w:rsid w:val="00B547A7"/>
    <w:pPr>
      <w:jc w:val="center"/>
    </w:pPr>
    <w:rPr>
      <w:rFonts w:ascii="Narkisim" w:hAnsi="Narkisim" w:cs="Narkisim"/>
      <w:b/>
      <w:bCs/>
      <w:color w:val="auto"/>
      <w:szCs w:val="34"/>
    </w:rPr>
  </w:style>
  <w:style w:type="character" w:customStyle="1" w:styleId="10">
    <w:name w:val="כותרת 1 תו"/>
    <w:basedOn w:val="a0"/>
    <w:link w:val="1"/>
    <w:uiPriority w:val="9"/>
    <w:rsid w:val="00BF681C"/>
    <w:rPr>
      <w:rFonts w:asciiTheme="majorHAnsi" w:eastAsiaTheme="majorEastAsia" w:hAnsiTheme="majorHAnsi" w:cstheme="majorBidi"/>
      <w:color w:val="365F91" w:themeColor="accent1" w:themeShade="BF"/>
      <w:sz w:val="32"/>
      <w:szCs w:val="32"/>
    </w:rPr>
  </w:style>
  <w:style w:type="paragraph" w:customStyle="1" w:styleId="a9">
    <w:name w:val="סעיף"/>
    <w:basedOn w:val="2"/>
    <w:qFormat/>
    <w:rsid w:val="00BF681C"/>
    <w:pPr>
      <w:spacing w:before="0" w:after="120" w:line="360" w:lineRule="auto"/>
    </w:pPr>
    <w:rPr>
      <w:rFonts w:ascii="Narkisim" w:hAnsi="Narkisim" w:cs="Narkisim"/>
      <w:b/>
      <w:bCs/>
      <w:color w:val="auto"/>
      <w:sz w:val="32"/>
      <w:szCs w:val="32"/>
    </w:rPr>
  </w:style>
  <w:style w:type="character" w:customStyle="1" w:styleId="20">
    <w:name w:val="כותרת 2 תו"/>
    <w:basedOn w:val="a0"/>
    <w:link w:val="2"/>
    <w:uiPriority w:val="9"/>
    <w:semiHidden/>
    <w:rsid w:val="00BF681C"/>
    <w:rPr>
      <w:rFonts w:asciiTheme="majorHAnsi" w:eastAsiaTheme="majorEastAsia" w:hAnsiTheme="majorHAnsi" w:cstheme="majorBidi"/>
      <w:color w:val="365F91" w:themeColor="accent1" w:themeShade="BF"/>
      <w:sz w:val="26"/>
      <w:szCs w:val="26"/>
    </w:rPr>
  </w:style>
  <w:style w:type="paragraph" w:customStyle="1" w:styleId="aa">
    <w:name w:val="ענייני הסעיף"/>
    <w:basedOn w:val="a"/>
    <w:link w:val="Char0"/>
    <w:qFormat/>
    <w:rsid w:val="00B547A7"/>
    <w:pPr>
      <w:jc w:val="center"/>
    </w:pPr>
    <w:rPr>
      <w:rFonts w:ascii="Narkisim" w:hAnsi="Narkisim"/>
      <w:szCs w:val="24"/>
    </w:rPr>
  </w:style>
  <w:style w:type="character" w:customStyle="1" w:styleId="Char0">
    <w:name w:val="ענייני הסעיף Char"/>
    <w:basedOn w:val="a0"/>
    <w:link w:val="aa"/>
    <w:rsid w:val="00B547A7"/>
    <w:rPr>
      <w:rFonts w:ascii="Narkisim" w:hAnsi="Narkisim" w:cs="Narkisim"/>
      <w:szCs w:val="24"/>
    </w:rPr>
  </w:style>
  <w:style w:type="paragraph" w:customStyle="1" w:styleId="ab">
    <w:name w:val="תמצית ההלכות"/>
    <w:basedOn w:val="a"/>
    <w:qFormat/>
    <w:rsid w:val="00213F24"/>
    <w:rPr>
      <w:rFonts w:ascii="Narkisim" w:hAnsi="Narkisim"/>
      <w:b/>
      <w:bCs/>
      <w:sz w:val="28"/>
      <w:szCs w:val="30"/>
    </w:rPr>
  </w:style>
  <w:style w:type="paragraph" w:customStyle="1" w:styleId="ac">
    <w:name w:val="הקדמה לסעיף"/>
    <w:basedOn w:val="a"/>
    <w:link w:val="Char1"/>
    <w:qFormat/>
    <w:rsid w:val="00B547A7"/>
    <w:pPr>
      <w:ind w:left="720" w:right="720"/>
    </w:pPr>
    <w:rPr>
      <w:rFonts w:ascii="Narkisim" w:hAnsi="Narkisim"/>
      <w:sz w:val="28"/>
      <w:szCs w:val="30"/>
    </w:rPr>
  </w:style>
  <w:style w:type="character" w:customStyle="1" w:styleId="Char1">
    <w:name w:val="הקדמה לסעיף Char"/>
    <w:basedOn w:val="a0"/>
    <w:link w:val="ac"/>
    <w:rsid w:val="00B547A7"/>
    <w:rPr>
      <w:rFonts w:ascii="Narkisim" w:hAnsi="Narkisim" w:cs="Narkisim"/>
      <w:sz w:val="28"/>
      <w:szCs w:val="30"/>
    </w:rPr>
  </w:style>
  <w:style w:type="paragraph" w:customStyle="1" w:styleId="ad">
    <w:name w:val="הקדמה כללית לסעיף"/>
    <w:basedOn w:val="ae"/>
    <w:autoRedefine/>
    <w:qFormat/>
    <w:rsid w:val="00B8073A"/>
    <w:pPr>
      <w:spacing w:after="240"/>
      <w:ind w:left="432" w:right="432"/>
    </w:pPr>
    <w:rPr>
      <w:rFonts w:ascii="Narkisim" w:hAnsi="Narkisim" w:cs="Narkisim"/>
      <w:bCs/>
      <w:color w:val="000000" w:themeColor="text1"/>
      <w:sz w:val="28"/>
      <w:szCs w:val="26"/>
    </w:rPr>
  </w:style>
  <w:style w:type="paragraph" w:customStyle="1" w:styleId="bullets">
    <w:name w:val="תמצית bullets"/>
    <w:basedOn w:val="ab"/>
    <w:qFormat/>
    <w:rsid w:val="0028423F"/>
    <w:pPr>
      <w:numPr>
        <w:numId w:val="1"/>
      </w:numPr>
    </w:pPr>
    <w:rPr>
      <w:rFonts w:eastAsia="MS Mincho"/>
      <w:bCs w:val="0"/>
      <w:szCs w:val="26"/>
    </w:rPr>
  </w:style>
  <w:style w:type="paragraph" w:customStyle="1" w:styleId="af">
    <w:name w:val="מראה מקומות"/>
    <w:basedOn w:val="a"/>
    <w:autoRedefine/>
    <w:qFormat/>
    <w:rsid w:val="00062F35"/>
    <w:rPr>
      <w:rFonts w:cs="Arial"/>
    </w:rPr>
  </w:style>
  <w:style w:type="paragraph" w:customStyle="1" w:styleId="af0">
    <w:name w:val="סוגיא"/>
    <w:basedOn w:val="1"/>
    <w:qFormat/>
    <w:rsid w:val="005B27CD"/>
    <w:pPr>
      <w:spacing w:before="0"/>
    </w:pPr>
    <w:rPr>
      <w:rFonts w:cs="Arial"/>
      <w:b/>
      <w:bCs/>
      <w:color w:val="auto"/>
      <w:sz w:val="24"/>
      <w:szCs w:val="24"/>
      <w:u w:val="single"/>
    </w:rPr>
  </w:style>
  <w:style w:type="paragraph" w:customStyle="1" w:styleId="af1">
    <w:name w:val="מחבר"/>
    <w:basedOn w:val="a"/>
    <w:autoRedefine/>
    <w:qFormat/>
    <w:rsid w:val="00267275"/>
    <w:pPr>
      <w:spacing w:line="295" w:lineRule="auto"/>
    </w:pPr>
    <w:rPr>
      <w:rFonts w:ascii="Narkisim" w:eastAsia="MS Mincho" w:hAnsi="Narkisim"/>
      <w:b/>
      <w:bCs/>
      <w:sz w:val="28"/>
    </w:rPr>
  </w:style>
  <w:style w:type="character" w:customStyle="1" w:styleId="af2">
    <w:name w:val="רמ&quot;א"/>
    <w:uiPriority w:val="1"/>
    <w:qFormat/>
    <w:rsid w:val="001E26DA"/>
    <w:rPr>
      <w:rFonts w:cs="Guttman Rashi"/>
      <w:bCs w:val="0"/>
      <w:szCs w:val="26"/>
    </w:rPr>
  </w:style>
  <w:style w:type="paragraph" w:styleId="ae">
    <w:name w:val="Subtitle"/>
    <w:basedOn w:val="a"/>
    <w:next w:val="a"/>
    <w:link w:val="af3"/>
    <w:uiPriority w:val="11"/>
    <w:qFormat/>
    <w:rsid w:val="00B8073A"/>
    <w:pPr>
      <w:numPr>
        <w:ilvl w:val="1"/>
      </w:numPr>
      <w:spacing w:after="160"/>
    </w:pPr>
    <w:rPr>
      <w:rFonts w:eastAsiaTheme="minorEastAsia" w:cstheme="minorBidi"/>
      <w:color w:val="5A5A5A" w:themeColor="text1" w:themeTint="A5"/>
      <w:spacing w:val="15"/>
      <w:szCs w:val="22"/>
    </w:rPr>
  </w:style>
  <w:style w:type="character" w:customStyle="1" w:styleId="af3">
    <w:name w:val="כותרת משנה תו"/>
    <w:basedOn w:val="a0"/>
    <w:link w:val="ae"/>
    <w:uiPriority w:val="11"/>
    <w:rsid w:val="00B8073A"/>
    <w:rPr>
      <w:rFonts w:eastAsiaTheme="minorEastAsia"/>
      <w:color w:val="5A5A5A" w:themeColor="text1" w:themeTint="A5"/>
      <w:spacing w:val="15"/>
    </w:rPr>
  </w:style>
  <w:style w:type="paragraph" w:customStyle="1" w:styleId="af4">
    <w:name w:val="כותרת משנה לשיעור"/>
    <w:basedOn w:val="a9"/>
    <w:autoRedefine/>
    <w:qFormat/>
    <w:rsid w:val="00D6664E"/>
    <w:pPr>
      <w:bidi/>
      <w:ind w:left="-177"/>
      <w:jc w:val="center"/>
    </w:pPr>
    <w:rPr>
      <w:rFonts w:ascii="David" w:eastAsia="Times New Roman" w:hAnsi="David" w:cs="David"/>
      <w:sz w:val="28"/>
      <w14:ligatures w14:val="none"/>
    </w:rPr>
  </w:style>
  <w:style w:type="paragraph" w:styleId="af5">
    <w:name w:val="header"/>
    <w:basedOn w:val="a"/>
    <w:link w:val="af6"/>
    <w:uiPriority w:val="99"/>
    <w:unhideWhenUsed/>
    <w:rsid w:val="00902056"/>
    <w:pPr>
      <w:tabs>
        <w:tab w:val="center" w:pos="4153"/>
        <w:tab w:val="right" w:pos="8306"/>
      </w:tabs>
    </w:pPr>
  </w:style>
  <w:style w:type="character" w:customStyle="1" w:styleId="af6">
    <w:name w:val="כותרת עליונה תו"/>
    <w:basedOn w:val="a0"/>
    <w:link w:val="af5"/>
    <w:uiPriority w:val="99"/>
    <w:rsid w:val="00902056"/>
  </w:style>
  <w:style w:type="paragraph" w:styleId="af7">
    <w:name w:val="footer"/>
    <w:basedOn w:val="a"/>
    <w:link w:val="af8"/>
    <w:uiPriority w:val="99"/>
    <w:unhideWhenUsed/>
    <w:rsid w:val="00902056"/>
    <w:pPr>
      <w:tabs>
        <w:tab w:val="center" w:pos="4153"/>
        <w:tab w:val="right" w:pos="8306"/>
      </w:tabs>
    </w:pPr>
  </w:style>
  <w:style w:type="character" w:customStyle="1" w:styleId="af8">
    <w:name w:val="כותרת תחתונה תו"/>
    <w:basedOn w:val="a0"/>
    <w:link w:val="af7"/>
    <w:uiPriority w:val="99"/>
    <w:rsid w:val="00902056"/>
  </w:style>
  <w:style w:type="character" w:customStyle="1" w:styleId="af9">
    <w:name w:val="מילה ראשונה"/>
    <w:basedOn w:val="a0"/>
    <w:rsid w:val="002F5A1A"/>
    <w:rPr>
      <w:rFonts w:ascii="BA Franknatan Bold" w:hAnsi="BA Franknatan Bold" w:cs="EFT_Atara"/>
      <w:b/>
      <w:bCs/>
      <w:position w:val="-2"/>
      <w:sz w:val="64"/>
      <w:szCs w:val="64"/>
    </w:rPr>
  </w:style>
  <w:style w:type="paragraph" w:customStyle="1" w:styleId="afa">
    <w:name w:val="מלל ריתחא"/>
    <w:basedOn w:val="a"/>
    <w:link w:val="afb"/>
    <w:rsid w:val="00240203"/>
    <w:pPr>
      <w:tabs>
        <w:tab w:val="right" w:pos="11340"/>
      </w:tabs>
      <w:bidi/>
      <w:spacing w:after="340" w:line="400" w:lineRule="exact"/>
      <w:jc w:val="both"/>
    </w:pPr>
    <w:rPr>
      <w:rFonts w:asciiTheme="minorBidi" w:hAnsiTheme="minorBidi" w:cs="Tehila"/>
      <w:b/>
      <w:bCs/>
      <w:color w:val="404040" w:themeColor="text1" w:themeTint="BF"/>
      <w:spacing w:val="10"/>
      <w:sz w:val="30"/>
      <w:szCs w:val="30"/>
    </w:rPr>
  </w:style>
  <w:style w:type="character" w:customStyle="1" w:styleId="afc">
    <w:name w:val="שמות ריתחא"/>
    <w:basedOn w:val="a0"/>
    <w:uiPriority w:val="1"/>
    <w:rsid w:val="00014AD8"/>
    <w:rPr>
      <w:rFonts w:ascii="Gisha" w:hAnsi="Gisha" w:cs="Gisha"/>
      <w:sz w:val="22"/>
      <w:szCs w:val="22"/>
    </w:rPr>
  </w:style>
  <w:style w:type="character" w:customStyle="1" w:styleId="afb">
    <w:name w:val="מלל ריתחא תו"/>
    <w:basedOn w:val="a0"/>
    <w:link w:val="afa"/>
    <w:rsid w:val="00240203"/>
    <w:rPr>
      <w:rFonts w:asciiTheme="minorBidi" w:hAnsiTheme="minorBidi" w:cs="Tehila"/>
      <w:b/>
      <w:bCs/>
      <w:color w:val="404040" w:themeColor="text1" w:themeTint="BF"/>
      <w:spacing w:val="10"/>
      <w:sz w:val="30"/>
      <w:szCs w:val="30"/>
    </w:rPr>
  </w:style>
  <w:style w:type="paragraph" w:customStyle="1" w:styleId="afd">
    <w:name w:val="מספור שאלות ריתחא"/>
    <w:link w:val="afe"/>
    <w:rsid w:val="00522E51"/>
    <w:pPr>
      <w:keepNext/>
      <w:bidi/>
      <w:jc w:val="center"/>
    </w:pPr>
    <w:rPr>
      <w:rFonts w:ascii="Times New Roman (כותרות עבריות)" w:hAnsi="Times New Roman (כותרות עבריות)" w:cs="RimonMF"/>
      <w:b/>
      <w:noProof/>
      <w:color w:val="404040" w:themeColor="text1" w:themeTint="BF"/>
      <w:spacing w:val="10"/>
      <w:position w:val="-4"/>
      <w:sz w:val="40"/>
      <w:szCs w:val="40"/>
      <w:lang w:val="he-IL"/>
    </w:rPr>
  </w:style>
  <w:style w:type="character" w:customStyle="1" w:styleId="afe">
    <w:name w:val="מספור שאלות ריתחא תו"/>
    <w:basedOn w:val="a0"/>
    <w:link w:val="afd"/>
    <w:rsid w:val="00522E51"/>
    <w:rPr>
      <w:rFonts w:ascii="Times New Roman (כותרות עבריות)" w:hAnsi="Times New Roman (כותרות עבריות)" w:cs="RimonMF"/>
      <w:b/>
      <w:noProof/>
      <w:color w:val="404040" w:themeColor="text1" w:themeTint="BF"/>
      <w:spacing w:val="10"/>
      <w:position w:val="-4"/>
      <w:sz w:val="40"/>
      <w:szCs w:val="40"/>
      <w:lang w:val="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817</TotalTime>
  <Pages>1</Pages>
  <Words>1479</Words>
  <Characters>7397</Characters>
  <Application>Microsoft Office Word</Application>
  <DocSecurity>0</DocSecurity>
  <Lines>61</Lines>
  <Paragraphs>17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אליטוב</dc:creator>
  <cp:keywords/>
  <dc:description/>
  <cp:lastModifiedBy>יעקב גדליהו אייזנשטיין</cp:lastModifiedBy>
  <cp:revision>16</cp:revision>
  <cp:lastPrinted>2025-12-27T22:34:00Z</cp:lastPrinted>
  <dcterms:created xsi:type="dcterms:W3CDTF">2025-11-25T10:35:00Z</dcterms:created>
  <dcterms:modified xsi:type="dcterms:W3CDTF">2025-12-27T22:41:00Z</dcterms:modified>
</cp:coreProperties>
</file>