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546CF" w14:textId="6D21068E" w:rsidR="007E1201" w:rsidRDefault="007E1201">
      <w:pPr>
        <w:rPr>
          <w:rtl/>
        </w:rPr>
      </w:pPr>
    </w:p>
    <w:p w14:paraId="27056FA5" w14:textId="153DEB9B" w:rsidR="00F501BC" w:rsidRDefault="00DE2016">
      <w:pPr>
        <w:rPr>
          <w:rtl/>
        </w:rPr>
      </w:pPr>
      <w:r>
        <w:rPr>
          <w:rFonts w:hint="cs"/>
          <w:rtl/>
        </w:rPr>
        <w:t xml:space="preserve">לבקשת ה"ר משה זאדה - </w:t>
      </w:r>
      <w:r w:rsidR="00F501BC">
        <w:rPr>
          <w:rFonts w:hint="cs"/>
          <w:rtl/>
        </w:rPr>
        <w:t>לערוך בתבנית ריתחא דאורייתא, ולשלוח לדפוס 16 עותקים.</w:t>
      </w:r>
    </w:p>
    <w:p w14:paraId="7F52DE99" w14:textId="29328793" w:rsidR="00020085" w:rsidRDefault="00020085">
      <w:pPr>
        <w:rPr>
          <w:rtl/>
        </w:rPr>
      </w:pPr>
    </w:p>
    <w:p w14:paraId="1287CCC6" w14:textId="4AFCA263" w:rsidR="00020085" w:rsidRDefault="00020085">
      <w:pPr>
        <w:rPr>
          <w:rtl/>
        </w:rPr>
      </w:pPr>
      <w:r>
        <w:rPr>
          <w:rFonts w:hint="cs"/>
          <w:rtl/>
        </w:rPr>
        <w:t>בסימן סה ס"א</w:t>
      </w:r>
    </w:p>
    <w:p w14:paraId="7E6B8F50" w14:textId="319F08D4" w:rsidR="00FE3A52" w:rsidRDefault="00020085" w:rsidP="008A583B">
      <w:pPr>
        <w:pStyle w:val="a3"/>
        <w:numPr>
          <w:ilvl w:val="0"/>
          <w:numId w:val="1"/>
        </w:numPr>
        <w:jc w:val="both"/>
      </w:pPr>
      <w:r>
        <w:rPr>
          <w:rFonts w:hint="cs"/>
          <w:rtl/>
        </w:rPr>
        <w:t>בביאור הלכה ד"ה קראה הביא דעת הדרכי משה דבדרבנן יש להקל כהרי"ף דאפי' בשהה מחמת אונס אינו חוזר לראש, ושדעת המג"א לחשוש לדרכי משה בענין ברכות. והנה, המגן אברהם בסימן נג (סק"ה) פסק, דמי ששהה בפסוקי דזמרה אפי' כדי לגמור את כולה ואפי' מחמת אונס, אינו חוזר לראש, ומשמע מיניה דאי"צ אפי' לחזור על פסוד"ז מלבד ברוך שאמר</w:t>
      </w:r>
      <w:r w:rsidR="00101FCB">
        <w:rPr>
          <w:rFonts w:hint="cs"/>
          <w:rtl/>
        </w:rPr>
        <w:t xml:space="preserve">, ויש לתמוה, מאחר דאין בזה חשש ברכות, אמאי לא חשש לדעת הסוברים דמחמת אונס צריך לחזור לראש, וה"נ יחזור לפסוקי דזמרה אע"ג דאינו חוזר לישתבח. מוכח לכא' דכיון דלא חוזר ומברך ברוך שאמר (משום סב"ל) תו אין משמעות לאם יחזור על פסוקי דזמרה, דלא יהא זה אלא כקורא בתורה. ומכאן יש להעיר לכא' אמש"כ ביאור הלכה בסימן נג (ס"ב ד"ה אמר) בשם הפמ"ג (שם א"א סק"ב) דמי שדילג ברוך שאמר, וכבר אמר פסוד"ז שוב לא יוכל לברך ברוך שאמר, כי היא נתקנה דוקא על פסוד"ז וכבר אמרם, מוכח דס"ל דפסוד"ז אף בלא ברוך שאמר חשיבי, ולכא' ממג"א </w:t>
      </w:r>
      <w:r w:rsidR="00726B70">
        <w:rPr>
          <w:rFonts w:hint="cs"/>
          <w:rtl/>
        </w:rPr>
        <w:t xml:space="preserve">הנז' </w:t>
      </w:r>
      <w:r w:rsidR="00551CDF">
        <w:rPr>
          <w:rFonts w:hint="cs"/>
          <w:rtl/>
        </w:rPr>
        <w:t xml:space="preserve">משמע </w:t>
      </w:r>
      <w:r w:rsidR="00C64776">
        <w:rPr>
          <w:rFonts w:hint="cs"/>
          <w:rtl/>
        </w:rPr>
        <w:t>לא כן</w:t>
      </w:r>
      <w:r w:rsidR="00101FCB">
        <w:rPr>
          <w:rFonts w:hint="cs"/>
          <w:rtl/>
        </w:rPr>
        <w:t>.</w:t>
      </w:r>
    </w:p>
    <w:p w14:paraId="5D5C77CB" w14:textId="3AC846CE" w:rsidR="00FE3A52" w:rsidRDefault="00FE3A52" w:rsidP="00436C18">
      <w:pPr>
        <w:jc w:val="both"/>
        <w:rPr>
          <w:rtl/>
        </w:rPr>
      </w:pPr>
    </w:p>
    <w:p w14:paraId="3051197D" w14:textId="66CADA5E" w:rsidR="00436C18" w:rsidRDefault="00436C18" w:rsidP="00436C18">
      <w:pPr>
        <w:jc w:val="both"/>
      </w:pPr>
      <w:r>
        <w:rPr>
          <w:rFonts w:hint="cs"/>
          <w:rtl/>
        </w:rPr>
        <w:t>בסימן סו.</w:t>
      </w:r>
    </w:p>
    <w:p w14:paraId="615B5707" w14:textId="7FE82F17" w:rsidR="00FE3A52" w:rsidRDefault="00436C18" w:rsidP="00E71299">
      <w:pPr>
        <w:pStyle w:val="a3"/>
        <w:numPr>
          <w:ilvl w:val="0"/>
          <w:numId w:val="1"/>
        </w:numPr>
        <w:jc w:val="both"/>
      </w:pPr>
      <w:r>
        <w:rPr>
          <w:rFonts w:hint="cs"/>
          <w:rtl/>
        </w:rPr>
        <w:t xml:space="preserve">כתב הב"ח (אות א) להק' על הרא"ש דתמה על רש"י והרמב"ם שפירשו דין שאלת שלום מפני היראה, דמיירי ביראה מחמת נפשות, ותמה הרא"ש, פשיטא שאי"צ למסור נפש בזה. ותמה הב"ח א"כ מה ישיב הרא"ש אהא דאמר רב יוסף דמה שאמרו במתני' דהעומד בתפילה אפי' המלך שואל בשלומו לא ישיבנו, מיירי למלכי ישראל, אבל למלכי אומות העולם פוסק. והתם נמי תיקשי פשיטא. ולכא' יש לחלק, התם כיון דבעי תנא להשמיע עיקר הדין לגבי מלכי ישראל, </w:t>
      </w:r>
      <w:r w:rsidR="00D84081">
        <w:rPr>
          <w:rFonts w:hint="cs"/>
          <w:rtl/>
        </w:rPr>
        <w:t xml:space="preserve">חייש </w:t>
      </w:r>
      <w:r>
        <w:rPr>
          <w:rFonts w:hint="cs"/>
          <w:rtl/>
        </w:rPr>
        <w:t xml:space="preserve">רב יוסף </w:t>
      </w:r>
      <w:r w:rsidR="00D84081">
        <w:rPr>
          <w:rFonts w:hint="cs"/>
          <w:rtl/>
        </w:rPr>
        <w:t>ל</w:t>
      </w:r>
      <w:r>
        <w:rPr>
          <w:rFonts w:hint="cs"/>
          <w:rtl/>
        </w:rPr>
        <w:t>טועה שאפי' למלכי אומות העולם</w:t>
      </w:r>
      <w:r w:rsidR="00D84081">
        <w:rPr>
          <w:rFonts w:hint="cs"/>
          <w:rtl/>
        </w:rPr>
        <w:t xml:space="preserve"> לא יפסיק, מטעם </w:t>
      </w:r>
      <w:r w:rsidR="006342D0">
        <w:rPr>
          <w:rFonts w:hint="cs"/>
          <w:rtl/>
        </w:rPr>
        <w:t>ד</w:t>
      </w:r>
      <w:r>
        <w:rPr>
          <w:rFonts w:hint="cs"/>
          <w:rtl/>
        </w:rPr>
        <w:t xml:space="preserve">תפילה </w:t>
      </w:r>
      <w:r w:rsidR="006342D0">
        <w:rPr>
          <w:rFonts w:hint="cs"/>
          <w:rtl/>
        </w:rPr>
        <w:t xml:space="preserve">הוי </w:t>
      </w:r>
      <w:r>
        <w:rPr>
          <w:rFonts w:hint="cs"/>
          <w:rtl/>
        </w:rPr>
        <w:t xml:space="preserve">עומד לפני הקב"ה, </w:t>
      </w:r>
      <w:r w:rsidR="006342D0">
        <w:rPr>
          <w:rFonts w:hint="cs"/>
          <w:rtl/>
        </w:rPr>
        <w:t>ו</w:t>
      </w:r>
      <w:r>
        <w:rPr>
          <w:rFonts w:hint="cs"/>
          <w:rtl/>
        </w:rPr>
        <w:t>מחויב למסור נפשו. משא"כ הכא פשיטא כל עיקר דינא דתנא, ולא הול"ל כלל דין שאלת שלום מפני היראה. ודוחק לומר דה"נ קאמר הב"ח, גבי ק"ש נמי איכא למיטעי שמא יאמרו ק"ש מלכות שמים היא, וצריך למסור הנפש, קמ"ל תנא דשואל מפני היראה</w:t>
      </w:r>
      <w:r w:rsidR="00E71299">
        <w:rPr>
          <w:rFonts w:hint="cs"/>
          <w:rtl/>
        </w:rPr>
        <w:t xml:space="preserve"> [ונאמר דאע"ג דתנא קאי נמי אברכות ק"ש, מ"מ דין זה נשנה מפני ק"ש שיש בה מלכות שמים]</w:t>
      </w:r>
      <w:r>
        <w:rPr>
          <w:rFonts w:hint="cs"/>
          <w:rtl/>
        </w:rPr>
        <w:t>.</w:t>
      </w:r>
      <w:r w:rsidR="00E71299">
        <w:rPr>
          <w:rFonts w:hint="cs"/>
          <w:rtl/>
        </w:rPr>
        <w:t xml:space="preserve"> זה ק"ק לומר, דא"ה גבי תפילה נמי הו"ל לתנא למיחש שמא יטעו, ואמאי לא פירש, משמע דתנא לא נחית להאי חששא, ורב יוסף הוצרך לכך, כ"ש גבי ק"ש דהו"ל לתנא לישתוק וליכא למיחש שמא יטעו למסור נפש.</w:t>
      </w:r>
      <w:r>
        <w:rPr>
          <w:rFonts w:hint="cs"/>
          <w:rtl/>
        </w:rPr>
        <w:t xml:space="preserve"> </w:t>
      </w:r>
    </w:p>
    <w:p w14:paraId="08268282" w14:textId="2FED7591" w:rsidR="00FE3A52" w:rsidRDefault="00FE3A52" w:rsidP="00FE3A52">
      <w:pPr>
        <w:pStyle w:val="a3"/>
        <w:rPr>
          <w:rtl/>
        </w:rPr>
      </w:pPr>
    </w:p>
    <w:p w14:paraId="43C40F4C" w14:textId="77777777" w:rsidR="00436C18" w:rsidRPr="00436C18" w:rsidRDefault="00436C18" w:rsidP="00FE3A52">
      <w:pPr>
        <w:pStyle w:val="a3"/>
        <w:rPr>
          <w:rtl/>
        </w:rPr>
      </w:pPr>
    </w:p>
    <w:p w14:paraId="59FFC3F9" w14:textId="0C4DE02B" w:rsidR="006A5741" w:rsidRDefault="003466A1" w:rsidP="008A583B">
      <w:pPr>
        <w:pStyle w:val="a3"/>
        <w:numPr>
          <w:ilvl w:val="0"/>
          <w:numId w:val="1"/>
        </w:numPr>
        <w:jc w:val="both"/>
      </w:pPr>
      <w:r>
        <w:rPr>
          <w:rFonts w:hint="cs"/>
          <w:rtl/>
        </w:rPr>
        <w:t>עוד כתב הב"ח</w:t>
      </w:r>
      <w:r w:rsidR="006A5741">
        <w:rPr>
          <w:rFonts w:hint="cs"/>
          <w:rtl/>
        </w:rPr>
        <w:t xml:space="preserve"> (שם)</w:t>
      </w:r>
      <w:r>
        <w:rPr>
          <w:rFonts w:hint="cs"/>
          <w:rtl/>
        </w:rPr>
        <w:t xml:space="preserve"> להק' על תמיהת הרא"ש הנז' בהערה לעיל, דא"כ </w:t>
      </w:r>
      <w:r w:rsidR="00A30306">
        <w:rPr>
          <w:rFonts w:hint="cs"/>
          <w:rtl/>
        </w:rPr>
        <w:t>מה סבר אותו חסיד שלא ענה להגמון באמצע התפילה, עוד כתב הב"ח להק' על שיטת הרא"ש דפי' דמפני היראה היינו יראת אביו או רבו, והא דין השבת שלום לאביו ורבו הוא מדין כבוד לא מדין יראה, ואדרבה לשאול את אביו או רבו שלום אינו נכון. וציבור בני התורה האברכים שליט"א מתבקשים לעורר אש ולדון בשאלות העצומות של רבינו הב"ח זצ"ל</w:t>
      </w:r>
      <w:r w:rsidR="00A30306" w:rsidRPr="00883345">
        <w:rPr>
          <w:rFonts w:hint="cs"/>
          <w:sz w:val="18"/>
          <w:szCs w:val="18"/>
          <w:rtl/>
        </w:rPr>
        <w:t>.</w:t>
      </w:r>
      <w:r w:rsidR="00883345" w:rsidRPr="00883345">
        <w:rPr>
          <w:rFonts w:hint="cs"/>
          <w:sz w:val="18"/>
          <w:szCs w:val="18"/>
          <w:rtl/>
        </w:rPr>
        <w:t xml:space="preserve"> ראש הכולל שליט"א.</w:t>
      </w:r>
    </w:p>
    <w:p w14:paraId="6E2E9F9A" w14:textId="3345DA75" w:rsidR="006A5741" w:rsidRDefault="006A5741" w:rsidP="006A5741">
      <w:pPr>
        <w:pStyle w:val="a3"/>
        <w:jc w:val="both"/>
      </w:pPr>
    </w:p>
    <w:p w14:paraId="502EECF9" w14:textId="19DA97B8" w:rsidR="006A5741" w:rsidRDefault="006A5741" w:rsidP="006A5741">
      <w:pPr>
        <w:pStyle w:val="a3"/>
        <w:jc w:val="both"/>
      </w:pPr>
    </w:p>
    <w:p w14:paraId="58EE93EB" w14:textId="56CD2A3D" w:rsidR="00020085" w:rsidRDefault="006A5741" w:rsidP="008A583B">
      <w:pPr>
        <w:pStyle w:val="a3"/>
        <w:numPr>
          <w:ilvl w:val="0"/>
          <w:numId w:val="1"/>
        </w:numPr>
        <w:jc w:val="both"/>
      </w:pPr>
      <w:r>
        <w:rPr>
          <w:rFonts w:hint="cs"/>
          <w:rtl/>
        </w:rPr>
        <w:t>כתב הב"ח (שם), דאע"ג</w:t>
      </w:r>
      <w:r w:rsidR="00101FCB">
        <w:rPr>
          <w:rFonts w:hint="cs"/>
          <w:rtl/>
        </w:rPr>
        <w:t xml:space="preserve"> </w:t>
      </w:r>
      <w:r>
        <w:rPr>
          <w:rFonts w:hint="cs"/>
          <w:rtl/>
        </w:rPr>
        <w:t>דלגבי תפילה איכא חילוק בין מלכי ישראל למלכי אומות העולם בק"ש אין לחלק. וכתב בסוף דבריו להביא ראיה מדברי רבינו יונה, דפירש דברי הרי"ף שכתב ודברת בם ולא בתפילה, שבתפילה הוא דאין רשות להפסיק</w:t>
      </w:r>
      <w:r w:rsidR="00020085">
        <w:rPr>
          <w:rFonts w:hint="cs"/>
          <w:rtl/>
        </w:rPr>
        <w:t xml:space="preserve"> </w:t>
      </w:r>
      <w:r>
        <w:rPr>
          <w:rFonts w:hint="cs"/>
          <w:rtl/>
        </w:rPr>
        <w:t xml:space="preserve">כדתנן ואפי' המלך שואל בשלומו לא ישיבנו, משא"כ בק"ש. אמנם יש להעיר, דיתכן דרבינו יונה ס"ל כהרא"ש ורשב"א דמפני היראה היינו יראת אביו או רבו, וממילא כ"ש מלך ישראל [וס"ל הכי נמי בדעת הרי"ף, ויהיה בזה כדי ליישב פסק הב"י דהכריע נגד מיעוט ראשונים, עי' בב"ח שתמה עליו, ולפי"ז י"ל דאיכא כאן דעת רי"ף ורא"ש, </w:t>
      </w:r>
      <w:r w:rsidR="00EE13F1">
        <w:rPr>
          <w:rFonts w:hint="cs"/>
          <w:rtl/>
        </w:rPr>
        <w:t xml:space="preserve">דהיינו </w:t>
      </w:r>
      <w:r>
        <w:rPr>
          <w:rFonts w:hint="cs"/>
          <w:rtl/>
        </w:rPr>
        <w:t xml:space="preserve">ב' עמודי הוראה], משא"כ אי הוה ס"ל </w:t>
      </w:r>
      <w:r w:rsidR="00EE13F1">
        <w:rPr>
          <w:rFonts w:hint="cs"/>
          <w:rtl/>
        </w:rPr>
        <w:t xml:space="preserve">כרש"י והרמב"ם דמפני היראה היינו אנס, היה מודה ה"ר יונה, דמשמע דדוקא אנס התירו דומיא דתפילה ולא מלכי ישראל. </w:t>
      </w:r>
    </w:p>
    <w:p w14:paraId="0A55FE89" w14:textId="20128871" w:rsidR="00F501BC" w:rsidRDefault="00F501BC" w:rsidP="00F501BC">
      <w:pPr>
        <w:pStyle w:val="a3"/>
        <w:jc w:val="both"/>
        <w:rPr>
          <w:rtl/>
        </w:rPr>
      </w:pPr>
    </w:p>
    <w:p w14:paraId="6CDB27D0" w14:textId="77777777" w:rsidR="00083CC4" w:rsidRDefault="00083CC4" w:rsidP="00F501BC">
      <w:pPr>
        <w:jc w:val="both"/>
        <w:rPr>
          <w:rtl/>
        </w:rPr>
      </w:pPr>
    </w:p>
    <w:p w14:paraId="230E0D4D" w14:textId="1C9074BD" w:rsidR="00F501BC" w:rsidRDefault="00094C5A" w:rsidP="00F501BC">
      <w:pPr>
        <w:jc w:val="both"/>
      </w:pPr>
      <w:r>
        <w:rPr>
          <w:rFonts w:hint="cs"/>
          <w:rtl/>
        </w:rPr>
        <w:t>בסימן סו ס"ב.</w:t>
      </w:r>
    </w:p>
    <w:p w14:paraId="7F67E9D4" w14:textId="5070341C" w:rsidR="00F501BC" w:rsidRDefault="00F501BC" w:rsidP="00094C5A">
      <w:pPr>
        <w:pStyle w:val="a3"/>
        <w:jc w:val="both"/>
      </w:pPr>
    </w:p>
    <w:p w14:paraId="35485A14" w14:textId="6EC8130F" w:rsidR="004C0F9F" w:rsidRDefault="002E754B" w:rsidP="008A583B">
      <w:pPr>
        <w:pStyle w:val="a3"/>
        <w:numPr>
          <w:ilvl w:val="0"/>
          <w:numId w:val="1"/>
        </w:numPr>
        <w:jc w:val="both"/>
      </w:pPr>
      <w:r>
        <w:rPr>
          <w:rFonts w:hint="cs"/>
          <w:rtl/>
        </w:rPr>
        <w:t xml:space="preserve">המשנה ברורה (סקט"ז) הביא ב' טעמים מ"ש תפילין דהמניחם בק"ש וברכותיה </w:t>
      </w:r>
      <w:r w:rsidR="004C0F9F">
        <w:rPr>
          <w:rFonts w:hint="cs"/>
          <w:rtl/>
        </w:rPr>
        <w:t xml:space="preserve">יברך עליהם </w:t>
      </w:r>
      <w:r>
        <w:rPr>
          <w:rFonts w:hint="cs"/>
          <w:rtl/>
        </w:rPr>
        <w:t>[לשו"ע דוקא בבין הפרקים, ולהרמ"א אף באמצע הפרק</w:t>
      </w:r>
      <w:r w:rsidR="004C0F9F">
        <w:rPr>
          <w:rFonts w:hint="cs"/>
          <w:rtl/>
        </w:rPr>
        <w:t xml:space="preserve"> היכא דלא אפשר כגון בק"ש מטעם דאיכא מצוה בכל תיבה שיאמרנה עם תפילין ובאמת ויציב דתו ליכא סיום פרק</w:t>
      </w:r>
      <w:r>
        <w:rPr>
          <w:rFonts w:hint="cs"/>
          <w:rtl/>
        </w:rPr>
        <w:t>]</w:t>
      </w:r>
      <w:r w:rsidR="004C0F9F">
        <w:rPr>
          <w:rFonts w:hint="cs"/>
          <w:rtl/>
        </w:rPr>
        <w:t xml:space="preserve">, לטלית דהכרעת הרמ"א דלא </w:t>
      </w:r>
      <w:r w:rsidR="004C0F9F">
        <w:rPr>
          <w:rFonts w:hint="cs"/>
          <w:rtl/>
        </w:rPr>
        <w:lastRenderedPageBreak/>
        <w:t xml:space="preserve">יברך עליהם, והם: א'. טלית אינה חובת גברא. ב'. תפילין אם יאמר וקשרתם ואינו קושר הרי הוא כמעיד עדות שקר, בשונה מטלית דאע"ג דיאמר פרשת ציצית </w:t>
      </w:r>
      <w:r w:rsidR="0085785D">
        <w:rPr>
          <w:rFonts w:hint="cs"/>
          <w:rtl/>
        </w:rPr>
        <w:t>אין באמירתו עדות שקר, שהרי אין חובת הנחה. נמצאו ב' הטעמים משלימים זה את זה. [ומילת 'וגם' במ"ב קצת צ"ב].</w:t>
      </w:r>
      <w:r w:rsidR="00BC614A">
        <w:rPr>
          <w:rFonts w:hint="cs"/>
          <w:rtl/>
        </w:rPr>
        <w:t xml:space="preserve"> ומ"מ יש לדון באם </w:t>
      </w:r>
      <w:r w:rsidR="004B11BE">
        <w:rPr>
          <w:rFonts w:hint="cs"/>
          <w:rtl/>
        </w:rPr>
        <w:t xml:space="preserve">אפשר לו לקיים מצוה עוברת </w:t>
      </w:r>
      <w:r w:rsidR="00F65E8E">
        <w:rPr>
          <w:rFonts w:hint="cs"/>
          <w:rtl/>
        </w:rPr>
        <w:t xml:space="preserve">דיש בה חיוב גברא (כגון ד' מינים) </w:t>
      </w:r>
      <w:r w:rsidR="004B11BE">
        <w:rPr>
          <w:rFonts w:hint="cs"/>
          <w:rtl/>
        </w:rPr>
        <w:t>בק"ש וברכותיה [שאין בה טורח, עי' מ"ב סי' ע סקי"ח]</w:t>
      </w:r>
      <w:r w:rsidR="00F65E8E">
        <w:rPr>
          <w:rFonts w:hint="cs"/>
          <w:rtl/>
        </w:rPr>
        <w:t xml:space="preserve"> האם יברך. דיש לומר להכי שמעי' כאן נמי לטעם הראשון שמחלק בין חובת גברא לאינו חובת גברא.</w:t>
      </w:r>
    </w:p>
    <w:p w14:paraId="619F2A0B" w14:textId="77777777" w:rsidR="00BC614A" w:rsidRDefault="00BC614A" w:rsidP="00BC614A">
      <w:pPr>
        <w:pStyle w:val="a3"/>
        <w:jc w:val="both"/>
      </w:pPr>
    </w:p>
    <w:p w14:paraId="35CE4A10" w14:textId="77777777" w:rsidR="002E754B" w:rsidRDefault="002E754B" w:rsidP="002E754B">
      <w:pPr>
        <w:pStyle w:val="a3"/>
        <w:jc w:val="both"/>
      </w:pPr>
    </w:p>
    <w:p w14:paraId="3651FEEF" w14:textId="77777777" w:rsidR="002E754B" w:rsidRDefault="002E754B" w:rsidP="002E754B">
      <w:pPr>
        <w:pStyle w:val="a3"/>
        <w:jc w:val="both"/>
      </w:pPr>
    </w:p>
    <w:p w14:paraId="114CF56E" w14:textId="29F6D257" w:rsidR="00094C5A" w:rsidRDefault="00094C5A" w:rsidP="008A583B">
      <w:pPr>
        <w:pStyle w:val="a3"/>
        <w:numPr>
          <w:ilvl w:val="0"/>
          <w:numId w:val="1"/>
        </w:numPr>
        <w:jc w:val="both"/>
      </w:pPr>
      <w:r>
        <w:rPr>
          <w:rFonts w:hint="cs"/>
          <w:rtl/>
        </w:rPr>
        <w:t xml:space="preserve">פסק המשנה ברורה (סקט"ז) דמי שמתבייש לשבת בבית הכנסת כשאינו מעוטף בטלית, לכו"ע יכול לברך עליה בין הפרקים [פירוש, אף להכרעת הרמ"א דבטלית לא יברך אלא לאחר התפילה], וכ"כ המ"ב בסי' נג סק"ה. </w:t>
      </w:r>
      <w:r w:rsidR="005F261D">
        <w:rPr>
          <w:rFonts w:hint="cs"/>
          <w:rtl/>
        </w:rPr>
        <w:t>והעיר בשו"ת שבט הלוי (ח"ג סי' טו אות ז) דלכא' צ"ב מ"ט יברך, הלא יכול להתעטף בלא ברכה, וליכא תו ביוש. ואבן העוזר לשיטתו דאין להתעטף בלא לברך</w:t>
      </w:r>
      <w:r w:rsidR="00BC614A">
        <w:rPr>
          <w:rFonts w:hint="cs"/>
          <w:rtl/>
        </w:rPr>
        <w:t xml:space="preserve">. והביאו בשם הגרח"ק </w:t>
      </w:r>
      <w:r w:rsidR="00883345">
        <w:rPr>
          <w:rFonts w:hint="cs"/>
          <w:rtl/>
        </w:rPr>
        <w:t xml:space="preserve">זצ"ל </w:t>
      </w:r>
      <w:r w:rsidR="00BC614A">
        <w:rPr>
          <w:rFonts w:hint="cs"/>
          <w:rtl/>
        </w:rPr>
        <w:t>(הו"ד במשנה אחרונה), דכיון דאיכא ביוש איכא היתר גמור להתעטף בטלית וממילא מצי לברך. אמנם לכא' צ"ב, סו"ס יש שיטה בראשונים [</w:t>
      </w:r>
      <w:r w:rsidR="005001C2">
        <w:rPr>
          <w:rFonts w:hint="cs"/>
          <w:rtl/>
        </w:rPr>
        <w:t xml:space="preserve">דכ"פ </w:t>
      </w:r>
      <w:r w:rsidR="00BC614A">
        <w:rPr>
          <w:rFonts w:hint="cs"/>
          <w:rtl/>
        </w:rPr>
        <w:t>הרמ"א] דמתעטף בלא ברכה, [בשונה מדעת השו"ע דהוא כר"י (בתוס' ברכות יד: ד"ה ומנח) דאף טלית בברכה, ובשונה מדעת התוס'</w:t>
      </w:r>
      <w:r w:rsidR="00083CC4">
        <w:rPr>
          <w:rFonts w:hint="cs"/>
          <w:rtl/>
        </w:rPr>
        <w:t xml:space="preserve"> </w:t>
      </w:r>
      <w:r w:rsidR="00BC614A">
        <w:rPr>
          <w:rFonts w:hint="cs"/>
          <w:rtl/>
        </w:rPr>
        <w:t>(שם) דלא יתעטף כלל], ומאחר דמעיקר דינא להרמ"א מתעטף בלא ברכה, מהיכן אתא מצב של ביוש, נהי דאם היה אסור להתעטף היה ביוש, מ"מ השתא עיקר דינא דמותר, וליכא ביוש</w:t>
      </w:r>
      <w:r w:rsidR="005001C2">
        <w:rPr>
          <w:rFonts w:hint="cs"/>
          <w:rtl/>
        </w:rPr>
        <w:t>, והיתר ברכה מהיכן בא.</w:t>
      </w:r>
    </w:p>
    <w:p w14:paraId="198A10D5" w14:textId="46C3283F" w:rsidR="00083CC4" w:rsidRDefault="00083CC4" w:rsidP="00083CC4">
      <w:pPr>
        <w:jc w:val="both"/>
        <w:rPr>
          <w:rtl/>
        </w:rPr>
      </w:pPr>
    </w:p>
    <w:p w14:paraId="47EBC191" w14:textId="77777777" w:rsidR="00083CC4" w:rsidRDefault="00083CC4" w:rsidP="00083CC4">
      <w:pPr>
        <w:jc w:val="both"/>
        <w:rPr>
          <w:rtl/>
        </w:rPr>
      </w:pPr>
    </w:p>
    <w:p w14:paraId="55C55CC1" w14:textId="0F842F09" w:rsidR="00083CC4" w:rsidRDefault="00083CC4" w:rsidP="00083CC4">
      <w:pPr>
        <w:pStyle w:val="a3"/>
        <w:jc w:val="both"/>
        <w:rPr>
          <w:rtl/>
        </w:rPr>
      </w:pPr>
    </w:p>
    <w:p w14:paraId="5D0D145B" w14:textId="77777777" w:rsidR="00083CC4" w:rsidRDefault="00083CC4" w:rsidP="00083CC4">
      <w:pPr>
        <w:pStyle w:val="a3"/>
        <w:jc w:val="both"/>
      </w:pPr>
    </w:p>
    <w:sectPr w:rsidR="00083CC4" w:rsidSect="006746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ED43E" w14:textId="77777777" w:rsidR="008F3AD8" w:rsidRDefault="008F3AD8" w:rsidP="002E754B">
      <w:pPr>
        <w:spacing w:after="0" w:line="240" w:lineRule="auto"/>
      </w:pPr>
      <w:r>
        <w:separator/>
      </w:r>
    </w:p>
  </w:endnote>
  <w:endnote w:type="continuationSeparator" w:id="0">
    <w:p w14:paraId="780E9C73" w14:textId="77777777" w:rsidR="008F3AD8" w:rsidRDefault="008F3AD8" w:rsidP="002E7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37EA1" w14:textId="77777777" w:rsidR="008F3AD8" w:rsidRDefault="008F3AD8" w:rsidP="002E754B">
      <w:pPr>
        <w:spacing w:after="0" w:line="240" w:lineRule="auto"/>
      </w:pPr>
      <w:r>
        <w:separator/>
      </w:r>
    </w:p>
  </w:footnote>
  <w:footnote w:type="continuationSeparator" w:id="0">
    <w:p w14:paraId="32FD56BF" w14:textId="77777777" w:rsidR="008F3AD8" w:rsidRDefault="008F3AD8" w:rsidP="002E7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530C"/>
    <w:multiLevelType w:val="hybridMultilevel"/>
    <w:tmpl w:val="1D4440A4"/>
    <w:lvl w:ilvl="0" w:tplc="074A14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00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0E"/>
    <w:rsid w:val="00020085"/>
    <w:rsid w:val="00051971"/>
    <w:rsid w:val="00062F19"/>
    <w:rsid w:val="00083CC4"/>
    <w:rsid w:val="00094C5A"/>
    <w:rsid w:val="00101FCB"/>
    <w:rsid w:val="00242AF2"/>
    <w:rsid w:val="002E754B"/>
    <w:rsid w:val="003466A1"/>
    <w:rsid w:val="00436C18"/>
    <w:rsid w:val="00440FC6"/>
    <w:rsid w:val="00445850"/>
    <w:rsid w:val="004A7B1C"/>
    <w:rsid w:val="004B11BE"/>
    <w:rsid w:val="004C0F9F"/>
    <w:rsid w:val="005001C2"/>
    <w:rsid w:val="00551CDF"/>
    <w:rsid w:val="005F261D"/>
    <w:rsid w:val="006342D0"/>
    <w:rsid w:val="006746D6"/>
    <w:rsid w:val="006A5741"/>
    <w:rsid w:val="00726B70"/>
    <w:rsid w:val="007E1201"/>
    <w:rsid w:val="0085785D"/>
    <w:rsid w:val="00883345"/>
    <w:rsid w:val="008A583B"/>
    <w:rsid w:val="008F3AD8"/>
    <w:rsid w:val="00A30306"/>
    <w:rsid w:val="00AB6EFE"/>
    <w:rsid w:val="00BC614A"/>
    <w:rsid w:val="00C46FC6"/>
    <w:rsid w:val="00C64776"/>
    <w:rsid w:val="00C97A0E"/>
    <w:rsid w:val="00CC5242"/>
    <w:rsid w:val="00D84081"/>
    <w:rsid w:val="00DE2016"/>
    <w:rsid w:val="00E71299"/>
    <w:rsid w:val="00EE13F1"/>
    <w:rsid w:val="00F501BC"/>
    <w:rsid w:val="00F65E8E"/>
    <w:rsid w:val="00FE3A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9E16"/>
  <w15:chartTrackingRefBased/>
  <w15:docId w15:val="{4AB5E19E-9636-4FE5-948A-92ED248E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0085"/>
    <w:pPr>
      <w:ind w:left="720"/>
      <w:contextualSpacing/>
    </w:pPr>
  </w:style>
  <w:style w:type="paragraph" w:styleId="a4">
    <w:name w:val="footnote text"/>
    <w:basedOn w:val="a"/>
    <w:link w:val="a5"/>
    <w:uiPriority w:val="99"/>
    <w:semiHidden/>
    <w:unhideWhenUsed/>
    <w:rsid w:val="002E754B"/>
    <w:pPr>
      <w:spacing w:after="0" w:line="240" w:lineRule="auto"/>
    </w:pPr>
    <w:rPr>
      <w:rFonts w:ascii="David" w:hAnsi="David" w:cs="David"/>
      <w:sz w:val="20"/>
      <w:szCs w:val="20"/>
    </w:rPr>
  </w:style>
  <w:style w:type="character" w:customStyle="1" w:styleId="a5">
    <w:name w:val="טקסט הערת שוליים תו"/>
    <w:basedOn w:val="a0"/>
    <w:link w:val="a4"/>
    <w:uiPriority w:val="99"/>
    <w:semiHidden/>
    <w:rsid w:val="002E754B"/>
    <w:rPr>
      <w:rFonts w:ascii="David" w:hAnsi="David" w:cs="David"/>
      <w:noProof/>
      <w:sz w:val="20"/>
      <w:szCs w:val="20"/>
    </w:rPr>
  </w:style>
  <w:style w:type="character" w:styleId="a6">
    <w:name w:val="footnote reference"/>
    <w:basedOn w:val="a0"/>
    <w:uiPriority w:val="99"/>
    <w:semiHidden/>
    <w:unhideWhenUsed/>
    <w:rsid w:val="002E75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739</Words>
  <Characters>3696</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user</dc:creator>
  <cp:keywords/>
  <dc:description/>
  <cp:lastModifiedBy>The user</cp:lastModifiedBy>
  <cp:revision>34</cp:revision>
  <dcterms:created xsi:type="dcterms:W3CDTF">2025-12-08T19:07:00Z</dcterms:created>
  <dcterms:modified xsi:type="dcterms:W3CDTF">2025-12-23T20:43:00Z</dcterms:modified>
</cp:coreProperties>
</file>