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79EFC" w14:textId="77777777" w:rsidR="00201296" w:rsidRDefault="00201296" w:rsidP="00201296">
      <w:pPr>
        <w:rPr>
          <w:rtl/>
        </w:rPr>
      </w:pPr>
      <w:r>
        <w:rPr>
          <w:rtl/>
        </w:rPr>
        <w:t>בס"ד</w:t>
      </w:r>
      <w:r>
        <w:rPr>
          <w:rFonts w:hint="cs"/>
          <w:rtl/>
        </w:rPr>
        <w:t xml:space="preserve">                                                                                             </w:t>
      </w:r>
      <w:r w:rsidRPr="00201296">
        <w:rPr>
          <w:rtl/>
        </w:rPr>
        <w:t>ער</w:t>
      </w:r>
      <w:r>
        <w:rPr>
          <w:rFonts w:hint="cs"/>
          <w:rtl/>
        </w:rPr>
        <w:t xml:space="preserve">ש"ק </w:t>
      </w:r>
      <w:r>
        <w:rPr>
          <w:rtl/>
        </w:rPr>
        <w:t>פר</w:t>
      </w:r>
      <w:r>
        <w:rPr>
          <w:rFonts w:hint="cs"/>
          <w:rtl/>
        </w:rPr>
        <w:t>'</w:t>
      </w:r>
      <w:r w:rsidRPr="00201296">
        <w:rPr>
          <w:rtl/>
        </w:rPr>
        <w:t xml:space="preserve"> אחרי וקדושים</w:t>
      </w:r>
    </w:p>
    <w:p w14:paraId="065AE8B7" w14:textId="77777777" w:rsidR="00201296" w:rsidRPr="00ED2AC6" w:rsidRDefault="00201296" w:rsidP="00201296">
      <w:pPr>
        <w:jc w:val="center"/>
        <w:rPr>
          <w:rFonts w:ascii="Times New Roman" w:hAnsi="Times New Roman" w:cs="Guttman Vilna"/>
          <w:b/>
          <w:bCs/>
          <w:sz w:val="72"/>
          <w:szCs w:val="72"/>
          <w:rtl/>
        </w:rPr>
      </w:pPr>
      <w:r w:rsidRPr="00ED2AC6">
        <w:rPr>
          <w:rFonts w:ascii="Times New Roman" w:hAnsi="Times New Roman" w:cs="Guttman Vilna"/>
          <w:b/>
          <w:bCs/>
          <w:sz w:val="72"/>
          <w:szCs w:val="72"/>
          <w:rtl/>
        </w:rPr>
        <w:t>ריתחא דאורייתא</w:t>
      </w:r>
    </w:p>
    <w:p w14:paraId="689E6CAD" w14:textId="77777777" w:rsidR="00201296" w:rsidRPr="00ED2AC6" w:rsidRDefault="00201296" w:rsidP="00201296">
      <w:pPr>
        <w:jc w:val="center"/>
        <w:rPr>
          <w:b/>
          <w:bCs/>
          <w:sz w:val="36"/>
          <w:szCs w:val="36"/>
          <w:rtl/>
        </w:rPr>
      </w:pPr>
      <w:r w:rsidRPr="00ED2AC6">
        <w:rPr>
          <w:b/>
          <w:bCs/>
          <w:sz w:val="36"/>
          <w:szCs w:val="36"/>
          <w:rtl/>
        </w:rPr>
        <w:t>סימן מ"ח</w:t>
      </w:r>
    </w:p>
    <w:p w14:paraId="20BC0B88" w14:textId="77777777" w:rsidR="00201296" w:rsidRPr="00ED2AC6" w:rsidRDefault="00201296" w:rsidP="00201296">
      <w:pPr>
        <w:rPr>
          <w:sz w:val="24"/>
          <w:szCs w:val="24"/>
          <w:rtl/>
        </w:rPr>
      </w:pPr>
      <w:r w:rsidRPr="00201296">
        <w:rPr>
          <w:rFonts w:hint="cs"/>
          <w:b/>
          <w:bCs/>
          <w:sz w:val="28"/>
          <w:szCs w:val="28"/>
          <w:rtl/>
        </w:rPr>
        <w:t>א</w:t>
      </w:r>
      <w:r>
        <w:rPr>
          <w:rFonts w:hint="cs"/>
          <w:rtl/>
        </w:rPr>
        <w:t xml:space="preserve"> </w:t>
      </w:r>
      <w:r w:rsidRPr="00ED2AC6">
        <w:rPr>
          <w:sz w:val="24"/>
          <w:szCs w:val="24"/>
          <w:rtl/>
        </w:rPr>
        <w:t xml:space="preserve">למה אנחנו מזכירים פרשת הקטורת בשחרית אחר פרשת התמיד? </w:t>
      </w:r>
      <w:r w:rsidRPr="00ED2AC6">
        <w:rPr>
          <w:sz w:val="24"/>
          <w:szCs w:val="24"/>
          <w:rtl/>
        </w:rPr>
        <w:br/>
        <w:t>שהרי כל הסיבה שאנו אומרים הפסוקים של ברכת כהנים קודם התמיד, משום שהיה קודם הקטרת האמורים. וה</w:t>
      </w:r>
      <w:r w:rsidRPr="00ED2AC6">
        <w:rPr>
          <w:rFonts w:hint="cs"/>
          <w:sz w:val="24"/>
          <w:szCs w:val="24"/>
          <w:rtl/>
        </w:rPr>
        <w:t xml:space="preserve">א </w:t>
      </w:r>
      <w:r w:rsidRPr="00ED2AC6">
        <w:rPr>
          <w:sz w:val="24"/>
          <w:szCs w:val="24"/>
          <w:rtl/>
        </w:rPr>
        <w:t>קטורת ג</w:t>
      </w:r>
      <w:r w:rsidRPr="00ED2AC6">
        <w:rPr>
          <w:rFonts w:hint="cs"/>
          <w:sz w:val="24"/>
          <w:szCs w:val="24"/>
          <w:rtl/>
        </w:rPr>
        <w:t>"כ</w:t>
      </w:r>
      <w:r w:rsidRPr="00ED2AC6">
        <w:rPr>
          <w:sz w:val="24"/>
          <w:szCs w:val="24"/>
          <w:rtl/>
        </w:rPr>
        <w:t xml:space="preserve"> היה קודם הקטרת האמורים. ואם נאמר מה שכתוב בסדר היום</w:t>
      </w:r>
      <w:r w:rsidRPr="00ED2AC6">
        <w:rPr>
          <w:rFonts w:hint="cs"/>
          <w:sz w:val="24"/>
          <w:szCs w:val="24"/>
          <w:rtl/>
        </w:rPr>
        <w:t xml:space="preserve"> [</w:t>
      </w:r>
      <w:r w:rsidRPr="00ED2AC6">
        <w:rPr>
          <w:sz w:val="24"/>
          <w:szCs w:val="24"/>
          <w:rtl/>
        </w:rPr>
        <w:t>הביאו מג</w:t>
      </w:r>
      <w:r w:rsidRPr="00ED2AC6">
        <w:rPr>
          <w:rFonts w:hint="cs"/>
          <w:sz w:val="24"/>
          <w:szCs w:val="24"/>
          <w:rtl/>
        </w:rPr>
        <w:t>"א</w:t>
      </w:r>
      <w:r w:rsidRPr="00ED2AC6">
        <w:rPr>
          <w:sz w:val="24"/>
          <w:szCs w:val="24"/>
          <w:rtl/>
        </w:rPr>
        <w:t xml:space="preserve"> סימן א' ס</w:t>
      </w:r>
      <w:r w:rsidRPr="00ED2AC6">
        <w:rPr>
          <w:rFonts w:hint="cs"/>
          <w:sz w:val="24"/>
          <w:szCs w:val="24"/>
          <w:rtl/>
        </w:rPr>
        <w:t>"ק</w:t>
      </w:r>
      <w:r w:rsidRPr="00ED2AC6">
        <w:rPr>
          <w:sz w:val="24"/>
          <w:szCs w:val="24"/>
          <w:rtl/>
        </w:rPr>
        <w:t xml:space="preserve"> י"ב</w:t>
      </w:r>
      <w:r w:rsidRPr="00ED2AC6">
        <w:rPr>
          <w:rFonts w:hint="cs"/>
          <w:sz w:val="24"/>
          <w:szCs w:val="24"/>
          <w:rtl/>
        </w:rPr>
        <w:t>]</w:t>
      </w:r>
      <w:r w:rsidRPr="00ED2AC6">
        <w:rPr>
          <w:sz w:val="24"/>
          <w:szCs w:val="24"/>
          <w:rtl/>
        </w:rPr>
        <w:t>, דה</w:t>
      </w:r>
      <w:r w:rsidRPr="00ED2AC6">
        <w:rPr>
          <w:rFonts w:hint="cs"/>
          <w:sz w:val="24"/>
          <w:szCs w:val="24"/>
          <w:rtl/>
        </w:rPr>
        <w:t xml:space="preserve">א </w:t>
      </w:r>
      <w:r w:rsidRPr="00ED2AC6">
        <w:rPr>
          <w:sz w:val="24"/>
          <w:szCs w:val="24"/>
          <w:rtl/>
        </w:rPr>
        <w:t xml:space="preserve">עיקר כפרה בדם. אם כן גם ברכת כהנים היה צריך להיות אחר פרשת התמיד, וצריך עיון. </w:t>
      </w:r>
    </w:p>
    <w:p w14:paraId="69131C59" w14:textId="77777777" w:rsidR="00201296" w:rsidRPr="00201296" w:rsidRDefault="00201296" w:rsidP="00201296">
      <w:pPr>
        <w:ind w:left="360"/>
        <w:jc w:val="right"/>
      </w:pPr>
      <w:r w:rsidRPr="00201296">
        <w:rPr>
          <w:rtl/>
        </w:rPr>
        <w:t>הרב אהרן לייב פריזנד.</w:t>
      </w:r>
    </w:p>
    <w:p w14:paraId="1D336829" w14:textId="77777777" w:rsidR="00ED2AC6" w:rsidRDefault="00ED2AC6" w:rsidP="00201296">
      <w:pPr>
        <w:rPr>
          <w:b/>
          <w:bCs/>
          <w:sz w:val="28"/>
          <w:szCs w:val="28"/>
          <w:rtl/>
        </w:rPr>
      </w:pPr>
    </w:p>
    <w:p w14:paraId="582FC0F7" w14:textId="77777777" w:rsidR="00201296" w:rsidRDefault="00201296" w:rsidP="00201296">
      <w:pPr>
        <w:rPr>
          <w:rtl/>
        </w:rPr>
      </w:pPr>
      <w:r w:rsidRPr="00201296">
        <w:rPr>
          <w:rFonts w:hint="cs"/>
          <w:b/>
          <w:bCs/>
          <w:sz w:val="28"/>
          <w:szCs w:val="28"/>
          <w:rtl/>
        </w:rPr>
        <w:t>ב</w:t>
      </w:r>
      <w:r>
        <w:rPr>
          <w:rFonts w:hint="cs"/>
          <w:rtl/>
        </w:rPr>
        <w:t xml:space="preserve"> </w:t>
      </w:r>
      <w:r w:rsidRPr="00ED2AC6">
        <w:rPr>
          <w:sz w:val="24"/>
          <w:szCs w:val="24"/>
          <w:rtl/>
        </w:rPr>
        <w:t>מה סובר המג</w:t>
      </w:r>
      <w:r w:rsidRPr="00ED2AC6">
        <w:rPr>
          <w:rFonts w:hint="cs"/>
          <w:sz w:val="24"/>
          <w:szCs w:val="24"/>
          <w:rtl/>
        </w:rPr>
        <w:t>"א</w:t>
      </w:r>
      <w:r w:rsidRPr="00ED2AC6">
        <w:rPr>
          <w:sz w:val="24"/>
          <w:szCs w:val="24"/>
          <w:rtl/>
        </w:rPr>
        <w:t xml:space="preserve">, האם הפסוקים קריאתם כהקרבה או לא? </w:t>
      </w:r>
      <w:r w:rsidRPr="00ED2AC6">
        <w:rPr>
          <w:sz w:val="24"/>
          <w:szCs w:val="24"/>
          <w:rtl/>
        </w:rPr>
        <w:br/>
        <w:t>דהרי המג</w:t>
      </w:r>
      <w:r w:rsidRPr="00ED2AC6">
        <w:rPr>
          <w:rFonts w:hint="cs"/>
          <w:sz w:val="24"/>
          <w:szCs w:val="24"/>
          <w:rtl/>
        </w:rPr>
        <w:t>"א</w:t>
      </w:r>
      <w:r w:rsidRPr="00ED2AC6">
        <w:rPr>
          <w:sz w:val="24"/>
          <w:szCs w:val="24"/>
          <w:rtl/>
        </w:rPr>
        <w:t xml:space="preserve"> פירש בסוגייתנו דמותר לקרוא פסוקי מוסף בשבת קודם התפילה אחר פרשת התמיד, </w:t>
      </w:r>
      <w:r w:rsidRPr="00ED2AC6">
        <w:rPr>
          <w:rFonts w:hint="cs"/>
          <w:sz w:val="24"/>
          <w:szCs w:val="24"/>
          <w:rtl/>
        </w:rPr>
        <w:t>ממנ"פ</w:t>
      </w:r>
      <w:r w:rsidRPr="00ED2AC6">
        <w:rPr>
          <w:sz w:val="24"/>
          <w:szCs w:val="24"/>
          <w:rtl/>
        </w:rPr>
        <w:t>, דאם קריאתה כהקרבה הרי קרא פרשת התמיד, ואם לאו הרי אינו כהקרבה ומותר לאומרם קודם התפילה. ולמה לא פירש המג</w:t>
      </w:r>
      <w:r w:rsidRPr="00ED2AC6">
        <w:rPr>
          <w:rFonts w:hint="cs"/>
          <w:sz w:val="24"/>
          <w:szCs w:val="24"/>
          <w:rtl/>
        </w:rPr>
        <w:t>"א</w:t>
      </w:r>
      <w:r w:rsidRPr="00ED2AC6">
        <w:rPr>
          <w:sz w:val="24"/>
          <w:szCs w:val="24"/>
          <w:rtl/>
        </w:rPr>
        <w:t xml:space="preserve"> מה הוא סובר, האם </w:t>
      </w:r>
      <w:r w:rsidRPr="00ED2AC6">
        <w:rPr>
          <w:rFonts w:hint="cs"/>
          <w:sz w:val="24"/>
          <w:szCs w:val="24"/>
          <w:rtl/>
        </w:rPr>
        <w:t>הוי</w:t>
      </w:r>
      <w:r w:rsidRPr="00ED2AC6">
        <w:rPr>
          <w:sz w:val="24"/>
          <w:szCs w:val="24"/>
          <w:rtl/>
        </w:rPr>
        <w:t xml:space="preserve"> כקריאה או לא, רק אמר ממ</w:t>
      </w:r>
      <w:r w:rsidRPr="00ED2AC6">
        <w:rPr>
          <w:rFonts w:hint="cs"/>
          <w:sz w:val="24"/>
          <w:szCs w:val="24"/>
          <w:rtl/>
        </w:rPr>
        <w:t>נ"פ.</w:t>
      </w:r>
      <w:r w:rsidRPr="00ED2AC6">
        <w:rPr>
          <w:sz w:val="24"/>
          <w:szCs w:val="24"/>
          <w:rtl/>
        </w:rPr>
        <w:t xml:space="preserve"> </w:t>
      </w:r>
      <w:r w:rsidRPr="00ED2AC6">
        <w:rPr>
          <w:rFonts w:hint="cs"/>
          <w:sz w:val="24"/>
          <w:szCs w:val="24"/>
          <w:rtl/>
        </w:rPr>
        <w:t>[</w:t>
      </w:r>
      <w:r w:rsidRPr="00ED2AC6">
        <w:rPr>
          <w:sz w:val="24"/>
          <w:szCs w:val="24"/>
          <w:rtl/>
        </w:rPr>
        <w:t>והנפק</w:t>
      </w:r>
      <w:r w:rsidRPr="00ED2AC6">
        <w:rPr>
          <w:rFonts w:hint="cs"/>
          <w:sz w:val="24"/>
          <w:szCs w:val="24"/>
          <w:rtl/>
        </w:rPr>
        <w:t>"מ</w:t>
      </w:r>
      <w:r w:rsidRPr="00ED2AC6">
        <w:rPr>
          <w:sz w:val="24"/>
          <w:szCs w:val="24"/>
          <w:rtl/>
        </w:rPr>
        <w:t xml:space="preserve"> לקוראו קודם פרשת התמיד</w:t>
      </w:r>
      <w:r w:rsidRPr="00ED2AC6">
        <w:rPr>
          <w:rFonts w:hint="cs"/>
          <w:sz w:val="24"/>
          <w:szCs w:val="24"/>
          <w:rtl/>
        </w:rPr>
        <w:t>]</w:t>
      </w:r>
      <w:r w:rsidRPr="00ED2AC6">
        <w:rPr>
          <w:sz w:val="24"/>
          <w:szCs w:val="24"/>
          <w:rtl/>
        </w:rPr>
        <w:t xml:space="preserve">. </w:t>
      </w:r>
    </w:p>
    <w:p w14:paraId="3B0A95ED" w14:textId="77777777" w:rsidR="000A3E70" w:rsidRDefault="00201296" w:rsidP="00201296">
      <w:pPr>
        <w:jc w:val="right"/>
        <w:rPr>
          <w:rtl/>
        </w:rPr>
      </w:pPr>
      <w:r w:rsidRPr="00201296">
        <w:rPr>
          <w:rtl/>
        </w:rPr>
        <w:t xml:space="preserve">הרב חיים </w:t>
      </w:r>
      <w:r>
        <w:rPr>
          <w:rFonts w:hint="cs"/>
          <w:rtl/>
        </w:rPr>
        <w:t>שווב</w:t>
      </w:r>
    </w:p>
    <w:p w14:paraId="202688E8" w14:textId="77777777" w:rsidR="00ED2AC6" w:rsidRDefault="00ED2AC6" w:rsidP="00201296">
      <w:pPr>
        <w:rPr>
          <w:b/>
          <w:bCs/>
          <w:sz w:val="28"/>
          <w:szCs w:val="28"/>
          <w:rtl/>
        </w:rPr>
      </w:pPr>
    </w:p>
    <w:p w14:paraId="24647037" w14:textId="77777777" w:rsidR="001D433D" w:rsidRPr="00ED2AC6" w:rsidRDefault="00ED2AC6" w:rsidP="001D433D">
      <w:pPr>
        <w:jc w:val="center"/>
        <w:rPr>
          <w:b/>
          <w:bCs/>
          <w:sz w:val="36"/>
          <w:szCs w:val="36"/>
          <w:rtl/>
        </w:rPr>
      </w:pPr>
      <w:r w:rsidRPr="00ED2AC6">
        <w:rPr>
          <w:rFonts w:hint="cs"/>
          <w:b/>
          <w:bCs/>
          <w:sz w:val="36"/>
          <w:szCs w:val="36"/>
          <w:rtl/>
        </w:rPr>
        <w:t>סימן</w:t>
      </w:r>
      <w:r w:rsidR="001D433D" w:rsidRPr="00ED2AC6">
        <w:rPr>
          <w:rFonts w:hint="cs"/>
          <w:b/>
          <w:bCs/>
          <w:sz w:val="36"/>
          <w:szCs w:val="36"/>
          <w:rtl/>
        </w:rPr>
        <w:t xml:space="preserve"> מ"ט</w:t>
      </w:r>
    </w:p>
    <w:p w14:paraId="3C31B7E6" w14:textId="23648DB5" w:rsidR="001D433D" w:rsidRDefault="00351492" w:rsidP="001D433D">
      <w:pPr>
        <w:rPr>
          <w:rtl/>
        </w:rPr>
      </w:pPr>
      <w:r>
        <w:rPr>
          <w:rFonts w:hint="cs"/>
          <w:b/>
          <w:bCs/>
          <w:sz w:val="28"/>
          <w:szCs w:val="28"/>
          <w:rtl/>
        </w:rPr>
        <w:t>ג</w:t>
      </w:r>
      <w:r w:rsidR="001D433D">
        <w:rPr>
          <w:rFonts w:hint="cs"/>
          <w:rtl/>
        </w:rPr>
        <w:t xml:space="preserve"> </w:t>
      </w:r>
      <w:r w:rsidR="001D433D" w:rsidRPr="00ED2AC6">
        <w:rPr>
          <w:sz w:val="24"/>
          <w:szCs w:val="24"/>
          <w:rtl/>
        </w:rPr>
        <w:t>וכי יכולים אנו לומר שהתוס</w:t>
      </w:r>
      <w:r w:rsidR="001D433D" w:rsidRPr="00ED2AC6">
        <w:rPr>
          <w:rFonts w:hint="cs"/>
          <w:sz w:val="24"/>
          <w:szCs w:val="24"/>
          <w:rtl/>
        </w:rPr>
        <w:t>'</w:t>
      </w:r>
      <w:r w:rsidR="001D433D" w:rsidRPr="00ED2AC6">
        <w:rPr>
          <w:sz w:val="24"/>
          <w:szCs w:val="24"/>
          <w:rtl/>
        </w:rPr>
        <w:t xml:space="preserve"> יסבור ש</w:t>
      </w:r>
      <w:r w:rsidR="001D433D" w:rsidRPr="00ED2AC6">
        <w:rPr>
          <w:rFonts w:hint="cs"/>
          <w:sz w:val="24"/>
          <w:szCs w:val="24"/>
          <w:rtl/>
        </w:rPr>
        <w:t>נ"ך</w:t>
      </w:r>
      <w:r w:rsidR="001D433D" w:rsidRPr="00ED2AC6">
        <w:rPr>
          <w:sz w:val="24"/>
          <w:szCs w:val="24"/>
          <w:rtl/>
        </w:rPr>
        <w:t xml:space="preserve"> הוי כתורה שבעל פה? </w:t>
      </w:r>
      <w:r w:rsidR="001D433D" w:rsidRPr="00ED2AC6">
        <w:rPr>
          <w:sz w:val="24"/>
          <w:szCs w:val="24"/>
          <w:rtl/>
        </w:rPr>
        <w:br/>
        <w:t>שהרי התוס</w:t>
      </w:r>
      <w:r w:rsidR="001D433D" w:rsidRPr="00ED2AC6">
        <w:rPr>
          <w:rFonts w:hint="cs"/>
          <w:sz w:val="24"/>
          <w:szCs w:val="24"/>
          <w:rtl/>
        </w:rPr>
        <w:t>'</w:t>
      </w:r>
      <w:r w:rsidR="001D433D" w:rsidRPr="00ED2AC6">
        <w:rPr>
          <w:sz w:val="24"/>
          <w:szCs w:val="24"/>
          <w:rtl/>
        </w:rPr>
        <w:t xml:space="preserve"> בתמורה </w:t>
      </w:r>
      <w:r w:rsidR="001D433D" w:rsidRPr="00ED2AC6">
        <w:rPr>
          <w:rFonts w:hint="cs"/>
          <w:sz w:val="24"/>
          <w:szCs w:val="24"/>
          <w:rtl/>
        </w:rPr>
        <w:t>י</w:t>
      </w:r>
      <w:r w:rsidR="001D433D" w:rsidRPr="00ED2AC6">
        <w:rPr>
          <w:sz w:val="24"/>
          <w:szCs w:val="24"/>
          <w:rtl/>
        </w:rPr>
        <w:t>"ד</w:t>
      </w:r>
      <w:r w:rsidR="001D433D" w:rsidRPr="00ED2AC6">
        <w:rPr>
          <w:sz w:val="24"/>
          <w:szCs w:val="24"/>
        </w:rPr>
        <w:t>:</w:t>
      </w:r>
      <w:r w:rsidR="001D433D" w:rsidRPr="00ED2AC6">
        <w:rPr>
          <w:sz w:val="24"/>
          <w:szCs w:val="24"/>
          <w:rtl/>
        </w:rPr>
        <w:t xml:space="preserve"> ד</w:t>
      </w:r>
      <w:r w:rsidR="001D433D" w:rsidRPr="00ED2AC6">
        <w:rPr>
          <w:rFonts w:hint="cs"/>
          <w:sz w:val="24"/>
          <w:szCs w:val="24"/>
          <w:rtl/>
        </w:rPr>
        <w:t>"ה</w:t>
      </w:r>
      <w:r w:rsidR="001D433D" w:rsidRPr="00ED2AC6">
        <w:rPr>
          <w:sz w:val="24"/>
          <w:szCs w:val="24"/>
          <w:rtl/>
        </w:rPr>
        <w:t xml:space="preserve"> </w:t>
      </w:r>
      <w:r w:rsidR="001D433D" w:rsidRPr="00ED2AC6">
        <w:rPr>
          <w:rFonts w:hint="cs"/>
          <w:sz w:val="24"/>
          <w:szCs w:val="24"/>
          <w:rtl/>
        </w:rPr>
        <w:t>'</w:t>
      </w:r>
      <w:r w:rsidR="001D433D" w:rsidRPr="00ED2AC6">
        <w:rPr>
          <w:sz w:val="24"/>
          <w:szCs w:val="24"/>
          <w:rtl/>
        </w:rPr>
        <w:t>דברים שבכתב</w:t>
      </w:r>
      <w:r w:rsidR="001D433D" w:rsidRPr="00ED2AC6">
        <w:rPr>
          <w:rFonts w:hint="cs"/>
          <w:sz w:val="24"/>
          <w:szCs w:val="24"/>
          <w:rtl/>
        </w:rPr>
        <w:t>'</w:t>
      </w:r>
      <w:r w:rsidR="001D433D" w:rsidRPr="00ED2AC6">
        <w:rPr>
          <w:sz w:val="24"/>
          <w:szCs w:val="24"/>
          <w:rtl/>
        </w:rPr>
        <w:t xml:space="preserve"> מקשה</w:t>
      </w:r>
      <w:r w:rsidR="001D433D" w:rsidRPr="00ED2AC6">
        <w:rPr>
          <w:rFonts w:hint="cs"/>
          <w:sz w:val="24"/>
          <w:szCs w:val="24"/>
          <w:rtl/>
        </w:rPr>
        <w:t>,</w:t>
      </w:r>
      <w:r w:rsidR="001D433D" w:rsidRPr="00ED2AC6">
        <w:rPr>
          <w:sz w:val="24"/>
          <w:szCs w:val="24"/>
          <w:rtl/>
        </w:rPr>
        <w:t xml:space="preserve"> ואיך קוראים מזמורים על פה? ומת</w:t>
      </w:r>
      <w:r w:rsidR="001D433D" w:rsidRPr="00ED2AC6">
        <w:rPr>
          <w:rFonts w:hint="cs"/>
          <w:sz w:val="24"/>
          <w:szCs w:val="24"/>
          <w:rtl/>
        </w:rPr>
        <w:t>'</w:t>
      </w:r>
      <w:r w:rsidR="001D433D" w:rsidRPr="00ED2AC6">
        <w:rPr>
          <w:sz w:val="24"/>
          <w:szCs w:val="24"/>
          <w:rtl/>
        </w:rPr>
        <w:t xml:space="preserve"> ד</w:t>
      </w:r>
      <w:r w:rsidR="001D433D" w:rsidRPr="00ED2AC6">
        <w:rPr>
          <w:rFonts w:hint="cs"/>
          <w:sz w:val="24"/>
          <w:szCs w:val="24"/>
          <w:rtl/>
        </w:rPr>
        <w:t>ה</w:t>
      </w:r>
      <w:r w:rsidR="001D433D" w:rsidRPr="00ED2AC6">
        <w:rPr>
          <w:sz w:val="24"/>
          <w:szCs w:val="24"/>
          <w:rtl/>
        </w:rPr>
        <w:t>איסור רק על החומש לחוד ונ</w:t>
      </w:r>
      <w:r w:rsidR="001D433D" w:rsidRPr="00ED2AC6">
        <w:rPr>
          <w:rFonts w:hint="cs"/>
          <w:sz w:val="24"/>
          <w:szCs w:val="24"/>
          <w:rtl/>
        </w:rPr>
        <w:t>"ך</w:t>
      </w:r>
      <w:r w:rsidR="001D433D" w:rsidRPr="00ED2AC6">
        <w:rPr>
          <w:sz w:val="24"/>
          <w:szCs w:val="24"/>
          <w:rtl/>
        </w:rPr>
        <w:t xml:space="preserve"> מותר. וכי יעלה על הדעת לומר דנ</w:t>
      </w:r>
      <w:r w:rsidR="001D433D" w:rsidRPr="00ED2AC6">
        <w:rPr>
          <w:rFonts w:hint="cs"/>
          <w:sz w:val="24"/>
          <w:szCs w:val="24"/>
          <w:rtl/>
        </w:rPr>
        <w:t>"ך</w:t>
      </w:r>
      <w:r w:rsidR="001D433D" w:rsidRPr="00ED2AC6">
        <w:rPr>
          <w:sz w:val="24"/>
          <w:szCs w:val="24"/>
          <w:rtl/>
        </w:rPr>
        <w:t xml:space="preserve"> הוי כתורה ש</w:t>
      </w:r>
      <w:r w:rsidR="001D433D" w:rsidRPr="00ED2AC6">
        <w:rPr>
          <w:rFonts w:hint="cs"/>
          <w:sz w:val="24"/>
          <w:szCs w:val="24"/>
          <w:rtl/>
        </w:rPr>
        <w:t>ע"פ</w:t>
      </w:r>
      <w:r w:rsidR="001D433D" w:rsidRPr="00ED2AC6">
        <w:rPr>
          <w:sz w:val="24"/>
          <w:szCs w:val="24"/>
          <w:rtl/>
        </w:rPr>
        <w:t>?</w:t>
      </w:r>
    </w:p>
    <w:p w14:paraId="5A68C071" w14:textId="77777777" w:rsidR="00B93B53" w:rsidRDefault="001D433D" w:rsidP="001D433D">
      <w:pPr>
        <w:jc w:val="right"/>
        <w:rPr>
          <w:rtl/>
        </w:rPr>
      </w:pPr>
      <w:r>
        <w:rPr>
          <w:rtl/>
        </w:rPr>
        <w:t>הרב יוסף פקשר, הרב מיכל ר</w:t>
      </w:r>
      <w:r>
        <w:rPr>
          <w:rFonts w:hint="cs"/>
          <w:rtl/>
        </w:rPr>
        <w:t>ו</w:t>
      </w:r>
      <w:r>
        <w:rPr>
          <w:rtl/>
        </w:rPr>
        <w:t>זנב</w:t>
      </w:r>
      <w:r w:rsidRPr="001D433D">
        <w:rPr>
          <w:rtl/>
        </w:rPr>
        <w:t>רג</w:t>
      </w:r>
    </w:p>
    <w:p w14:paraId="7FAB94F3" w14:textId="77777777" w:rsidR="00ED2AC6" w:rsidRDefault="00ED2AC6" w:rsidP="00ED2AC6">
      <w:pPr>
        <w:rPr>
          <w:b/>
          <w:bCs/>
          <w:sz w:val="28"/>
          <w:szCs w:val="28"/>
          <w:rtl/>
        </w:rPr>
      </w:pPr>
    </w:p>
    <w:p w14:paraId="747E2FAD" w14:textId="1C71F385" w:rsidR="00ED2AC6" w:rsidRDefault="00351492" w:rsidP="00ED2AC6">
      <w:pPr>
        <w:rPr>
          <w:rtl/>
        </w:rPr>
      </w:pPr>
      <w:r>
        <w:rPr>
          <w:rFonts w:hint="cs"/>
          <w:b/>
          <w:bCs/>
          <w:sz w:val="28"/>
          <w:szCs w:val="28"/>
          <w:rtl/>
        </w:rPr>
        <w:t>ד</w:t>
      </w:r>
      <w:r w:rsidR="00ED2AC6">
        <w:rPr>
          <w:rFonts w:hint="cs"/>
          <w:rtl/>
        </w:rPr>
        <w:t xml:space="preserve"> </w:t>
      </w:r>
      <w:r w:rsidR="00ED2AC6" w:rsidRPr="00ED2AC6">
        <w:rPr>
          <w:sz w:val="24"/>
          <w:szCs w:val="24"/>
          <w:rtl/>
        </w:rPr>
        <w:t xml:space="preserve">מהו ההגדרה באיסור קריאת </w:t>
      </w:r>
      <w:r w:rsidR="00ED2AC6" w:rsidRPr="00ED2AC6">
        <w:rPr>
          <w:rFonts w:hint="cs"/>
          <w:sz w:val="24"/>
          <w:szCs w:val="24"/>
          <w:rtl/>
        </w:rPr>
        <w:t>ד"ת</w:t>
      </w:r>
      <w:r w:rsidR="00ED2AC6" w:rsidRPr="00ED2AC6">
        <w:rPr>
          <w:sz w:val="24"/>
          <w:szCs w:val="24"/>
          <w:rtl/>
        </w:rPr>
        <w:t xml:space="preserve"> על פה? </w:t>
      </w:r>
      <w:r w:rsidR="00ED2AC6" w:rsidRPr="00ED2AC6">
        <w:rPr>
          <w:sz w:val="24"/>
          <w:szCs w:val="24"/>
          <w:rtl/>
        </w:rPr>
        <w:br/>
        <w:t>סדר היום מותר</w:t>
      </w:r>
      <w:r w:rsidR="00ED2AC6" w:rsidRPr="00ED2AC6">
        <w:rPr>
          <w:rFonts w:hint="cs"/>
          <w:sz w:val="24"/>
          <w:szCs w:val="24"/>
          <w:rtl/>
        </w:rPr>
        <w:t>,</w:t>
      </w:r>
      <w:r w:rsidR="00ED2AC6" w:rsidRPr="00ED2AC6">
        <w:rPr>
          <w:sz w:val="24"/>
          <w:szCs w:val="24"/>
          <w:rtl/>
        </w:rPr>
        <w:t xml:space="preserve"> שלא להוציא הציבור מותר</w:t>
      </w:r>
      <w:r w:rsidR="00ED2AC6" w:rsidRPr="00ED2AC6">
        <w:rPr>
          <w:rFonts w:hint="cs"/>
          <w:sz w:val="24"/>
          <w:szCs w:val="24"/>
          <w:rtl/>
        </w:rPr>
        <w:t>,</w:t>
      </w:r>
      <w:r w:rsidR="00ED2AC6" w:rsidRPr="00ED2AC6">
        <w:rPr>
          <w:sz w:val="24"/>
          <w:szCs w:val="24"/>
          <w:rtl/>
        </w:rPr>
        <w:t xml:space="preserve"> מ</w:t>
      </w:r>
      <w:r w:rsidR="00ED2AC6" w:rsidRPr="00ED2AC6">
        <w:rPr>
          <w:rFonts w:hint="cs"/>
          <w:sz w:val="24"/>
          <w:szCs w:val="24"/>
          <w:rtl/>
        </w:rPr>
        <w:t>א</w:t>
      </w:r>
      <w:r w:rsidR="00ED2AC6" w:rsidRPr="00ED2AC6">
        <w:rPr>
          <w:sz w:val="24"/>
          <w:szCs w:val="24"/>
          <w:rtl/>
        </w:rPr>
        <w:t>י ההגדרה</w:t>
      </w:r>
      <w:r w:rsidR="00ED2AC6" w:rsidRPr="00ED2AC6">
        <w:rPr>
          <w:rFonts w:hint="cs"/>
          <w:sz w:val="24"/>
          <w:szCs w:val="24"/>
          <w:rtl/>
        </w:rPr>
        <w:t>.</w:t>
      </w:r>
      <w:r w:rsidR="00ED2AC6" w:rsidRPr="00ED2AC6">
        <w:rPr>
          <w:sz w:val="24"/>
          <w:szCs w:val="24"/>
          <w:rtl/>
        </w:rPr>
        <w:t xml:space="preserve"> </w:t>
      </w:r>
    </w:p>
    <w:p w14:paraId="27F7F45D" w14:textId="77777777" w:rsidR="001D433D" w:rsidRPr="00201296" w:rsidRDefault="00ED2AC6" w:rsidP="00ED2AC6">
      <w:pPr>
        <w:jc w:val="right"/>
        <w:rPr>
          <w:rtl/>
        </w:rPr>
      </w:pPr>
      <w:r>
        <w:rPr>
          <w:rtl/>
        </w:rPr>
        <w:t>הרב יוסף פ</w:t>
      </w:r>
      <w:r w:rsidRPr="00ED2AC6">
        <w:rPr>
          <w:rtl/>
        </w:rPr>
        <w:t>ק</w:t>
      </w:r>
      <w:r>
        <w:rPr>
          <w:rtl/>
        </w:rPr>
        <w:t>שר, הרב מיכ</w:t>
      </w:r>
      <w:r w:rsidRPr="00ED2AC6">
        <w:rPr>
          <w:rtl/>
        </w:rPr>
        <w:t>ל רוזנברג</w:t>
      </w:r>
    </w:p>
    <w:sectPr w:rsidR="001D433D" w:rsidRPr="00201296" w:rsidSect="00FF25B4">
      <w:pgSz w:w="11906" w:h="16838"/>
      <w:pgMar w:top="1440" w:right="1800" w:bottom="1440" w:left="1800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01883"/>
    <w:multiLevelType w:val="hybridMultilevel"/>
    <w:tmpl w:val="E5D0FDA2"/>
    <w:lvl w:ilvl="0" w:tplc="807A5310">
      <w:start w:val="1"/>
      <w:numFmt w:val="hebrew1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08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A81"/>
    <w:rsid w:val="000A3E70"/>
    <w:rsid w:val="001D433D"/>
    <w:rsid w:val="00201296"/>
    <w:rsid w:val="00274CEA"/>
    <w:rsid w:val="00351492"/>
    <w:rsid w:val="00AF6A81"/>
    <w:rsid w:val="00B0355B"/>
    <w:rsid w:val="00B93B53"/>
    <w:rsid w:val="00ED2AC6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BEE43"/>
  <w15:chartTrackingRefBased/>
  <w15:docId w15:val="{0C9091F0-05CD-4E01-ADF4-647093B7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1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5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203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</dc:creator>
  <cp:keywords/>
  <dc:description/>
  <cp:lastModifiedBy>User</cp:lastModifiedBy>
  <cp:revision>6</cp:revision>
  <dcterms:created xsi:type="dcterms:W3CDTF">2026-04-22T17:27:00Z</dcterms:created>
  <dcterms:modified xsi:type="dcterms:W3CDTF">2026-04-25T22:17:00Z</dcterms:modified>
</cp:coreProperties>
</file>