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rFonts w:ascii="David" w:hAnsi="David"/>
          <w:b/>
          <w:sz w:val="36"/>
          <w:rtl/>
        </w:rPr>
        <w:t>הערות על הטקסט המקורי</w:t>
      </w:r>
    </w:p>
    <w:p>
      <w:pPr>
        <w:bidi/>
        <w:jc w:val="right"/>
      </w:pPr>
      <w:r>
        <w:rPr>
          <w:rFonts w:ascii="David" w:hAnsi="David"/>
          <w:sz w:val="22"/>
          <w:rtl/>
        </w:rPr>
        <w:t>בקריאה המלאה של החוברת נמצאו מקומות שבהם הטקסט עצמו אינו תקין, כגון סוגריים שנפתחו ולא נסגרו. רווחים שהוקלדו לפני סימני פיסוק תוקנו בחוברת. סוגריים לא מאוזנים לא תוקנו (להתעלם בשלב זה) ולא שיניתי תוכן. מי שרוצה יתקן במקור וישלח שוב, והחוברת תיבנה מחדש. מספרי העמודים הם לפי מספור החוברת.</w:t>
      </w:r>
    </w:p>
    <w:tbl>
      <w:tblPr>
        <w:tblStyle w:val="TableGrid"/>
        <w:tblW w:type="auto" w:w="0"/>
        <w:tblLook w:firstColumn="1" w:firstRow="1" w:lastColumn="0" w:lastRow="0" w:noHBand="0" w:noVBand="1" w:val="04A0"/>
        <w:bidiVisual/>
      </w:tblPr>
      <w:tblGrid>
        <w:gridCol w:w="2550"/>
        <w:gridCol w:w="2550"/>
        <w:gridCol w:w="2550"/>
        <w:gridCol w:w="2550"/>
      </w:tblGrid>
      <w:tr>
        <w:tc>
          <w:tcPr>
            <w:tcW w:type="dxa" w:w="850"/>
          </w:tcPr>
          <w:p>
            <w:pPr>
              <w:bidi/>
              <w:jc w:val="right"/>
            </w:pPr>
            <w:r/>
            <w:r>
              <w:rPr>
                <w:rFonts w:ascii="David" w:hAnsi="David" w:cs="David"/>
                <w:b/>
                <w:sz w:val="20"/>
                <w:rtl/>
              </w:rPr>
              <w:t>עמוד</w:t>
            </w:r>
          </w:p>
        </w:tc>
        <w:tc>
          <w:tcPr>
            <w:tcW w:type="dxa" w:w="2835"/>
          </w:tcPr>
          <w:p>
            <w:pPr>
              <w:bidi/>
              <w:jc w:val="right"/>
            </w:pPr>
            <w:r/>
            <w:r>
              <w:rPr>
                <w:rFonts w:ascii="David" w:hAnsi="David" w:cs="David"/>
                <w:b/>
                <w:sz w:val="20"/>
                <w:rtl/>
              </w:rPr>
              <w:t>מאמר</w:t>
            </w:r>
          </w:p>
        </w:tc>
        <w:tc>
          <w:tcPr>
            <w:tcW w:type="dxa" w:w="2268"/>
          </w:tcPr>
          <w:p>
            <w:pPr>
              <w:bidi/>
              <w:jc w:val="right"/>
            </w:pPr>
            <w:r/>
            <w:r>
              <w:rPr>
                <w:rFonts w:ascii="David" w:hAnsi="David" w:cs="David"/>
                <w:b/>
                <w:sz w:val="20"/>
                <w:rtl/>
              </w:rPr>
              <w:t>סוג</w:t>
            </w:r>
          </w:p>
        </w:tc>
        <w:tc>
          <w:tcPr>
            <w:tcW w:type="dxa" w:w="3798"/>
          </w:tcPr>
          <w:p>
            <w:pPr>
              <w:bidi/>
              <w:jc w:val="right"/>
            </w:pPr>
            <w:r/>
            <w:r>
              <w:rPr>
                <w:rFonts w:ascii="David" w:hAnsi="David" w:cs="David"/>
                <w:b/>
                <w:sz w:val="20"/>
                <w:rtl/>
              </w:rPr>
              <w:t>קטע</w:t>
            </w:r>
          </w:p>
        </w:tc>
      </w:tr>
      <w:tr>
        <w:tc>
          <w:tcPr>
            <w:tcW w:type="dxa" w:w="850"/>
          </w:tcPr>
          <w:p>
            <w:pPr>
              <w:bidi/>
              <w:jc w:val="right"/>
            </w:pPr>
            <w:r/>
            <w:r>
              <w:rPr>
                <w:rFonts w:ascii="David" w:hAnsi="David" w:cs="David"/>
                <w:b w:val="0"/>
                <w:sz w:val="20"/>
                <w:rtl/>
              </w:rPr>
              <w:t>15</w:t>
            </w:r>
          </w:p>
        </w:tc>
        <w:tc>
          <w:tcPr>
            <w:tcW w:type="dxa" w:w="2835"/>
          </w:tcPr>
          <w:p>
            <w:pPr>
              <w:bidi/>
              <w:jc w:val="right"/>
            </w:pPr>
            <w:r/>
            <w:r>
              <w:rPr>
                <w:rFonts w:ascii="David" w:hAnsi="David" w:cs="David"/>
                <w:b w:val="0"/>
                <w:sz w:val="20"/>
                <w:rtl/>
              </w:rPr>
              <w:t>החובה להתאמץ בדור אחרון</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אדם להגיע ליראת שמים כזאת ולכך (???) לחדש לנו שהדרך המועלת והנכונה …</w:t>
            </w:r>
          </w:p>
        </w:tc>
      </w:tr>
      <w:tr>
        <w:tc>
          <w:tcPr>
            <w:tcW w:type="dxa" w:w="850"/>
          </w:tcPr>
          <w:p>
            <w:pPr>
              <w:bidi/>
              <w:jc w:val="right"/>
            </w:pPr>
            <w:r/>
            <w:r>
              <w:rPr>
                <w:rFonts w:ascii="David" w:hAnsi="David" w:cs="David"/>
                <w:b w:val="0"/>
                <w:sz w:val="20"/>
                <w:rtl/>
              </w:rPr>
              <w:t>19</w:t>
            </w:r>
          </w:p>
        </w:tc>
        <w:tc>
          <w:tcPr>
            <w:tcW w:type="dxa" w:w="2835"/>
          </w:tcPr>
          <w:p>
            <w:pPr>
              <w:bidi/>
              <w:jc w:val="right"/>
            </w:pPr>
            <w:r/>
            <w:r>
              <w:rPr>
                <w:rFonts w:ascii="David" w:hAnsi="David" w:cs="David"/>
                <w:b w:val="0"/>
                <w:sz w:val="20"/>
                <w:rtl/>
              </w:rPr>
              <w:t>הלכות נטילת ידיים שחרית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[לכאורה לטעם הראשון של רש״י זה …</w:t>
            </w:r>
          </w:p>
        </w:tc>
      </w:tr>
      <w:tr>
        <w:tc>
          <w:tcPr>
            <w:tcW w:type="dxa" w:w="850"/>
          </w:tcPr>
          <w:p>
            <w:pPr>
              <w:bidi/>
              <w:jc w:val="right"/>
            </w:pPr>
            <w:r/>
            <w:r>
              <w:rPr>
                <w:rFonts w:ascii="David" w:hAnsi="David" w:cs="David"/>
                <w:b w:val="0"/>
                <w:sz w:val="20"/>
                <w:rtl/>
              </w:rPr>
              <w:t>51</w:t>
            </w:r>
          </w:p>
        </w:tc>
        <w:tc>
          <w:tcPr>
            <w:tcW w:type="dxa" w:w="2835"/>
          </w:tcPr>
          <w:p>
            <w:pPr>
              <w:bidi/>
              <w:jc w:val="right"/>
            </w:pPr>
            <w:r/>
            <w:r>
              <w:rPr>
                <w:rFonts w:ascii="David" w:hAnsi="David" w:cs="David"/>
                <w:b w:val="0"/>
                <w:sz w:val="20"/>
                <w:rtl/>
              </w:rPr>
              <w:t>בענין נטילת ידיים של שחרית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יש שלהחמיר רק ברפש ולא בטיט (ונראה משום שרפש זה לכלוך שיש בו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בפסחים [נ.] וכן הוא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ובעצם המח׳ עמד הגרי״ז [שם על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אמנם נראה שאין ביאור זה - דשם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ונראה לדון כאן בכמה נפק״מ בעיקר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עיין אגרות משה [או״ח ה. ה, אות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״והגאון מורנו הרב יונתן אייבשיץ [חידושי ר׳ יהונתן על מסכת ברכות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והנה ראיתי רבים וטובים שהתקשו בכל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טהור מרעיא מהימנא פינחס דף רכט.] וזה לשונו ואמר קודשא בריך הוא מאן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הענין ביאר בהרחבה  הרב בן איש חי [בספרו אדרת אליהו פרשת תצוה עה״פ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כתב הטור [סי׳ ה] ״ויכון בברכותיו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הנה מלשון הטור והשו״ע מבואר לכאו׳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נראה דבאמת מה שקשה כ״כ לכוין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בענין ביאור שם אלוקים, עיין במה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ויש להוסיף כאן לתועלת המעיינים ב׳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יזהר ככל האפשר לכוון בכל השמות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בקר״ש וכן בברכה הראשונה שבתפלה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לכתחילה חייב להחמיר בזה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התבאר לעיל דלענין הכוונה בברכות,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הנה מלבד מה שנתבאר שצריך אדם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איתא במנחות [מג:] ׳תניא היה רבי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איתא במדרש שוחר טוב; [מזמור צא, …</w:t>
            </w:r>
          </w:p>
        </w:tc>
      </w:tr>
      <w:tr>
        <w:tc>
          <w:tcPr>
            <w:tcW w:type="dxa" w:w="850"/>
          </w:tcPr>
          <w:p>
            <w:pPr>
              <w:bidi/>
              <w:jc w:val="right"/>
            </w:pPr>
            <w:r/>
            <w:r>
              <w:rPr>
                <w:rFonts w:ascii="David" w:hAnsi="David" w:cs="David"/>
                <w:b w:val="0"/>
                <w:sz w:val="20"/>
                <w:rtl/>
              </w:rPr>
              <w:t>78</w:t>
            </w:r>
          </w:p>
        </w:tc>
        <w:tc>
          <w:tcPr>
            <w:tcW w:type="dxa" w:w="2835"/>
          </w:tcPr>
          <w:p>
            <w:pPr>
              <w:bidi/>
              <w:jc w:val="right"/>
            </w:pPr>
            <w:r/>
            <w:r>
              <w:rPr>
                <w:rFonts w:ascii="David" w:hAnsi="David" w:cs="David"/>
                <w:b w:val="0"/>
                <w:sz w:val="20"/>
                <w:rtl/>
              </w:rPr>
              <w:t>הזכרת השם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אף יותר מן הדיבור וההזכרה בפיו, [עיין בזה ביומא כט. ׳הרהורי עבירה׳ …</w:t>
            </w:r>
          </w:p>
        </w:tc>
      </w:tr>
      <w:tr>
        <w:tc>
          <w:tcPr>
            <w:tcW w:type="dxa" w:w="850"/>
          </w:tcPr>
          <w:p>
            <w:pPr>
              <w:bidi/>
              <w:jc w:val="right"/>
            </w:pPr>
            <w:r/>
            <w:r>
              <w:rPr>
                <w:rFonts w:ascii="David" w:hAnsi="David" w:cs="David"/>
                <w:b w:val="0"/>
                <w:sz w:val="20"/>
                <w:rtl/>
              </w:rPr>
              <w:t>122</w:t>
            </w:r>
          </w:p>
        </w:tc>
        <w:tc>
          <w:tcPr>
            <w:tcW w:type="dxa" w:w="2835"/>
          </w:tcPr>
          <w:p>
            <w:pPr>
              <w:bidi/>
              <w:jc w:val="right"/>
            </w:pPr>
            <w:r/>
            <w:r>
              <w:rPr>
                <w:rFonts w:ascii="David" w:hAnsi="David" w:cs="David"/>
                <w:b w:val="0"/>
                <w:sz w:val="20"/>
                <w:rtl/>
              </w:rPr>
              <w:t>דין כוונת הברכות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ובאלוקים שהוא בעל הכוחות כולם. [המצוה השישית ולא תתורו. וכתב שם …</w:t>
            </w:r>
          </w:p>
        </w:tc>
      </w:tr>
      <w:tr>
        <w:tc>
          <w:tcPr>
            <w:tcW w:type="dxa" w:w="850"/>
          </w:tcPr>
          <w:p>
            <w:pPr>
              <w:bidi/>
              <w:jc w:val="right"/>
            </w:pPr>
            <w:r/>
            <w:r>
              <w:rPr>
                <w:rFonts w:ascii="David" w:hAnsi="David" w:cs="David"/>
                <w:b w:val="0"/>
                <w:sz w:val="20"/>
                <w:rtl/>
              </w:rPr>
              <w:t>133</w:t>
            </w:r>
          </w:p>
        </w:tc>
        <w:tc>
          <w:tcPr>
            <w:tcW w:type="dxa" w:w="2835"/>
          </w:tcPr>
          <w:p>
            <w:pPr>
              <w:bidi/>
              <w:jc w:val="right"/>
            </w:pPr>
            <w:r/>
            <w:r>
              <w:rPr>
                <w:rFonts w:ascii="David" w:hAnsi="David" w:cs="David"/>
                <w:b w:val="0"/>
                <w:sz w:val="20"/>
                <w:rtl/>
              </w:rPr>
              <w:t>פירוש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בו הקב״ה טוב המאכל ודוחה הפסולת׳. [כלומר, בהוצאתו שהיא רפואה לכל בשרי …</w:t>
            </w:r>
          </w:p>
        </w:tc>
      </w:tr>
      <w:tr>
        <w:tc>
          <w:tcPr>
            <w:tcW w:type="dxa" w:w="850"/>
          </w:tcPr>
          <w:p>
            <w:pPr>
              <w:bidi/>
              <w:jc w:val="right"/>
            </w:pPr>
            <w:r/>
            <w:r>
              <w:rPr>
                <w:rFonts w:ascii="David" w:hAnsi="David" w:cs="David"/>
                <w:b w:val="0"/>
                <w:sz w:val="20"/>
                <w:rtl/>
              </w:rPr>
              <w:t>144</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הקימה ואכן כך פסק השו״ע בסימן ד.א] ועוד הוסיף לדייק בלשונו בריש סימן …</w:t>
            </w:r>
          </w:p>
        </w:tc>
      </w:tr>
      <w:tr>
        <w:tc>
          <w:tcPr>
            <w:tcW w:type="dxa" w:w="850"/>
          </w:tcPr>
          <w:p>
            <w:pPr>
              <w:bidi/>
              <w:jc w:val="right"/>
            </w:pPr>
            <w:r/>
            <w:r>
              <w:rPr>
                <w:rFonts w:ascii="David" w:hAnsi="David" w:cs="David"/>
                <w:b w:val="0"/>
                <w:sz w:val="20"/>
                <w:rtl/>
              </w:rPr>
              <w:t>144</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איתא בגמ׳ בברכות [מו.] ופסחים קד:] כל הברכות כולן פותח בהן בברוך …</w:t>
            </w:r>
          </w:p>
        </w:tc>
      </w:tr>
      <w:tr>
        <w:tc>
          <w:tcPr>
            <w:tcW w:type="dxa" w:w="850"/>
          </w:tcPr>
          <w:p>
            <w:pPr>
              <w:bidi/>
              <w:jc w:val="right"/>
            </w:pPr>
            <w:r/>
            <w:r>
              <w:rPr>
                <w:rFonts w:ascii="David" w:hAnsi="David" w:cs="David"/>
                <w:b w:val="0"/>
                <w:sz w:val="20"/>
                <w:rtl/>
              </w:rPr>
              <w:t>144</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ע״כ.  וכן הוא התוס׳ הרא״ש בברכות.] ותוס׳ רבי יהודה החסיד [שם.] …</w:t>
            </w:r>
          </w:p>
        </w:tc>
      </w:tr>
      <w:tr>
        <w:tc>
          <w:tcPr>
            <w:tcW w:type="dxa" w:w="850"/>
          </w:tcPr>
          <w:p>
            <w:pPr>
              <w:bidi/>
              <w:jc w:val="right"/>
            </w:pPr>
            <w:r/>
            <w:r>
              <w:rPr>
                <w:rFonts w:ascii="David" w:hAnsi="David" w:cs="David"/>
                <w:b w:val="0"/>
                <w:sz w:val="20"/>
                <w:rtl/>
              </w:rPr>
              <w:t>144</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שביאר הרמ״א דרכ״מ ריש סימן ו.] את הענין הנוסח של ברכת אשר יצר …</w:t>
            </w:r>
          </w:p>
        </w:tc>
      </w:tr>
      <w:tr>
        <w:tc>
          <w:tcPr>
            <w:tcW w:type="dxa" w:w="850"/>
          </w:tcPr>
          <w:p>
            <w:pPr>
              <w:bidi/>
              <w:jc w:val="right"/>
            </w:pPr>
            <w:r/>
            <w:r>
              <w:rPr>
                <w:rFonts w:ascii="David" w:hAnsi="David" w:cs="David"/>
                <w:b w:val="0"/>
                <w:sz w:val="20"/>
                <w:rtl/>
              </w:rPr>
              <w:t>144</w:t>
            </w:r>
          </w:p>
        </w:tc>
        <w:tc>
          <w:tcPr>
            <w:tcW w:type="dxa" w:w="2835"/>
          </w:tcPr>
          <w:p>
            <w:pPr>
              <w:bidi/>
              <w:jc w:val="right"/>
            </w:pPr>
            <w:r/>
            <w:r>
              <w:rPr>
                <w:rFonts w:ascii="David" w:hAnsi="David" w:cs="David"/>
                <w:b w:val="0"/>
                <w:sz w:val="20"/>
                <w:rtl/>
              </w:rPr>
              <w:t>בענין ברכת אשר יצר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בעיקר הדבר אנו מוצאים שהמנחת שלמה [ב ד ס״ק כח. הסתפק בדבר הז הוביעקר …</w:t>
            </w:r>
          </w:p>
        </w:tc>
      </w:tr>
      <w:tr>
        <w:tc>
          <w:tcPr>
            <w:tcW w:type="dxa" w:w="850"/>
          </w:tcPr>
          <w:p>
            <w:pPr>
              <w:bidi/>
              <w:jc w:val="right"/>
            </w:pPr>
            <w:r/>
            <w:r>
              <w:rPr>
                <w:rFonts w:ascii="David" w:hAnsi="David" w:cs="David"/>
                <w:b w:val="0"/>
                <w:sz w:val="20"/>
                <w:rtl/>
              </w:rPr>
              <w:t>155</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נפסק בשו״ע מהלכות ציצית בסימן ח …</w:t>
            </w:r>
          </w:p>
        </w:tc>
      </w:tr>
      <w:tr>
        <w:tc>
          <w:tcPr>
            <w:tcW w:type="dxa" w:w="850"/>
          </w:tcPr>
          <w:p>
            <w:pPr>
              <w:bidi/>
              <w:jc w:val="right"/>
            </w:pPr>
            <w:r/>
            <w:r>
              <w:rPr>
                <w:rFonts w:ascii="David" w:hAnsi="David" w:cs="David"/>
                <w:b w:val="0"/>
                <w:sz w:val="20"/>
                <w:rtl/>
              </w:rPr>
              <w:t>155</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בהגהות רעק״א כתב וז״ל: לפ״ז גם …</w:t>
            </w:r>
          </w:p>
        </w:tc>
      </w:tr>
      <w:tr>
        <w:tc>
          <w:tcPr>
            <w:tcW w:type="dxa" w:w="850"/>
          </w:tcPr>
          <w:p>
            <w:pPr>
              <w:bidi/>
              <w:jc w:val="right"/>
            </w:pPr>
            <w:r/>
            <w:r>
              <w:rPr>
                <w:rFonts w:ascii="David" w:hAnsi="David" w:cs="David"/>
                <w:b w:val="0"/>
                <w:sz w:val="20"/>
                <w:rtl/>
              </w:rPr>
              <w:t>155</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אבל הפרי מגדים באשל אברהם (סק״ב) …</w:t>
            </w:r>
          </w:p>
        </w:tc>
      </w:tr>
      <w:tr>
        <w:tc>
          <w:tcPr>
            <w:tcW w:type="dxa" w:w="850"/>
          </w:tcPr>
          <w:p>
            <w:pPr>
              <w:bidi/>
              <w:jc w:val="right"/>
            </w:pPr>
            <w:r/>
            <w:r>
              <w:rPr>
                <w:rFonts w:ascii="David" w:hAnsi="David" w:cs="David"/>
                <w:b w:val="0"/>
                <w:sz w:val="20"/>
                <w:rtl/>
              </w:rPr>
              <w:t>155</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אמנם בביאור הגר״א (אות ג) כתב …</w:t>
            </w:r>
          </w:p>
        </w:tc>
      </w:tr>
      <w:tr>
        <w:tc>
          <w:tcPr>
            <w:tcW w:type="dxa" w:w="850"/>
          </w:tcPr>
          <w:p>
            <w:pPr>
              <w:bidi/>
              <w:jc w:val="right"/>
            </w:pPr>
            <w:r/>
            <w:r>
              <w:rPr>
                <w:rFonts w:ascii="David" w:hAnsi="David" w:cs="David"/>
                <w:b w:val="0"/>
                <w:sz w:val="20"/>
                <w:rtl/>
              </w:rPr>
              <w:t>155</w:t>
            </w:r>
          </w:p>
        </w:tc>
        <w:tc>
          <w:tcPr>
            <w:tcW w:type="dxa" w:w="2835"/>
          </w:tcPr>
          <w:p>
            <w:pPr>
              <w:bidi/>
              <w:jc w:val="right"/>
            </w:pPr>
            <w:r/>
            <w:r>
              <w:rPr>
                <w:rFonts w:ascii="David" w:hAnsi="David" w:cs="David"/>
                <w:b w:val="0"/>
                <w:sz w:val="20"/>
                <w:rtl/>
              </w:rPr>
              <w:t>אופן אמירת ברכת המצות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הט״ז ביו״ד (סימן א ס״ק יז) חולק …</w:t>
            </w:r>
          </w:p>
        </w:tc>
      </w:tr>
      <w:tr>
        <w:tc>
          <w:tcPr>
            <w:tcW w:type="dxa" w:w="850"/>
          </w:tcPr>
          <w:p>
            <w:pPr>
              <w:bidi/>
              <w:jc w:val="right"/>
            </w:pPr>
            <w:r/>
            <w:r>
              <w:rPr>
                <w:rFonts w:ascii="David" w:hAnsi="David" w:cs="David"/>
                <w:b w:val="0"/>
                <w:sz w:val="20"/>
                <w:rtl/>
              </w:rPr>
              <w:t>164</w:t>
            </w:r>
          </w:p>
        </w:tc>
        <w:tc>
          <w:tcPr>
            <w:tcW w:type="dxa" w:w="2835"/>
          </w:tcPr>
          <w:p>
            <w:pPr>
              <w:bidi/>
              <w:jc w:val="right"/>
            </w:pPr>
            <w:r/>
            <w:r>
              <w:rPr>
                <w:rFonts w:ascii="David" w:hAnsi="David" w:cs="David"/>
                <w:b w:val="0"/>
                <w:sz w:val="20"/>
                <w:rtl/>
              </w:rPr>
              <w:t>בענין בדיקת הציציות ובדין של סמיכה על החזקה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ב: מדה״פ.] ובשו״ת סימן סו.] והרא״ש [סימן ב.]</w:t>
            </w:r>
          </w:p>
        </w:tc>
      </w:tr>
      <w:tr>
        <w:tc>
          <w:tcPr>
            <w:tcW w:type="dxa" w:w="850"/>
          </w:tcPr>
          <w:p>
            <w:pPr>
              <w:bidi/>
              <w:jc w:val="right"/>
            </w:pPr>
            <w:r/>
            <w:r>
              <w:rPr>
                <w:rFonts w:ascii="David" w:hAnsi="David" w:cs="David"/>
                <w:b w:val="0"/>
                <w:sz w:val="20"/>
                <w:rtl/>
              </w:rPr>
              <w:t>188</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הנה הביא הב״י את דברי הרמב״ם …</w:t>
            </w:r>
          </w:p>
        </w:tc>
      </w:tr>
      <w:tr>
        <w:tc>
          <w:tcPr>
            <w:tcW w:type="dxa" w:w="850"/>
          </w:tcPr>
          <w:p>
            <w:pPr>
              <w:bidi/>
              <w:jc w:val="right"/>
            </w:pPr>
            <w:r/>
            <w:r>
              <w:rPr>
                <w:rFonts w:ascii="David" w:hAnsi="David" w:cs="David"/>
                <w:b w:val="0"/>
                <w:sz w:val="20"/>
                <w:rtl/>
              </w:rPr>
              <w:t>188</w:t>
            </w:r>
          </w:p>
        </w:tc>
        <w:tc>
          <w:tcPr>
            <w:tcW w:type="dxa" w:w="2835"/>
          </w:tcPr>
          <w:p>
            <w:pPr>
              <w:bidi/>
              <w:jc w:val="right"/>
            </w:pPr>
            <w:r/>
            <w:r>
              <w:rPr>
                <w:rFonts w:ascii="David" w:hAnsi="David" w:cs="David"/>
                <w:b w:val="0"/>
                <w:sz w:val="20"/>
                <w:rtl/>
              </w:rPr>
              <w:t>מתי מתחיל זמן מצות ציצית</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אמנם רש״י שם (ד״ה כיון) כתב כיון …</w:t>
            </w:r>
          </w:p>
        </w:tc>
      </w:tr>
      <w:tr>
        <w:tc>
          <w:tcPr>
            <w:tcW w:type="dxa" w:w="850"/>
          </w:tcPr>
          <w:p>
            <w:pPr>
              <w:bidi/>
              <w:jc w:val="right"/>
            </w:pPr>
            <w:r/>
            <w:r>
              <w:rPr>
                <w:rFonts w:ascii="David" w:hAnsi="David" w:cs="David"/>
                <w:b w:val="0"/>
                <w:sz w:val="20"/>
                <w:rtl/>
              </w:rPr>
              <w:t>223</w:t>
            </w:r>
          </w:p>
        </w:tc>
        <w:tc>
          <w:tcPr>
            <w:tcW w:type="dxa" w:w="2835"/>
          </w:tcPr>
          <w:p>
            <w:pPr>
              <w:bidi/>
              <w:jc w:val="right"/>
            </w:pPr>
            <w:r/>
            <w:r>
              <w:rPr>
                <w:rFonts w:ascii="David" w:hAnsi="David" w:cs="David"/>
                <w:b w:val="0"/>
                <w:sz w:val="20"/>
                <w:rtl/>
              </w:rPr>
              <w:t>בדיני ברכת התורה והמקורות</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״איזהו מקומן״ וברייתא דר׳ ישמעאל [טעם ברכת כהנים ואלו דברים שצריך …</w:t>
            </w:r>
          </w:p>
        </w:tc>
      </w:tr>
      <w:tr>
        <w:tc>
          <w:tcPr>
            <w:tcW w:type="dxa" w:w="850"/>
          </w:tcPr>
          <w:p>
            <w:pPr>
              <w:bidi/>
              <w:jc w:val="right"/>
            </w:pPr>
            <w:r/>
            <w:r>
              <w:rPr>
                <w:rFonts w:ascii="David" w:hAnsi="David" w:cs="David"/>
                <w:b w:val="0"/>
                <w:sz w:val="20"/>
                <w:rtl/>
              </w:rPr>
              <w:t>235</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(והמדקדק בדברי הגמ׳ ובדברי המפרש שם …</w:t>
            </w:r>
          </w:p>
        </w:tc>
      </w:tr>
      <w:tr>
        <w:tc>
          <w:tcPr>
            <w:tcW w:type="dxa" w:w="850"/>
          </w:tcPr>
          <w:p>
            <w:pPr>
              <w:bidi/>
              <w:jc w:val="right"/>
            </w:pPr>
            <w:r/>
            <w:r>
              <w:rPr>
                <w:rFonts w:ascii="David" w:hAnsi="David" w:cs="David"/>
                <w:b w:val="0"/>
                <w:sz w:val="20"/>
                <w:rtl/>
              </w:rPr>
              <w:t>235</w:t>
            </w:r>
          </w:p>
        </w:tc>
        <w:tc>
          <w:tcPr>
            <w:tcW w:type="dxa" w:w="2835"/>
          </w:tcPr>
          <w:p>
            <w:pPr>
              <w:bidi/>
              <w:jc w:val="right"/>
            </w:pPr>
            <w:r/>
            <w:r>
              <w:rPr>
                <w:rFonts w:ascii="David" w:hAnsi="David" w:cs="David"/>
                <w:b w:val="0"/>
                <w:sz w:val="20"/>
                <w:rtl/>
              </w:rPr>
              <w:t>סיכום שיטות הראשונים בדין זהירות בברכות התורה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ת״ח שוב אין תורה פוסקת מזרעו לעולם).</w:t>
            </w:r>
          </w:p>
        </w:tc>
      </w:tr>
      <w:tr>
        <w:tc>
          <w:tcPr>
            <w:tcW w:type="dxa" w:w="850"/>
          </w:tcPr>
          <w:p>
            <w:pPr>
              <w:bidi/>
              <w:jc w:val="right"/>
            </w:pPr>
            <w:r/>
            <w:r>
              <w:rPr>
                <w:rFonts w:ascii="David" w:hAnsi="David" w:cs="David"/>
                <w:b w:val="0"/>
                <w:sz w:val="20"/>
                <w:rtl/>
              </w:rPr>
              <w:t>258</w:t>
            </w:r>
          </w:p>
        </w:tc>
        <w:tc>
          <w:tcPr>
            <w:tcW w:type="dxa" w:w="2835"/>
          </w:tcPr>
          <w:p>
            <w:pPr>
              <w:bidi/>
              <w:jc w:val="right"/>
            </w:pPr>
            <w:r/>
            <w:r>
              <w:rPr>
                <w:rFonts w:ascii="David" w:hAnsi="David" w:cs="David"/>
                <w:b w:val="0"/>
                <w:sz w:val="20"/>
                <w:rtl/>
              </w:rPr>
              <w:t>בביאור גדר ברכות התורה לגבי הפסק וחיוב נשים</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איתא בגמ׳ (דף: ״אמר רב יהודא אמר שמואל השכים …</w:t>
            </w:r>
          </w:p>
        </w:tc>
      </w:tr>
      <w:tr>
        <w:tc>
          <w:tcPr>
            <w:tcW w:type="dxa" w:w="850"/>
          </w:tcPr>
          <w:p>
            <w:pPr>
              <w:bidi/>
              <w:jc w:val="right"/>
            </w:pPr>
            <w:r/>
            <w:r>
              <w:rPr>
                <w:rFonts w:ascii="David" w:hAnsi="David" w:cs="David"/>
                <w:b w:val="0"/>
                <w:sz w:val="20"/>
                <w:rtl/>
              </w:rPr>
              <w:t>269</w:t>
            </w:r>
          </w:p>
        </w:tc>
        <w:tc>
          <w:tcPr>
            <w:tcW w:type="dxa" w:w="2835"/>
          </w:tcPr>
          <w:p>
            <w:pPr>
              <w:bidi/>
              <w:jc w:val="right"/>
            </w:pPr>
            <w:r/>
            <w:r>
              <w:rPr>
                <w:rFonts w:ascii="David" w:hAnsi="David" w:cs="David"/>
                <w:b w:val="0"/>
                <w:sz w:val="20"/>
                <w:rtl/>
              </w:rPr>
              <w:t>ספק בירך ברכת התורה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הוא אלא בתורת קבלת עול מלכות שמים [ועל דרך שביאר הב״י בטעם הירושלמי …</w:t>
            </w:r>
          </w:p>
        </w:tc>
      </w:tr>
      <w:tr>
        <w:tc>
          <w:tcPr>
            <w:tcW w:type="dxa" w:w="850"/>
          </w:tcPr>
          <w:p>
            <w:pPr>
              <w:bidi/>
              <w:jc w:val="right"/>
            </w:pPr>
            <w:r/>
            <w:r>
              <w:rPr>
                <w:rFonts w:ascii="David" w:hAnsi="David" w:cs="David"/>
                <w:b w:val="0"/>
                <w:sz w:val="20"/>
                <w:rtl/>
              </w:rPr>
              <w:t>273</w:t>
            </w:r>
          </w:p>
        </w:tc>
        <w:tc>
          <w:tcPr>
            <w:tcW w:type="dxa" w:w="2835"/>
          </w:tcPr>
          <w:p>
            <w:pPr>
              <w:bidi/>
              <w:jc w:val="right"/>
            </w:pPr>
            <w:r/>
            <w:r>
              <w:rPr>
                <w:rFonts w:ascii="David" w:hAnsi="David" w:cs="David"/>
                <w:b w:val="0"/>
                <w:sz w:val="20"/>
                <w:rtl/>
              </w:rPr>
              <w:t>חיוב ברכת התורה לחתן בר מצוה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להתפלל ערבית לפני צאת הכוכבים (אפילו אם יחזור ויקרא ק״ש בלילה שלא …</w:t>
            </w:r>
          </w:p>
        </w:tc>
      </w:tr>
      <w:tr>
        <w:tc>
          <w:tcPr>
            <w:tcW w:type="dxa" w:w="850"/>
          </w:tcPr>
          <w:p>
            <w:pPr>
              <w:bidi/>
              <w:jc w:val="right"/>
            </w:pPr>
            <w:r/>
            <w:r>
              <w:rPr>
                <w:rFonts w:ascii="David" w:hAnsi="David" w:cs="David"/>
                <w:b w:val="0"/>
                <w:sz w:val="20"/>
                <w:rtl/>
              </w:rPr>
              <w:t>288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צדקך״ שביארו בירולשמי ברכות א.ה] שזה קאי על ז׳ הברכות שאנו אומרים …</w:t>
            </w:r>
          </w:p>
        </w:tc>
      </w:tr>
      <w:tr>
        <w:tc>
          <w:tcPr>
            <w:tcW w:type="dxa" w:w="850"/>
          </w:tcPr>
          <w:p>
            <w:pPr>
              <w:bidi/>
              <w:jc w:val="right"/>
            </w:pPr>
            <w:r/>
            <w:r>
              <w:rPr>
                <w:rFonts w:ascii="David" w:hAnsi="David" w:cs="David"/>
                <w:b w:val="0"/>
                <w:sz w:val="20"/>
                <w:rtl/>
              </w:rPr>
              <w:t>288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מיוחד שהוי דבר שהנמה נהנית בו.] [עיין בחידושי ר׳ דוד שם וחידושי …</w:t>
            </w:r>
          </w:p>
        </w:tc>
      </w:tr>
      <w:tr>
        <w:tc>
          <w:tcPr>
            <w:tcW w:type="dxa" w:w="850"/>
          </w:tcPr>
          <w:p>
            <w:pPr>
              <w:bidi/>
              <w:jc w:val="right"/>
            </w:pPr>
            <w:r/>
            <w:r>
              <w:rPr>
                <w:rFonts w:ascii="David" w:hAnsi="David" w:cs="David"/>
                <w:b w:val="0"/>
                <w:sz w:val="20"/>
                <w:rtl/>
              </w:rPr>
              <w:t>288</w:t>
            </w:r>
          </w:p>
        </w:tc>
        <w:tc>
          <w:tcPr>
            <w:tcW w:type="dxa" w:w="2835"/>
          </w:tcPr>
          <w:p>
            <w:pPr>
              <w:bidi/>
              <w:jc w:val="right"/>
            </w:pPr>
            <w:r/>
            <w:r>
              <w:rPr>
                <w:rFonts w:ascii="David" w:hAnsi="David" w:cs="David"/>
                <w:b w:val="0"/>
                <w:sz w:val="20"/>
                <w:rtl/>
              </w:rPr>
              <w:t>בענין ברכות 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במשנה ברכות יג.] היה קורא בתורה והגיע זמן המקרא אם …</w:t>
            </w:r>
          </w:p>
        </w:tc>
      </w:tr>
      <w:tr>
        <w:tc>
          <w:tcPr>
            <w:tcW w:type="dxa" w:w="850"/>
          </w:tcPr>
          <w:p>
            <w:pPr>
              <w:bidi/>
              <w:jc w:val="right"/>
            </w:pPr>
            <w:r/>
            <w:r>
              <w:rPr>
                <w:rFonts w:ascii="David" w:hAnsi="David" w:cs="David"/>
                <w:b w:val="0"/>
                <w:sz w:val="20"/>
                <w:rtl/>
              </w:rPr>
              <w:t>307</w:t>
            </w:r>
          </w:p>
        </w:tc>
        <w:tc>
          <w:tcPr>
            <w:tcW w:type="dxa" w:w="2835"/>
          </w:tcPr>
          <w:p>
            <w:pPr>
              <w:bidi/>
              <w:jc w:val="right"/>
            </w:pPr>
            <w:r/>
            <w:r>
              <w:rPr>
                <w:rFonts w:ascii="David" w:hAnsi="David" w:cs="David"/>
                <w:b w:val="0"/>
                <w:sz w:val="20"/>
                <w:rtl/>
              </w:rPr>
              <w:t>גדר רואין זה את זה בצירוף עשרה למנין</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הנה מבואר בהגמ׳ (עירובין צ״ב(: דעשרה שרוצים להצטרף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ויל״פ בסברא זו דלכוא׳ ??? בהא דמהני רואים אלו את אלו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מטעם דאין המחיצות מגיעות לגג עוד ??? דגם הגר״א לא פשיט״ל כד׳ הרשב״א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דדנו בתיבה מצד סברות אחרות ואח״כ ??? ואם כהרדב״ז בל״ה מצטרף משום דרגלי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בכמה דברים, בעושים בימה גבוהה ??? מחיצות ולכאורה הרי בעי׳ קריאה״ת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להצטרף ל״י ו???? דצ״ב דברדב״ז מבואר דהיינו אף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וא״כ למש״כ הרשב״א שפיר מצטרפים, [ואומנם בספר משברי ים תפילה סי׳ ל״ח …</w:t>
            </w:r>
          </w:p>
        </w:tc>
      </w:tr>
      <w:tr>
        <w:tc>
          <w:tcPr>
            <w:tcW w:type="dxa" w:w="850"/>
          </w:tcPr>
          <w:p>
            <w:pPr>
              <w:bidi/>
              <w:jc w:val="right"/>
            </w:pPr>
            <w:r/>
            <w:r>
              <w:rPr>
                <w:rFonts w:ascii="David" w:hAnsi="David" w:cs="David"/>
                <w:b w:val="0"/>
                <w:sz w:val="20"/>
                <w:rtl/>
              </w:rPr>
              <w:t>328</w:t>
            </w:r>
          </w:p>
        </w:tc>
        <w:tc>
          <w:tcPr>
            <w:tcW w:type="dxa" w:w="2835"/>
          </w:tcPr>
          <w:p>
            <w:pPr>
              <w:bidi/>
              <w:jc w:val="right"/>
            </w:pPr>
            <w:r/>
            <w:r>
              <w:rPr>
                <w:rFonts w:ascii="David" w:hAnsi="David" w:cs="David"/>
                <w:b w:val="0"/>
                <w:sz w:val="20"/>
                <w:rtl/>
              </w:rPr>
              <w:t>בעניין רשויות חולקות לצירוף עשרה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זהו להרשב״א אבל הגר״א הא פליג ע״ז [והנה גם הסמ״ק פליג אך לכאורה בכה״ג …</w:t>
            </w:r>
          </w:p>
        </w:tc>
      </w:tr>
      <w:tr>
        <w:tc>
          <w:tcPr>
            <w:tcW w:type="dxa" w:w="850"/>
          </w:tcPr>
          <w:p>
            <w:pPr>
              <w:bidi/>
              <w:jc w:val="right"/>
            </w:pPr>
            <w:r/>
            <w:r>
              <w:rPr>
                <w:rFonts w:ascii="David" w:hAnsi="David" w:cs="David"/>
                <w:b w:val="0"/>
                <w:sz w:val="20"/>
                <w:rtl/>
              </w:rPr>
              <w:t>334</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וכמו שמבואר בברכות כא: ומגילה כג.] וממילא צריך שיהיו דוקא י׳ גדולים …</w:t>
            </w:r>
          </w:p>
        </w:tc>
      </w:tr>
      <w:tr>
        <w:tc>
          <w:tcPr>
            <w:tcW w:type="dxa" w:w="850"/>
          </w:tcPr>
          <w:p>
            <w:pPr>
              <w:bidi/>
              <w:jc w:val="right"/>
            </w:pPr>
            <w:r/>
            <w:r>
              <w:rPr>
                <w:rFonts w:ascii="David" w:hAnsi="David" w:cs="David"/>
                <w:b w:val="0"/>
                <w:sz w:val="20"/>
                <w:rtl/>
              </w:rPr>
              <w:t>334</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וכוונתו שכן מבואר שם ברמ״א סעיף א.] אין לומר אשרי שקודם מנחה אלא כשיש …</w:t>
            </w:r>
          </w:p>
        </w:tc>
      </w:tr>
      <w:tr>
        <w:tc>
          <w:tcPr>
            <w:tcW w:type="dxa" w:w="850"/>
          </w:tcPr>
          <w:p>
            <w:pPr>
              <w:bidi/>
              <w:jc w:val="right"/>
            </w:pPr>
            <w:r/>
            <w:r>
              <w:rPr>
                <w:rFonts w:ascii="David" w:hAnsi="David" w:cs="David"/>
                <w:b w:val="0"/>
                <w:sz w:val="20"/>
                <w:rtl/>
              </w:rPr>
              <w:t>334</w:t>
            </w:r>
          </w:p>
        </w:tc>
        <w:tc>
          <w:tcPr>
            <w:tcW w:type="dxa" w:w="2835"/>
          </w:tcPr>
          <w:p>
            <w:pPr>
              <w:bidi/>
              <w:jc w:val="right"/>
            </w:pPr>
            <w:r/>
            <w:r>
              <w:rPr>
                <w:rFonts w:ascii="David" w:hAnsi="David" w:cs="David"/>
                <w:b w:val="0"/>
                <w:sz w:val="20"/>
                <w:rtl/>
              </w:rPr>
              <w:t>בענין קדיש דרבנן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וכך הוא נמי הסכת המגר״א רלד.ה]</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מקשה התוס לקמן (דף י:) הלכה כרבי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יש לעיין בדברי התוס׳ שלכאו׳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אומנם דבריו מוקשים ביותר שזה דוחק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כתב הרא״ש (סימן י׳) וא״ת והוא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(ב״י סימן נח). והב״ח שם פר״ח נח.א (מאמר מרדכי סימן נח סק״ב ועוד.]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(מאמר מרדכי סימן נח סק״ב ועוד.] בדבריו כמו שהתבאר נמי בדברי הרי״ף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צ״ב מה המקור לדברי הרמב״ם והנה יש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ועוד צ״ע כיצד יש לפרש דברי הגמ׳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ומיהו בהלכות תפילה (פ״ג ה״א)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והנה בעיקר דברי הרמב״ם התבאר שאנו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ובאמת נראה שגם בפירוש המשנוית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זאת ועוד שלא נראה מלישנא דגמ׳ שיש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ומאידך אנו מוצאים שהרמב״ם בתשובה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ועוד צ״ב מדוע לא הביא כמו הרי״ף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יש לעיין לשיטת הרי״ף והרמב״ם שזה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ולהכי לא פריך ליה גבי ק״ש שהיה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והנה תמוה מאוד מה היכי תימצה מעלה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והטעם מבואר ברע״א (פ״ג מ״ה) וז״ל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ויש לעיין בדבריו אם יש קפידא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צ״ע דבגמ׳ (ברכות דף כב:) ירד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אמנם יש להקשות מדאיתא בשנות אליהו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הערה בשנות אליהו במשניות ד״ה עד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עוד קשה ביאור הגר״א על שו״ע (סי׳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וכן קשה על משנ״ב (סי׳ נ״ח ס״ק ג׳)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כדי לקיים ק״ש במצווה מן המובחר] וכדי להספיק אותו מניין שמתפללים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זירא בהידור מצווה עד שליש במצווה [שאם מוצא ב׳ ספרי תורות לקנות ואחד …</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להראות???? של ספר תורה ותפארת בעלה].</w:t>
            </w:r>
          </w:p>
        </w:tc>
      </w:tr>
      <w:tr>
        <w:tc>
          <w:tcPr>
            <w:tcW w:type="dxa" w:w="850"/>
          </w:tcPr>
          <w:p>
            <w:pPr>
              <w:bidi/>
              <w:jc w:val="right"/>
            </w:pPr>
            <w:r/>
            <w:r>
              <w:rPr>
                <w:rFonts w:ascii="David" w:hAnsi="David" w:cs="David"/>
                <w:b w:val="0"/>
                <w:sz w:val="20"/>
                <w:rtl/>
              </w:rPr>
              <w:t>345</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כדי להראות חזותו לרבים רש״י להראות???? של ספר תורה ותפארת בעלה].</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עיין בתוס׳ (ד״ה ׳לק״ש׳) דס״ל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יש לעיין בדברי התוס׳ הכא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ועיין במאמר מרדכי (סי׳ נח סק״ב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והנה לעיל הבאנו דברי הרא״ש (סימן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והנה מדבריו נראה דאביי דפסק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ונראה דדין זה תלוי בביאור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ועי׳ ברי״ף (דף ד: - ה.) וז״ל: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כתב הרמב״ם (פ״א מהל׳ קר״ש הי״א)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ובאמת צ״ב בשיטת הרמב״ם מה מקור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אלא דהאמת דגם ברמב״ם גופא אינו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יא]. והנה לשון הרמב״ם מבואר דמה שאפשר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יב]. יל״ד לדעת הרמב״ם והרי״ף דעיקר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יג]. עיין בתוס׳ ביומא (דף לז: ד״ה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יד]. בתוס׳ ביומא (שם) הביאו עוד שיטה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טו]. כתב הרבנו יונה (ד: ד״ה ׳תניא׳)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והנה יש לעיין בפי׳ הרב״י דהרי אם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יז]. פסק השו״ע (סימן נח סעיף א) ״זמן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יח]. ועי׳ ברכי יוסף (ס״ק ב) שהקשה במה …</w:t>
            </w:r>
          </w:p>
        </w:tc>
      </w:tr>
      <w:tr>
        <w:tc>
          <w:tcPr>
            <w:tcW w:type="dxa" w:w="850"/>
          </w:tcPr>
          <w:p>
            <w:pPr>
              <w:bidi/>
              <w:jc w:val="right"/>
            </w:pPr>
            <w:r/>
            <w:r>
              <w:rPr>
                <w:rFonts w:ascii="David" w:hAnsi="David" w:cs="David"/>
                <w:b w:val="0"/>
                <w:sz w:val="20"/>
                <w:rtl/>
              </w:rPr>
              <w:t>359</w:t>
            </w:r>
          </w:p>
        </w:tc>
        <w:tc>
          <w:tcPr>
            <w:tcW w:type="dxa" w:w="2835"/>
          </w:tcPr>
          <w:p>
            <w:pPr>
              <w:bidi/>
              <w:jc w:val="right"/>
            </w:pPr>
            <w:r/>
            <w:r>
              <w:rPr>
                <w:rFonts w:ascii="David" w:hAnsi="David" w:cs="David"/>
                <w:b w:val="0"/>
                <w:sz w:val="20"/>
                <w:rtl/>
              </w:rPr>
              <w:t>זמן קריאת שמע של שחר מן המובחר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יט]. כתב במעשה רב (סימן כה) ״להתפלל …</w:t>
            </w:r>
          </w:p>
        </w:tc>
      </w:tr>
      <w:tr>
        <w:tc>
          <w:tcPr>
            <w:tcW w:type="dxa" w:w="850"/>
          </w:tcPr>
          <w:p>
            <w:pPr>
              <w:bidi/>
              <w:jc w:val="right"/>
            </w:pPr>
            <w:r/>
            <w:r>
              <w:rPr>
                <w:rFonts w:ascii="David" w:hAnsi="David" w:cs="David"/>
                <w:b w:val="0"/>
                <w:sz w:val="20"/>
                <w:rtl/>
              </w:rPr>
              <w:t>376</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ש״צ מילה במילה כל הברכה וחתימתה ??? אמן להם לענות אמן דא״כ המ״ל עונה …</w:t>
            </w:r>
          </w:p>
        </w:tc>
      </w:tr>
      <w:tr>
        <w:tc>
          <w:tcPr>
            <w:tcW w:type="dxa" w:w="850"/>
          </w:tcPr>
          <w:p>
            <w:pPr>
              <w:bidi/>
              <w:jc w:val="right"/>
            </w:pPr>
            <w:r/>
            <w:r>
              <w:rPr>
                <w:rFonts w:ascii="David" w:hAnsi="David" w:cs="David"/>
                <w:b w:val="0"/>
                <w:sz w:val="20"/>
                <w:rtl/>
              </w:rPr>
              <w:t>376</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היה נוהג אבל שאר אדם רשאי מיעבד ??? אם למהר ולענות אמן הרשות בידו ואם …</w:t>
            </w:r>
          </w:p>
        </w:tc>
      </w:tr>
      <w:tr>
        <w:tc>
          <w:tcPr>
            <w:tcW w:type="dxa" w:w="850"/>
          </w:tcPr>
          <w:p>
            <w:pPr>
              <w:bidi/>
              <w:jc w:val="right"/>
            </w:pPr>
            <w:r/>
            <w:r>
              <w:rPr>
                <w:rFonts w:ascii="David" w:hAnsi="David" w:cs="David"/>
                <w:b w:val="0"/>
                <w:sz w:val="20"/>
                <w:rtl/>
              </w:rPr>
              <w:t>376</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ברוך אתה ה׳ שבאמצע ברכת ברוך שאמר ??? אז הוי רק שבחא בעלמא.</w:t>
            </w:r>
          </w:p>
        </w:tc>
      </w:tr>
      <w:tr>
        <w:tc>
          <w:tcPr>
            <w:tcW w:type="dxa" w:w="850"/>
          </w:tcPr>
          <w:p>
            <w:pPr>
              <w:bidi/>
              <w:jc w:val="right"/>
            </w:pPr>
            <w:r/>
            <w:r>
              <w:rPr>
                <w:rFonts w:ascii="David" w:hAnsi="David" w:cs="David"/>
                <w:b w:val="0"/>
                <w:sz w:val="20"/>
                <w:rtl/>
              </w:rPr>
              <w:t>376</w:t>
            </w:r>
          </w:p>
        </w:tc>
        <w:tc>
          <w:tcPr>
            <w:tcW w:type="dxa" w:w="2835"/>
          </w:tcPr>
          <w:p>
            <w:pPr>
              <w:bidi/>
              <w:jc w:val="right"/>
            </w:pPr>
            <w:r/>
            <w:r>
              <w:rPr>
                <w:rFonts w:ascii="David" w:hAnsi="David" w:cs="David"/>
                <w:b w:val="0"/>
                <w:sz w:val="20"/>
                <w:rtl/>
              </w:rPr>
              <w:t>בענין עניית אמן באמצע הברכה</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באמצע ברכת ישתבח שאינו כשאר ??? לעיל בברכה של ״ברוך שאמר״ וכו׳ …</w:t>
            </w:r>
          </w:p>
        </w:tc>
      </w:tr>
      <w:tr>
        <w:tc>
          <w:tcPr>
            <w:tcW w:type="dxa" w:w="850"/>
          </w:tcPr>
          <w:p>
            <w:pPr>
              <w:bidi/>
              <w:jc w:val="right"/>
            </w:pPr>
            <w:r/>
            <w:r>
              <w:rPr>
                <w:rFonts w:ascii="David" w:hAnsi="David" w:cs="David"/>
                <w:b w:val="0"/>
                <w:sz w:val="20"/>
                <w:rtl/>
              </w:rPr>
              <w:t>383</w:t>
            </w:r>
          </w:p>
        </w:tc>
        <w:tc>
          <w:tcPr>
            <w:tcW w:type="dxa" w:w="2835"/>
          </w:tcPr>
          <w:p>
            <w:pPr>
              <w:bidi/>
              <w:jc w:val="right"/>
            </w:pPr>
            <w:r/>
            <w:r>
              <w:rPr>
                <w:rFonts w:ascii="David" w:hAnsi="David" w:cs="David"/>
                <w:b w:val="0"/>
                <w:sz w:val="20"/>
                <w:rtl/>
              </w:rPr>
              <w:t>בענין סוף זמן בק״ש</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דהב״י שמה הביא שהרי״ף והרא״ש א׳ ???? דליתא לדר׳ היכא דטעי והתפלל עד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משקרא ק״ש אין צריך לברך שכבר נפטר באהבה רבה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והדברים מתמיהים וצ״ע, כיצד י״ל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משקרא ק״ש אין צריך לברך שכבר נפטר באהבה רבה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ובעל המאור כתב שמברך שלשתם כנגד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משקרא ק״ש אין צריך לברך שכבר נפטר באהבה רבה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ובכדי לבא לבירור הענין נקדים דיש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משקרא ק״ש אין צריך לברך שכבר נפטר באהבה רבה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אבל הרמב״ם (ברכות פי״א ה״א) כתב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משקרא ק״ש אין צריך לברך שכבר נפטר באהבה רבה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דמה שהקשינו כיצד יתכן לומר שאין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משקרא ק״ש אין צריך לברך שכבר נפטר באהבה רבה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ואכתי יש להקשות, דאפי׳ אם נימא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משקרא ק״ש אין צריך לברך שכבר נפטר באהבה רבה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ולרמב״ן שמדאורייתא חייב בברכת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משקרא ק״ש אין צריך לברך שכבר נפטר באהבה רבה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אמנם כל משנ״ת הרי אינו אלא בדרך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משקרא ק״ש אין צריך לברך שכבר נפטר באהבה רבה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ולפי שיטת הקרית ספר (פי״ב מהל׳ …</w:t>
            </w:r>
          </w:p>
        </w:tc>
      </w:tr>
      <w:tr>
        <w:tc>
          <w:tcPr>
            <w:tcW w:type="dxa" w:w="850"/>
          </w:tcPr>
          <w:p>
            <w:pPr>
              <w:bidi/>
              <w:jc w:val="right"/>
            </w:pPr>
            <w:r/>
            <w:r>
              <w:rPr>
                <w:rFonts w:ascii="David" w:hAnsi="David" w:cs="David"/>
                <w:b w:val="0"/>
                <w:sz w:val="20"/>
                <w:rtl/>
              </w:rPr>
              <w:t>401</w:t>
            </w:r>
          </w:p>
        </w:tc>
        <w:tc>
          <w:tcPr>
            <w:tcW w:type="dxa" w:w="2835"/>
          </w:tcPr>
          <w:p>
            <w:pPr>
              <w:bidi/>
              <w:jc w:val="right"/>
            </w:pPr>
            <w:r/>
            <w:r>
              <w:rPr>
                <w:rFonts w:ascii="David" w:hAnsi="David" w:cs="David"/>
                <w:b w:val="0"/>
                <w:sz w:val="20"/>
                <w:rtl/>
              </w:rPr>
              <w:t>משקרא ק״ש אין צריך לברך שכבר נפטר באהבה רבה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 מיהו לשיטת מגילת אסתר בסה״מ, שכתב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א) כ׳ הטור בסי׳ רי״ג אין המברך מוציא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ב) והקשה הפרישה דבסי׳ קצ״ג ס״א הביא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ג) והנה יל״ד מה כוונת הסמ״ג דבעי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ד) אבל יש לתמוה בהבנה זו דמה שייך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ה) עכ״פ אם כוונת הסמ״ג הוא רק דבעי׳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ו) אשר נת׳ לעת עתה לכאו׳ הוא דלמ״ד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ז) בב״י סי׳ תפ״ט הביא מתשו׳ הרשב״א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ח) ונראה להתבונן מעט במקור הסוג׳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 ובהמשך הסוג׳ התם, איתא, א״ל ר׳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 והנה הרי״ף הביא בהלכותיו הא דר״ז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יא) מבו׳ דיש ראשונים שנקטו בדעת ר׳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יב) והנה מבו׳ בגמ׳ דאם סבור דחמור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יג) אשר לפי הנ״ל י״ל ג״כ בשומע דאם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יד) ונסכם הדברים שעד עתה נת׳ דיש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טו) והבעה״מ פליג על דעה זו וס״ל דודאי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לרבים מהראשונים] והוכיח זה מתרתי א] אם מצוות אי״צ כוונה לא יתכן דבעי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טז) עלה בידינו א] הא פשיטא דלמ״ד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טז) עלה בידינו א] הא פשיטא דלמ״ד מצוות צריכות כוונה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יז) ומעתה נחזור לנידון השומע ברכה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יח) והנה באות א-ז הובא מהפוסקים דחששו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יט) ובאות א-י הובאו ד׳ הטור והב״י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 הנה נתבאר באר היטב מחלוקת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כא) ובחזו״א הוכיח כצד ב׳ (וביאר זה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כב) ומעתה נבוא לבי׳ השיטות, המהלך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כג) ולמהלך דהסוג׳ אזיל כמ״ד מצוות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כד) ויש לציין דבמלחמות מבו׳ צד נוסף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כה) והנה נת׳ דיסוד הנידון דבכאן הוא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באבן האזל פ״ב מהלכות שופר ה״ד) שעמד בזה ומאחר שלא הבנתי כ״כ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כו) וכעת נבוא לדון במשנ״ת לעיל בדין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ובכ״ז בשאר פרשיות יצא, וצ״ע בזה.)</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כח) אחר דנת׳ אם המשמיע בעי כוונה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כט) כתב הב״י סי׳ ו׳ בשם האגור וז״ל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 כתב הר״ן (ר״ה כט.) בשם הרבינו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לא) ובסברת הדבר דבמכוון שלא לצאת לא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לב) והנה דין זה דבדעתו שלא לצאת נפסק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לג) וילה״ק על יסוד זה דהיכא דמוכח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לד) והנה לפי״ד המ״ב היה מקום להקל …</w:t>
            </w:r>
          </w:p>
        </w:tc>
      </w:tr>
      <w:tr>
        <w:tc>
          <w:tcPr>
            <w:tcW w:type="dxa" w:w="850"/>
          </w:tcPr>
          <w:p>
            <w:pPr>
              <w:bidi/>
              <w:jc w:val="right"/>
            </w:pPr>
            <w:r/>
            <w:r>
              <w:rPr>
                <w:rFonts w:ascii="David" w:hAnsi="David" w:cs="David"/>
                <w:b w:val="0"/>
                <w:sz w:val="20"/>
                <w:rtl/>
              </w:rPr>
              <w:t>418</w:t>
            </w:r>
          </w:p>
        </w:tc>
        <w:tc>
          <w:tcPr>
            <w:tcW w:type="dxa" w:w="2835"/>
          </w:tcPr>
          <w:p>
            <w:pPr>
              <w:bidi/>
              <w:jc w:val="right"/>
            </w:pPr>
            <w:r/>
            <w:r>
              <w:rPr>
                <w:rFonts w:ascii="David" w:hAnsi="David" w:cs="David"/>
                <w:b w:val="0"/>
                <w:sz w:val="20"/>
                <w:rtl/>
              </w:rPr>
              <w:t>בענין אם השומע ברכה מאחר יש לו לחוש דיצא יד״ח</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שכבר יצא יד״ח וכן בברכת הנהנין א) עיקר הדין קיי״ל דמצוות צריכות …</w:t>
            </w:r>
          </w:p>
        </w:tc>
      </w:tr>
      <w:tr>
        <w:tc>
          <w:tcPr>
            <w:tcW w:type="dxa" w:w="850"/>
          </w:tcPr>
          <w:p>
            <w:pPr>
              <w:bidi/>
              <w:jc w:val="right"/>
            </w:pPr>
            <w:r/>
            <w:r>
              <w:rPr>
                <w:rFonts w:ascii="David" w:hAnsi="David" w:cs="David"/>
                <w:b w:val="0"/>
                <w:sz w:val="20"/>
                <w:rtl/>
              </w:rPr>
              <w:t>431</w:t>
            </w:r>
          </w:p>
        </w:tc>
        <w:tc>
          <w:tcPr>
            <w:tcW w:type="dxa" w:w="2835"/>
          </w:tcPr>
          <w:p>
            <w:pPr>
              <w:bidi/>
              <w:jc w:val="right"/>
            </w:pPr>
            <w:r/>
            <w:r>
              <w:rPr>
                <w:rFonts w:ascii="David" w:hAnsi="David" w:cs="David"/>
                <w:b w:val="0"/>
                <w:sz w:val="20"/>
                <w:rtl/>
              </w:rPr>
              <w:t>אם בעת עשיית המצוה מכוון בעיקר לדבר אחר</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למימר דכוונתו לשניהם בשווה. עי״ש].</w:t>
            </w:r>
          </w:p>
        </w:tc>
      </w:tr>
      <w:tr>
        <w:tc>
          <w:tcPr>
            <w:tcW w:type="dxa" w:w="850"/>
          </w:tcPr>
          <w:p>
            <w:pPr>
              <w:bidi/>
              <w:jc w:val="right"/>
            </w:pPr>
            <w:r/>
            <w:r>
              <w:rPr>
                <w:rFonts w:ascii="David" w:hAnsi="David" w:cs="David"/>
                <w:b w:val="0"/>
                <w:sz w:val="20"/>
                <w:rtl/>
              </w:rPr>
              <w:t>435</w:t>
            </w:r>
          </w:p>
        </w:tc>
        <w:tc>
          <w:tcPr>
            <w:tcW w:type="dxa" w:w="2835"/>
          </w:tcPr>
          <w:p>
            <w:pPr>
              <w:bidi/>
              <w:jc w:val="right"/>
            </w:pPr>
            <w:r/>
            <w:r>
              <w:rPr>
                <w:rFonts w:ascii="David" w:hAnsi="David" w:cs="David"/>
                <w:b w:val="0"/>
                <w:sz w:val="20"/>
                <w:rtl/>
              </w:rPr>
              <w:t>ביאור הסוגיה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כוונה וכמו שמתבאר בסוגיה בר״ה כח.:] שאיתא שם ״שלחו ליה לאבוה דשמואל …</w:t>
            </w:r>
          </w:p>
        </w:tc>
      </w:tr>
      <w:tr>
        <w:tc>
          <w:tcPr>
            <w:tcW w:type="dxa" w:w="850"/>
          </w:tcPr>
          <w:p>
            <w:pPr>
              <w:bidi/>
              <w:jc w:val="right"/>
            </w:pPr>
            <w:r/>
            <w:r>
              <w:rPr>
                <w:rFonts w:ascii="David" w:hAnsi="David" w:cs="David"/>
                <w:b w:val="0"/>
                <w:sz w:val="20"/>
                <w:rtl/>
              </w:rPr>
              <w:t>435</w:t>
            </w:r>
          </w:p>
        </w:tc>
        <w:tc>
          <w:tcPr>
            <w:tcW w:type="dxa" w:w="2835"/>
          </w:tcPr>
          <w:p>
            <w:pPr>
              <w:bidi/>
              <w:jc w:val="right"/>
            </w:pPr>
            <w:r/>
            <w:r>
              <w:rPr>
                <w:rFonts w:ascii="David" w:hAnsi="David" w:cs="David"/>
                <w:b w:val="0"/>
                <w:sz w:val="20"/>
                <w:rtl/>
              </w:rPr>
              <w:t>ביאור הסוגיה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וכן מטו משמיה דהגר״ח וולוזין [עיין בספר כרם יהושע [עמ׳  ] שזהו …</w:t>
            </w:r>
          </w:p>
        </w:tc>
      </w:tr>
      <w:tr>
        <w:tc>
          <w:tcPr>
            <w:tcW w:type="dxa" w:w="850"/>
          </w:tcPr>
          <w:p>
            <w:pPr>
              <w:bidi/>
              <w:jc w:val="right"/>
            </w:pPr>
            <w:r/>
            <w:r>
              <w:rPr>
                <w:rFonts w:ascii="David" w:hAnsi="David" w:cs="David"/>
                <w:b w:val="0"/>
                <w:sz w:val="20"/>
                <w:rtl/>
              </w:rPr>
              <w:t>435</w:t>
            </w:r>
          </w:p>
        </w:tc>
        <w:tc>
          <w:tcPr>
            <w:tcW w:type="dxa" w:w="2835"/>
          </w:tcPr>
          <w:p>
            <w:pPr>
              <w:bidi/>
              <w:jc w:val="right"/>
            </w:pPr>
            <w:r/>
            <w:r>
              <w:rPr>
                <w:rFonts w:ascii="David" w:hAnsi="David" w:cs="David"/>
                <w:b w:val="0"/>
                <w:sz w:val="20"/>
                <w:rtl/>
              </w:rPr>
              <w:t>ביאור הסוגיה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של כוונה וכמו שרש״י כתב להלן לג:] ב. זהו מה שפירש רבו של רש״י שהוא …</w:t>
            </w:r>
          </w:p>
        </w:tc>
      </w:tr>
      <w:tr>
        <w:tc>
          <w:tcPr>
            <w:tcW w:type="dxa" w:w="850"/>
          </w:tcPr>
          <w:p>
            <w:pPr>
              <w:bidi/>
              <w:jc w:val="right"/>
            </w:pPr>
            <w:r/>
            <w:r>
              <w:rPr>
                <w:rFonts w:ascii="David" w:hAnsi="David" w:cs="David"/>
                <w:b w:val="0"/>
                <w:sz w:val="20"/>
                <w:rtl/>
              </w:rPr>
              <w:t>435</w:t>
            </w:r>
          </w:p>
        </w:tc>
        <w:tc>
          <w:tcPr>
            <w:tcW w:type="dxa" w:w="2835"/>
          </w:tcPr>
          <w:p>
            <w:pPr>
              <w:bidi/>
              <w:jc w:val="right"/>
            </w:pPr>
            <w:r/>
            <w:r>
              <w:rPr>
                <w:rFonts w:ascii="David" w:hAnsi="David" w:cs="David"/>
                <w:b w:val="0"/>
                <w:sz w:val="20"/>
                <w:rtl/>
              </w:rPr>
              <w:t>ביאור הסוגיה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וכן משמע פשטי׳ דסוגיא בר״ה ד׳ כ״ח:] בגמרא אבל זכרון תרועה כתיב וכו׳ …</w:t>
            </w:r>
          </w:p>
        </w:tc>
      </w:tr>
      <w:tr>
        <w:tc>
          <w:tcPr>
            <w:tcW w:type="dxa" w:w="850"/>
          </w:tcPr>
          <w:p>
            <w:pPr>
              <w:bidi/>
              <w:jc w:val="right"/>
            </w:pPr>
            <w:r/>
            <w:r>
              <w:rPr>
                <w:rFonts w:ascii="David" w:hAnsi="David" w:cs="David"/>
                <w:b w:val="0"/>
                <w:sz w:val="20"/>
                <w:rtl/>
              </w:rPr>
              <w:t>435</w:t>
            </w:r>
          </w:p>
        </w:tc>
        <w:tc>
          <w:tcPr>
            <w:tcW w:type="dxa" w:w="2835"/>
          </w:tcPr>
          <w:p>
            <w:pPr>
              <w:bidi/>
              <w:jc w:val="right"/>
            </w:pPr>
            <w:r/>
            <w:r>
              <w:rPr>
                <w:rFonts w:ascii="David" w:hAnsi="David" w:cs="David"/>
                <w:b w:val="0"/>
                <w:sz w:val="20"/>
                <w:rtl/>
              </w:rPr>
              <w:t>ביאור הסוגיה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את עצמו שכן איתא בגמ׳ בברכות יג.] וז״ל  היה קורא בתורה והגיע זמן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יח) והשענו תחת העץ אף המקום יא] נתן לבניו שבעה ענני כבוד במדבר ד׳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ר׳ ישיעה פיק במסורת הש״ס סוכה יא:] המהר״ץ חיות [שם.] ואכן מחמת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יא] מכילתא דר׳ ישמעאל בא פרשה יד.] שאיתא שם למען ידעו דורותיכם כי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ע״כ. וכן הוא בתרגום ירושלמי שם.]</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לזכור ע״י כך והנה הט״ז שם ס״ק א.] האריך הרבה בענין הזה ושם הוא ביאר …</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זה כתבו נמי הרמב״ן בפרשת אמור שם.]</w:t>
            </w:r>
          </w:p>
        </w:tc>
      </w:tr>
      <w:tr>
        <w:tc>
          <w:tcPr>
            <w:tcW w:type="dxa" w:w="850"/>
          </w:tcPr>
          <w:p>
            <w:pPr>
              <w:bidi/>
              <w:jc w:val="right"/>
            </w:pPr>
            <w:r/>
            <w:r>
              <w:rPr>
                <w:rFonts w:ascii="David" w:hAnsi="David" w:cs="David"/>
                <w:b w:val="0"/>
                <w:sz w:val="20"/>
                <w:rtl/>
              </w:rPr>
              <w:t>448</w:t>
            </w:r>
          </w:p>
        </w:tc>
        <w:tc>
          <w:tcPr>
            <w:tcW w:type="dxa" w:w="2835"/>
          </w:tcPr>
          <w:p>
            <w:pPr>
              <w:bidi/>
              <w:jc w:val="right"/>
            </w:pPr>
            <w:r/>
            <w:r>
              <w:rPr>
                <w:rFonts w:ascii="David" w:hAnsi="David" w:cs="David"/>
                <w:b w:val="0"/>
                <w:sz w:val="20"/>
                <w:rtl/>
              </w:rPr>
              <w:t>בענין הכוונה של הטעם של המצוה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לנו למה נכתבה דוקא זאת המצוה בטעם (ומזה ג״כ לכאורה יש לנו ראיה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ושורש הסוגיה מבואר בר״ה כח. כט.] ששם בעיקר אנו מוצאים מח׳ יסודית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לגופה כמבואר בגמ׳ בשבת כט: ועוד.] שנח׳ שם ר״י ור״ש גבי הדין של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שאיתא בדברי חז״ל באיזהו מקומן [שבת [לג:] ירושלמי שביעית [ט.א]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שהוא כלל לא שיבח את מעשיהם הללו [ועיין נמי עוד בענין זה בע״ז [ג:]</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סימן ט. להרב אברהם יהודה שווארץ] שאכן למא״ד מצות אי״צ כוונה אנו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הרשב״א ברוכת יג: ד״ה שמע.] שהוא נמי עמד על עיקר הדבר בביאור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שלום ברכת יג.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שאז אכן מודה הרמב״ם שצריך כוונה. [ובעיקר מה שיש לדון בדבריו של הר״ן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אי״צ כוונה וכמו שכתב בברכות יג.] ובר״ה כח.] שלהלכה מצות אי״צ כוונה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שאנו מוצאים במשנה במגילה יח.] ונפסק ברמב״ם מגילה [פרק ב. ה.]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 דברי ר׳ זירא משום דס״ל דהכי הלכתא( אף על גב דרבה ורבא והנך דשלחו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ראיתי בחידשוי הרשב״ץ ]הנד״מ ע״י מכון אהבת שלון ברכת יג.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בדברי הרשב״ם בסויגה בפסחים שם קיד:] וז״ל מצוה להביא כרפס כלומר מצוה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לכאו׳ מתבאר מדברי ה״ר יונה [בסדר ליל פסח הנד״מ במכון אופק</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כך ממה שמבואר גבי ספירת העומר [שפסק השו״ע [תפט.ד.] מי ששואל אותו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והרי השו״ע עצמו [ס.ד] תקפט. יא.] פסק שמצות צריכות כוונה ולמה הכא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על האבנ״ז בתושבה או״ח סימן ס.] וכ״כ להעיר נמי הגאון בעל הפני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שם בתוס׳ בזבחים ב: ד״ה קיימי בי״ד] רק יעשה העבודה ולא יחשוב כלל ואני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אחריני היא בפסחים קיד: ובר״ה כח:] אלא בין לרב ובין לר׳ יוחנן בלצאת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קשורים שהרי מתבאר בסוגיה בר״ה שם] שאנו אומרים שאף למא״ד מצות אי״צ …</w:t>
            </w:r>
          </w:p>
        </w:tc>
      </w:tr>
      <w:tr>
        <w:tc>
          <w:tcPr>
            <w:tcW w:type="dxa" w:w="850"/>
          </w:tcPr>
          <w:p>
            <w:pPr>
              <w:bidi/>
              <w:jc w:val="right"/>
            </w:pPr>
            <w:r/>
            <w:r>
              <w:rPr>
                <w:rFonts w:ascii="David" w:hAnsi="David" w:cs="David"/>
                <w:b w:val="0"/>
                <w:sz w:val="20"/>
                <w:rtl/>
              </w:rPr>
              <w:t>456</w:t>
            </w:r>
          </w:p>
        </w:tc>
        <w:tc>
          <w:tcPr>
            <w:tcW w:type="dxa" w:w="2835"/>
          </w:tcPr>
          <w:p>
            <w:pPr>
              <w:bidi/>
              <w:jc w:val="right"/>
            </w:pPr>
            <w:r/>
            <w:r>
              <w:rPr>
                <w:rFonts w:ascii="David" w:hAnsi="David" w:cs="David"/>
                <w:b w:val="0"/>
                <w:sz w:val="20"/>
                <w:rtl/>
              </w:rPr>
              <w:t>עיקרי הדברים לספר בענין מצוות צריכות כוונה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התוס׳ בשבת קיא: ד״ה טובלין כדרכן] שאנו דנים שגם למא״ד טבילה בזמנה …</w:t>
            </w:r>
          </w:p>
        </w:tc>
      </w:tr>
      <w:tr>
        <w:tc>
          <w:tcPr>
            <w:tcW w:type="dxa" w:w="850"/>
          </w:tcPr>
          <w:p>
            <w:pPr>
              <w:bidi/>
              <w:jc w:val="right"/>
            </w:pPr>
            <w:r/>
            <w:r>
              <w:rPr>
                <w:rFonts w:ascii="David" w:hAnsi="David" w:cs="David"/>
                <w:b w:val="0"/>
                <w:sz w:val="20"/>
                <w:rtl/>
              </w:rPr>
              <w:t>510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 ]  וכן הביא בספר קב הישר פרק סג.]</w:t>
            </w:r>
          </w:p>
        </w:tc>
      </w:tr>
      <w:tr>
        <w:tc>
          <w:tcPr>
            <w:tcW w:type="dxa" w:w="850"/>
          </w:tcPr>
          <w:p>
            <w:pPr>
              <w:bidi/>
              <w:jc w:val="right"/>
            </w:pPr>
            <w:r/>
            <w:r>
              <w:rPr>
                <w:rFonts w:ascii="David" w:hAnsi="David" w:cs="David"/>
                <w:b w:val="0"/>
                <w:sz w:val="20"/>
                <w:rtl/>
              </w:rPr>
              <w:t>510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כל בריה יכולה לעמוד במחיצתם.] אלא אף מי שמקבל ע״ע בליבו את …</w:t>
            </w:r>
          </w:p>
        </w:tc>
      </w:tr>
      <w:tr>
        <w:tc>
          <w:tcPr>
            <w:tcW w:type="dxa" w:w="850"/>
          </w:tcPr>
          <w:p>
            <w:pPr>
              <w:bidi/>
              <w:jc w:val="right"/>
            </w:pPr>
            <w:r/>
            <w:r>
              <w:rPr>
                <w:rFonts w:ascii="David" w:hAnsi="David" w:cs="David"/>
                <w:b w:val="0"/>
                <w:sz w:val="20"/>
                <w:rtl/>
              </w:rPr>
              <w:t>510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עת הוא קורה מחדש מבואר בברכות סג:] ועוד פתח ר׳ יהודה בכבוד תורה ודרש …</w:t>
            </w:r>
          </w:p>
        </w:tc>
      </w:tr>
      <w:tr>
        <w:tc>
          <w:tcPr>
            <w:tcW w:type="dxa" w:w="850"/>
          </w:tcPr>
          <w:p>
            <w:pPr>
              <w:bidi/>
              <w:jc w:val="right"/>
            </w:pPr>
            <w:r/>
            <w:r>
              <w:rPr>
                <w:rFonts w:ascii="David" w:hAnsi="David" w:cs="David"/>
                <w:b w:val="0"/>
                <w:sz w:val="20"/>
                <w:rtl/>
              </w:rPr>
              <w:t>510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 לאמר שמה שמצינו הכא על …</w:t>
            </w:r>
          </w:p>
        </w:tc>
      </w:tr>
      <w:tr>
        <w:tc>
          <w:tcPr>
            <w:tcW w:type="dxa" w:w="850"/>
          </w:tcPr>
          <w:p>
            <w:pPr>
              <w:bidi/>
              <w:jc w:val="right"/>
            </w:pPr>
            <w:r/>
            <w:r>
              <w:rPr>
                <w:rFonts w:ascii="David" w:hAnsi="David" w:cs="David"/>
                <w:b w:val="0"/>
                <w:sz w:val="20"/>
                <w:rtl/>
              </w:rPr>
              <w:t>510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510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בזה שכן עיקר המקור של הטור תריט.] שאמר שביוה״כ כן אומרים בשכמל״ו …</w:t>
            </w:r>
          </w:p>
        </w:tc>
      </w:tr>
      <w:tr>
        <w:tc>
          <w:tcPr>
            <w:tcW w:type="dxa" w:w="850"/>
          </w:tcPr>
          <w:p>
            <w:pPr>
              <w:bidi/>
              <w:jc w:val="right"/>
            </w:pPr>
            <w:r/>
            <w:r>
              <w:rPr>
                <w:rFonts w:ascii="David" w:hAnsi="David" w:cs="David"/>
                <w:b w:val="0"/>
                <w:sz w:val="20"/>
                <w:rtl/>
              </w:rPr>
              <w:t>510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מהרש״ם ח״ה סימן ט.]</w:t>
            </w:r>
          </w:p>
        </w:tc>
      </w:tr>
      <w:tr>
        <w:tc>
          <w:tcPr>
            <w:tcW w:type="dxa" w:w="850"/>
          </w:tcPr>
          <w:p>
            <w:pPr>
              <w:bidi/>
              <w:jc w:val="right"/>
            </w:pPr>
            <w:r/>
            <w:r>
              <w:rPr>
                <w:rFonts w:ascii="David" w:hAnsi="David" w:cs="David"/>
                <w:b w:val="0"/>
                <w:sz w:val="20"/>
                <w:rtl/>
              </w:rPr>
              <w:t>510</w:t>
            </w:r>
          </w:p>
        </w:tc>
        <w:tc>
          <w:tcPr>
            <w:tcW w:type="dxa" w:w="2835"/>
          </w:tcPr>
          <w:p>
            <w:pPr>
              <w:bidi/>
              <w:jc w:val="right"/>
            </w:pPr>
            <w:r/>
            <w:r>
              <w:rPr>
                <w:rFonts w:ascii="David" w:hAnsi="David" w:cs="David"/>
                <w:b w:val="0"/>
                <w:sz w:val="20"/>
                <w:rtl/>
              </w:rPr>
              <w:t>ענין הכוונה בקר״ש וענין המסירות נפש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ג או״ח טו.]</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מבואר במשנה ר״פ היה קורא …</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כתב הרמב״ם בספר המצוות (מצוות עשה …</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ג] והנה בגמ׳ ברכות יג: איתא דר׳ …</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ד] ולשון החינוך (מצוה ת״כ) כלומר …</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 ברמב״ן על הפסוק אנכי ה׳ אלקיך אשר …</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 כתב הרמ״א (סי׳ ס״א סי״ד) ויש …</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ז] והנה פי׳ השם דאלוקינו יל״ע בו, …</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ח] והנה לא נתבאר בדבריהם מהו אלוקינו …</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ט] סיכום, נקט ג׳ מהלכים בראשונים מהו …</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סימני שאלה (???) בטקסט</w:t>
            </w:r>
          </w:p>
        </w:tc>
        <w:tc>
          <w:tcPr>
            <w:tcW w:type="dxa" w:w="3798"/>
          </w:tcPr>
          <w:p>
            <w:pPr>
              <w:bidi/>
              <w:jc w:val="right"/>
            </w:pPr>
            <w:r/>
            <w:r>
              <w:rPr>
                <w:rFonts w:ascii="David" w:hAnsi="David" w:cs="David"/>
                <w:b w:val="0"/>
                <w:sz w:val="20"/>
                <w:rtl/>
              </w:rPr>
              <w:t>… לעבדו ולהרמב״ן כלול זה באלוקינו. ו??? דיל״ד בכוונת העל הכל שנפסק ברמ״א …</w:t>
            </w:r>
          </w:p>
        </w:tc>
      </w:tr>
      <w:tr>
        <w:tc>
          <w:tcPr>
            <w:tcW w:type="dxa" w:w="850"/>
          </w:tcPr>
          <w:p>
            <w:pPr>
              <w:bidi/>
              <w:jc w:val="right"/>
            </w:pPr>
            <w:r/>
            <w:r>
              <w:rPr>
                <w:rFonts w:ascii="David" w:hAnsi="David" w:cs="David"/>
                <w:b w:val="0"/>
                <w:sz w:val="20"/>
                <w:rtl/>
              </w:rPr>
              <w:t>520</w:t>
            </w:r>
          </w:p>
        </w:tc>
        <w:tc>
          <w:tcPr>
            <w:tcW w:type="dxa" w:w="2835"/>
          </w:tcPr>
          <w:p>
            <w:pPr>
              <w:bidi/>
              <w:jc w:val="right"/>
            </w:pPr>
            <w:r/>
            <w:r>
              <w:rPr>
                <w:rFonts w:ascii="David" w:hAnsi="David" w:cs="David"/>
                <w:b w:val="0"/>
                <w:sz w:val="20"/>
                <w:rtl/>
              </w:rPr>
              <w:t>בענין קבלת עול מלכות שמים</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י] יש להעיר הערה נוספת דבסעי׳ י״ד …</w:t>
            </w:r>
          </w:p>
        </w:tc>
      </w:tr>
      <w:tr>
        <w:tc>
          <w:tcPr>
            <w:tcW w:type="dxa" w:w="850"/>
          </w:tcPr>
          <w:p>
            <w:pPr>
              <w:bidi/>
              <w:jc w:val="right"/>
            </w:pPr>
            <w:r/>
            <w:r>
              <w:rPr>
                <w:rFonts w:ascii="David" w:hAnsi="David" w:cs="David"/>
                <w:b w:val="0"/>
                <w:sz w:val="20"/>
                <w:rtl/>
              </w:rPr>
              <w:t>523</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והנה כתב שם המהרש״א בחידושי אגדות.] לבאר שיש</w:t>
            </w:r>
          </w:p>
        </w:tc>
      </w:tr>
      <w:tr>
        <w:tc>
          <w:tcPr>
            <w:tcW w:type="dxa" w:w="850"/>
          </w:tcPr>
          <w:p>
            <w:pPr>
              <w:bidi/>
              <w:jc w:val="right"/>
            </w:pPr>
            <w:r/>
            <w:r>
              <w:rPr>
                <w:rFonts w:ascii="David" w:hAnsi="David" w:cs="David"/>
                <w:b w:val="0"/>
                <w:sz w:val="20"/>
                <w:rtl/>
              </w:rPr>
              <w:t>523</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וכמו שאנו מוצאים בגמ׳ ביומא לט.] ראש בית אב אומר לו אישי כ״ג הגבה …</w:t>
            </w:r>
          </w:p>
        </w:tc>
      </w:tr>
      <w:tr>
        <w:tc>
          <w:tcPr>
            <w:tcW w:type="dxa" w:w="850"/>
          </w:tcPr>
          <w:p>
            <w:pPr>
              <w:bidi/>
              <w:jc w:val="right"/>
            </w:pPr>
            <w:r/>
            <w:r>
              <w:rPr>
                <w:rFonts w:ascii="David" w:hAnsi="David" w:cs="David"/>
                <w:b w:val="0"/>
                <w:sz w:val="20"/>
                <w:rtl/>
              </w:rPr>
              <w:t>523</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שאין בה מפושעי ישראל אינה תענית.] ולכך ביוה״כ אנו מצרפים איתנו …</w:t>
            </w:r>
          </w:p>
        </w:tc>
      </w:tr>
      <w:tr>
        <w:tc>
          <w:tcPr>
            <w:tcW w:type="dxa" w:w="850"/>
          </w:tcPr>
          <w:p>
            <w:pPr>
              <w:bidi/>
              <w:jc w:val="right"/>
            </w:pPr>
            <w:r/>
            <w:r>
              <w:rPr>
                <w:rFonts w:ascii="David" w:hAnsi="David" w:cs="David"/>
                <w:b w:val="0"/>
                <w:sz w:val="20"/>
                <w:rtl/>
              </w:rPr>
              <w:t>523</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שמבואר בברכות יג: ושו״ע ס.ה וסג. ד] שאנו אומרים שבפס׳ ראשון צריך הוא …</w:t>
            </w:r>
          </w:p>
        </w:tc>
      </w:tr>
      <w:tr>
        <w:tc>
          <w:tcPr>
            <w:tcW w:type="dxa" w:w="850"/>
          </w:tcPr>
          <w:p>
            <w:pPr>
              <w:bidi/>
              <w:jc w:val="right"/>
            </w:pPr>
            <w:r/>
            <w:r>
              <w:rPr>
                <w:rFonts w:ascii="David" w:hAnsi="David" w:cs="David"/>
                <w:b w:val="0"/>
                <w:sz w:val="20"/>
                <w:rtl/>
              </w:rPr>
              <w:t>523</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וכן אמרו במשנה בברכות יג.] אמר ר׳ יהושע בן קרחה י למה קדמה …</w:t>
            </w:r>
          </w:p>
        </w:tc>
      </w:tr>
      <w:tr>
        <w:tc>
          <w:tcPr>
            <w:tcW w:type="dxa" w:w="850"/>
          </w:tcPr>
          <w:p>
            <w:pPr>
              <w:bidi/>
              <w:jc w:val="right"/>
            </w:pPr>
            <w:r/>
            <w:r>
              <w:rPr>
                <w:rFonts w:ascii="David" w:hAnsi="David" w:cs="David"/>
                <w:b w:val="0"/>
                <w:sz w:val="20"/>
                <w:rtl/>
              </w:rPr>
              <w:t>523</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הזוהר בכמה דוכתי מהזוהר הקדוש [ואתחנן [רסד:] שופטים [ערה:] וכן …</w:t>
            </w:r>
          </w:p>
        </w:tc>
      </w:tr>
      <w:tr>
        <w:tc>
          <w:tcPr>
            <w:tcW w:type="dxa" w:w="850"/>
          </w:tcPr>
          <w:p>
            <w:pPr>
              <w:bidi/>
              <w:jc w:val="right"/>
            </w:pPr>
            <w:r/>
            <w:r>
              <w:rPr>
                <w:rFonts w:ascii="David" w:hAnsi="David" w:cs="David"/>
                <w:b w:val="0"/>
                <w:sz w:val="20"/>
                <w:rtl/>
              </w:rPr>
              <w:t>523</w:t>
            </w:r>
          </w:p>
        </w:tc>
        <w:tc>
          <w:tcPr>
            <w:tcW w:type="dxa" w:w="2835"/>
          </w:tcPr>
          <w:p>
            <w:pPr>
              <w:bidi/>
              <w:jc w:val="right"/>
            </w:pPr>
            <w:r/>
            <w:r>
              <w:rPr>
                <w:rFonts w:ascii="David" w:hAnsi="David" w:cs="David"/>
                <w:b w:val="0"/>
                <w:sz w:val="20"/>
                <w:rtl/>
              </w:rPr>
              <w:t>בענין אמירת ברוך שם כבוד מלכותו לעולם ועד</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פ״ז.] וחסד לאברהם מעין ז. נהר כד.]</w:t>
            </w:r>
          </w:p>
        </w:tc>
      </w:tr>
      <w:tr>
        <w:tc>
          <w:tcPr>
            <w:tcW w:type="dxa" w:w="850"/>
          </w:tcPr>
          <w:p>
            <w:pPr>
              <w:bidi/>
              <w:jc w:val="right"/>
            </w:pPr>
            <w:r/>
            <w:r>
              <w:rPr>
                <w:rFonts w:ascii="David" w:hAnsi="David" w:cs="David"/>
                <w:b w:val="0"/>
                <w:sz w:val="20"/>
                <w:rtl/>
              </w:rPr>
              <w:t>528</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א.] הנה בענין הזה של קר״ש אנו מוצאים …</w:t>
            </w:r>
          </w:p>
        </w:tc>
      </w:tr>
      <w:tr>
        <w:tc>
          <w:tcPr>
            <w:tcW w:type="dxa" w:w="850"/>
          </w:tcPr>
          <w:p>
            <w:pPr>
              <w:bidi/>
              <w:jc w:val="right"/>
            </w:pPr>
            <w:r/>
            <w:r>
              <w:rPr>
                <w:rFonts w:ascii="David" w:hAnsi="David" w:cs="David"/>
                <w:b w:val="0"/>
                <w:sz w:val="20"/>
                <w:rtl/>
              </w:rPr>
              <w:t>528</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ב.] והנה בעיקר הענין של להשלים לרמ״ח …</w:t>
            </w:r>
          </w:p>
        </w:tc>
      </w:tr>
      <w:tr>
        <w:tc>
          <w:tcPr>
            <w:tcW w:type="dxa" w:w="850"/>
          </w:tcPr>
          <w:p>
            <w:pPr>
              <w:bidi/>
              <w:jc w:val="right"/>
            </w:pPr>
            <w:r/>
            <w:r>
              <w:rPr>
                <w:rFonts w:ascii="David" w:hAnsi="David" w:cs="David"/>
                <w:b w:val="0"/>
                <w:sz w:val="20"/>
                <w:rtl/>
              </w:rPr>
              <w:t>528</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עיין רב פעלים ב או״ח טו.]</w:t>
            </w:r>
          </w:p>
        </w:tc>
      </w:tr>
      <w:tr>
        <w:tc>
          <w:tcPr>
            <w:tcW w:type="dxa" w:w="850"/>
          </w:tcPr>
          <w:p>
            <w:pPr>
              <w:bidi/>
              <w:jc w:val="right"/>
            </w:pPr>
            <w:r/>
            <w:r>
              <w:rPr>
                <w:rFonts w:ascii="David" w:hAnsi="David" w:cs="David"/>
                <w:b w:val="0"/>
                <w:sz w:val="20"/>
                <w:rtl/>
              </w:rPr>
              <w:t>528</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בספרו אמת ליעקב שפת אמת שאלה נב.] ששם הוא נמי הביא את המקור הזה …</w:t>
            </w:r>
          </w:p>
        </w:tc>
      </w:tr>
      <w:tr>
        <w:tc>
          <w:tcPr>
            <w:tcW w:type="dxa" w:w="850"/>
          </w:tcPr>
          <w:p>
            <w:pPr>
              <w:bidi/>
              <w:jc w:val="right"/>
            </w:pPr>
            <w:r/>
            <w:r>
              <w:rPr>
                <w:rFonts w:ascii="David" w:hAnsi="David" w:cs="David"/>
                <w:b w:val="0"/>
                <w:sz w:val="20"/>
                <w:rtl/>
              </w:rPr>
              <w:t>528</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דף לא.] וכן נזכר בשערי תשובה כאן] בן איש חי [ש״א וארא א.]</w:t>
            </w:r>
          </w:p>
        </w:tc>
      </w:tr>
      <w:tr>
        <w:tc>
          <w:tcPr>
            <w:tcW w:type="dxa" w:w="850"/>
          </w:tcPr>
          <w:p>
            <w:pPr>
              <w:bidi/>
              <w:jc w:val="right"/>
            </w:pPr>
            <w:r/>
            <w:r>
              <w:rPr>
                <w:rFonts w:ascii="David" w:hAnsi="David" w:cs="David"/>
                <w:b w:val="0"/>
                <w:sz w:val="20"/>
                <w:rtl/>
              </w:rPr>
              <w:t>528</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וז״ל שו״ת מהרלב״ח סימן עג.] וז״ל</w:t>
            </w:r>
          </w:p>
        </w:tc>
      </w:tr>
      <w:tr>
        <w:tc>
          <w:tcPr>
            <w:tcW w:type="dxa" w:w="850"/>
          </w:tcPr>
          <w:p>
            <w:pPr>
              <w:bidi/>
              <w:jc w:val="right"/>
            </w:pPr>
            <w:r/>
            <w:r>
              <w:rPr>
                <w:rFonts w:ascii="David" w:hAnsi="David" w:cs="David"/>
                <w:b w:val="0"/>
                <w:sz w:val="20"/>
                <w:rtl/>
              </w:rPr>
              <w:t>528</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דעת הב״ח וכן הוא בדברי הט״ז ס״ק ג.] וכן הפר״ח כו שציין כדברי הירושלמי …</w:t>
            </w:r>
          </w:p>
        </w:tc>
      </w:tr>
      <w:tr>
        <w:tc>
          <w:tcPr>
            <w:tcW w:type="dxa" w:w="850"/>
          </w:tcPr>
          <w:p>
            <w:pPr>
              <w:bidi/>
              <w:jc w:val="right"/>
            </w:pPr>
            <w:r/>
            <w:r>
              <w:rPr>
                <w:rFonts w:ascii="David" w:hAnsi="David" w:cs="David"/>
                <w:b w:val="0"/>
                <w:sz w:val="20"/>
                <w:rtl/>
              </w:rPr>
              <w:t>528</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ממה שמבואר בירושלמי דף על הדף שם.]</w:t>
            </w:r>
          </w:p>
        </w:tc>
      </w:tr>
      <w:tr>
        <w:tc>
          <w:tcPr>
            <w:tcW w:type="dxa" w:w="850"/>
          </w:tcPr>
          <w:p>
            <w:pPr>
              <w:bidi/>
              <w:jc w:val="right"/>
            </w:pPr>
            <w:r/>
            <w:r>
              <w:rPr>
                <w:rFonts w:ascii="David" w:hAnsi="David" w:cs="David"/>
                <w:b w:val="0"/>
                <w:sz w:val="20"/>
                <w:rtl/>
              </w:rPr>
              <w:t>528</w:t>
            </w:r>
          </w:p>
        </w:tc>
        <w:tc>
          <w:tcPr>
            <w:tcW w:type="dxa" w:w="2835"/>
          </w:tcPr>
          <w:p>
            <w:pPr>
              <w:bidi/>
              <w:jc w:val="right"/>
            </w:pPr>
            <w:r/>
            <w:r>
              <w:rPr>
                <w:rFonts w:ascii="David" w:hAnsi="David" w:cs="David"/>
                <w:b w:val="0"/>
                <w:sz w:val="20"/>
                <w:rtl/>
              </w:rPr>
              <w:t>בענין השלמת רמ״ח תיבות בקר״ש</w:t>
            </w:r>
          </w:p>
        </w:tc>
        <w:tc>
          <w:tcPr>
            <w:tcW w:type="dxa" w:w="2268"/>
          </w:tcPr>
          <w:p>
            <w:pPr>
              <w:bidi/>
              <w:jc w:val="right"/>
            </w:pPr>
            <w:r/>
            <w:r>
              <w:rPr>
                <w:rFonts w:ascii="David" w:hAnsi="David" w:cs="David"/>
                <w:b w:val="0"/>
                <w:sz w:val="20"/>
                <w:rtl/>
              </w:rPr>
              <w:t>סוגריים עגולים ( ) לא מאוזנים</w:t>
            </w:r>
          </w:p>
        </w:tc>
        <w:tc>
          <w:tcPr>
            <w:tcW w:type="dxa" w:w="3798"/>
          </w:tcPr>
          <w:p>
            <w:pPr>
              <w:bidi/>
              <w:jc w:val="right"/>
            </w:pPr>
            <w:r/>
            <w:r>
              <w:rPr>
                <w:rFonts w:ascii="David" w:hAnsi="David" w:cs="David"/>
                <w:b w:val="0"/>
                <w:sz w:val="20"/>
                <w:rtl/>
              </w:rPr>
              <w:t>לו) והחי יתן אל לבו אם במלאכי השרת …</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הנה מבואר בגמ׳ בברכות לג: לד.] מודים מודים משתקין אותו: אמר ר׳ …</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שכן איתא בגמ׳ בסוכה נג:] על המבואר שם במשנה שהיו אומרים …</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עמד על דבריו בחידושי החת״ס כאן] וכתב לבאר</w:t>
            </w:r>
          </w:p>
        </w:tc>
      </w:tr>
      <w:tr>
        <w:tc>
          <w:tcPr>
            <w:tcW w:type="dxa" w:w="850"/>
          </w:tcPr>
          <w:p>
            <w:pPr>
              <w:bidi/>
              <w:jc w:val="right"/>
            </w:pPr>
            <w:r/>
            <w:r>
              <w:rPr>
                <w:rFonts w:ascii="David" w:hAnsi="David" w:cs="David"/>
                <w:b w:val="0"/>
                <w:sz w:val="20"/>
                <w:rtl/>
              </w:rPr>
              <w:t>543</w:t>
            </w:r>
          </w:p>
        </w:tc>
        <w:tc>
          <w:tcPr>
            <w:tcW w:type="dxa" w:w="2835"/>
          </w:tcPr>
          <w:p>
            <w:pPr>
              <w:bidi/>
              <w:jc w:val="right"/>
            </w:pPr>
            <w:r/>
            <w:r>
              <w:rPr>
                <w:rFonts w:ascii="David" w:hAnsi="David" w:cs="David"/>
                <w:b w:val="0"/>
                <w:sz w:val="20"/>
                <w:rtl/>
              </w:rPr>
              <w:t>בענין כפילת שמע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הזה. וכ״כ תוס׳ הרא״ש ותוס׳ ר״פ שם.]</w:t>
            </w:r>
          </w:p>
        </w:tc>
      </w:tr>
      <w:tr>
        <w:tc>
          <w:tcPr>
            <w:tcW w:type="dxa" w:w="850"/>
          </w:tcPr>
          <w:p>
            <w:pPr>
              <w:bidi/>
              <w:jc w:val="right"/>
            </w:pPr>
            <w:r/>
            <w:r>
              <w:rPr>
                <w:rFonts w:ascii="David" w:hAnsi="David" w:cs="David"/>
                <w:b w:val="0"/>
                <w:sz w:val="20"/>
                <w:rtl/>
              </w:rPr>
              <w:t>553</w:t>
            </w:r>
          </w:p>
        </w:tc>
        <w:tc>
          <w:tcPr>
            <w:tcW w:type="dxa" w:w="2835"/>
          </w:tcPr>
          <w:p>
            <w:pPr>
              <w:bidi/>
              <w:jc w:val="right"/>
            </w:pPr>
            <w:r/>
            <w:r>
              <w:rPr>
                <w:rFonts w:ascii="David" w:hAnsi="David" w:cs="David"/>
                <w:b w:val="0"/>
                <w:sz w:val="20"/>
                <w:rtl/>
              </w:rPr>
              <w:t>דקדוק באותיותיה מהו</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רבי ישמעאל ברבי יוסי בשם אביו]. ועוד דאף רבי יהודה לא פליג אדרבי …</w:t>
            </w:r>
          </w:p>
        </w:tc>
      </w:tr>
      <w:tr>
        <w:tc>
          <w:tcPr>
            <w:tcW w:type="dxa" w:w="850"/>
          </w:tcPr>
          <w:p>
            <w:pPr>
              <w:bidi/>
              <w:jc w:val="right"/>
            </w:pPr>
            <w:r/>
            <w:r>
              <w:rPr>
                <w:rFonts w:ascii="David" w:hAnsi="David" w:cs="David"/>
                <w:b w:val="0"/>
                <w:sz w:val="20"/>
                <w:rtl/>
              </w:rPr>
              <w:t>556</w:t>
            </w:r>
          </w:p>
        </w:tc>
        <w:tc>
          <w:tcPr>
            <w:tcW w:type="dxa" w:w="2835"/>
          </w:tcPr>
          <w:p>
            <w:pPr>
              <w:bidi/>
              <w:jc w:val="right"/>
            </w:pPr>
            <w:r/>
            <w:r>
              <w:rPr>
                <w:rFonts w:ascii="David" w:hAnsi="David" w:cs="David"/>
                <w:b w:val="0"/>
                <w:sz w:val="20"/>
                <w:rtl/>
              </w:rPr>
              <w:t>בענין תפלה וקר״ש בכל לשון</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הבה״ל להלן קא ד״ה יכול להתפלל.] וז״ל אבל אם אינו בכי האי גוונא …</w:t>
            </w:r>
          </w:p>
        </w:tc>
      </w:tr>
      <w:tr>
        <w:tc>
          <w:tcPr>
            <w:tcW w:type="dxa" w:w="850"/>
          </w:tcPr>
          <w:p>
            <w:pPr>
              <w:bidi/>
              <w:jc w:val="right"/>
            </w:pPr>
            <w:r/>
            <w:r>
              <w:rPr>
                <w:rFonts w:ascii="David" w:hAnsi="David" w:cs="David"/>
                <w:b w:val="0"/>
                <w:sz w:val="20"/>
                <w:rtl/>
              </w:rPr>
              <w:t>575</w:t>
            </w:r>
          </w:p>
        </w:tc>
        <w:tc>
          <w:tcPr>
            <w:tcW w:type="dxa" w:w="2835"/>
          </w:tcPr>
          <w:p>
            <w:pPr>
              <w:bidi/>
              <w:jc w:val="right"/>
            </w:pPr>
            <w:r/>
            <w:r>
              <w:rPr>
                <w:rFonts w:ascii="David" w:hAnsi="David" w:cs="David"/>
                <w:b w:val="0"/>
                <w:sz w:val="20"/>
                <w:rtl/>
              </w:rPr>
              <w:t>בדין שהה לגמור את כולה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הדבר הזה מוסכם שכן איתא לקמן כד:] גבי עיקר הנידון האם מותר לקרוא …</w:t>
            </w:r>
          </w:p>
        </w:tc>
      </w:tr>
      <w:tr>
        <w:tc>
          <w:tcPr>
            <w:tcW w:type="dxa" w:w="850"/>
          </w:tcPr>
          <w:p>
            <w:pPr>
              <w:bidi/>
              <w:jc w:val="right"/>
            </w:pPr>
            <w:r/>
            <w:r>
              <w:rPr>
                <w:rFonts w:ascii="David" w:hAnsi="David" w:cs="David"/>
                <w:b w:val="0"/>
                <w:sz w:val="20"/>
                <w:rtl/>
              </w:rPr>
              <w:t>575</w:t>
            </w:r>
          </w:p>
        </w:tc>
        <w:tc>
          <w:tcPr>
            <w:tcW w:type="dxa" w:w="2835"/>
          </w:tcPr>
          <w:p>
            <w:pPr>
              <w:bidi/>
              <w:jc w:val="right"/>
            </w:pPr>
            <w:r/>
            <w:r>
              <w:rPr>
                <w:rFonts w:ascii="David" w:hAnsi="David" w:cs="David"/>
                <w:b w:val="0"/>
                <w:sz w:val="20"/>
                <w:rtl/>
              </w:rPr>
              <w:t>בדין שהה לגמור את כולה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ששותתין על ברכיו וכן לקמן כד:] גבי מי שמהלך במבואות המטונפים …</w:t>
            </w:r>
          </w:p>
        </w:tc>
      </w:tr>
      <w:tr>
        <w:tc>
          <w:tcPr>
            <w:tcW w:type="dxa" w:w="850"/>
          </w:tcPr>
          <w:p>
            <w:pPr>
              <w:bidi/>
              <w:jc w:val="right"/>
            </w:pPr>
            <w:r/>
            <w:r>
              <w:rPr>
                <w:rFonts w:ascii="David" w:hAnsi="David" w:cs="David"/>
                <w:b w:val="0"/>
                <w:sz w:val="20"/>
                <w:rtl/>
              </w:rPr>
              <w:t>575</w:t>
            </w:r>
          </w:p>
        </w:tc>
        <w:tc>
          <w:tcPr>
            <w:tcW w:type="dxa" w:w="2835"/>
          </w:tcPr>
          <w:p>
            <w:pPr>
              <w:bidi/>
              <w:jc w:val="right"/>
            </w:pPr>
            <w:r/>
            <w:r>
              <w:rPr>
                <w:rFonts w:ascii="David" w:hAnsi="David" w:cs="David"/>
                <w:b w:val="0"/>
                <w:sz w:val="20"/>
                <w:rtl/>
              </w:rPr>
              <w:t>בדין שהה לגמור את כולה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מגמרא שכן מבואר בגמ׳ בר״ה שם] שדנים שם אליבא דר׳ יוחנן שס״ל שגם …</w:t>
            </w:r>
          </w:p>
        </w:tc>
      </w:tr>
      <w:tr>
        <w:tc>
          <w:tcPr>
            <w:tcW w:type="dxa" w:w="850"/>
          </w:tcPr>
          <w:p>
            <w:pPr>
              <w:bidi/>
              <w:jc w:val="right"/>
            </w:pPr>
            <w:r/>
            <w:r>
              <w:rPr>
                <w:rFonts w:ascii="David" w:hAnsi="David" w:cs="David"/>
                <w:b w:val="0"/>
                <w:sz w:val="20"/>
                <w:rtl/>
              </w:rPr>
              <w:t>575</w:t>
            </w:r>
          </w:p>
        </w:tc>
        <w:tc>
          <w:tcPr>
            <w:tcW w:type="dxa" w:w="2835"/>
          </w:tcPr>
          <w:p>
            <w:pPr>
              <w:bidi/>
              <w:jc w:val="right"/>
            </w:pPr>
            <w:r/>
            <w:r>
              <w:rPr>
                <w:rFonts w:ascii="David" w:hAnsi="David" w:cs="David"/>
                <w:b w:val="0"/>
                <w:sz w:val="20"/>
                <w:rtl/>
              </w:rPr>
              <w:t>בדין שהה לגמור את כולה</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הגמ׳ בברכות כד: ר״ה לד: מגילה יח:] שאנו דנים שאפי׳ בשהה לגמור את …</w:t>
            </w:r>
          </w:p>
        </w:tc>
      </w:tr>
      <w:tr>
        <w:tc>
          <w:tcPr>
            <w:tcW w:type="dxa" w:w="850"/>
          </w:tcPr>
          <w:p>
            <w:pPr>
              <w:bidi/>
              <w:jc w:val="right"/>
            </w:pPr>
            <w:r/>
            <w:r>
              <w:rPr>
                <w:rFonts w:ascii="David" w:hAnsi="David" w:cs="David"/>
                <w:b w:val="0"/>
                <w:sz w:val="20"/>
                <w:rtl/>
              </w:rPr>
              <w:t>594</w:t>
            </w:r>
          </w:p>
        </w:tc>
        <w:tc>
          <w:tcPr>
            <w:tcW w:type="dxa" w:w="2835"/>
          </w:tcPr>
          <w:p>
            <w:pPr>
              <w:bidi/>
              <w:jc w:val="right"/>
            </w:pPr>
            <w:r/>
            <w:r>
              <w:rPr>
                <w:rFonts w:ascii="David" w:hAnsi="David" w:cs="David"/>
                <w:b w:val="0"/>
                <w:sz w:val="20"/>
                <w:rtl/>
              </w:rPr>
              <w:t>העוסק במלאכה או בשאר דברים האם צריך לפסוק לקריאת שמע?</w:t>
            </w:r>
          </w:p>
        </w:tc>
        <w:tc>
          <w:tcPr>
            <w:tcW w:type="dxa" w:w="2268"/>
          </w:tcPr>
          <w:p>
            <w:pPr>
              <w:bidi/>
              <w:jc w:val="right"/>
            </w:pPr>
            <w:r/>
            <w:r>
              <w:rPr>
                <w:rFonts w:ascii="David" w:hAnsi="David" w:cs="David"/>
                <w:b w:val="0"/>
                <w:sz w:val="20"/>
                <w:rtl/>
              </w:rPr>
              <w:t>סוגריים מרובעים [ ] לא מאוזנים</w:t>
            </w:r>
          </w:p>
        </w:tc>
        <w:tc>
          <w:tcPr>
            <w:tcW w:type="dxa" w:w="3798"/>
          </w:tcPr>
          <w:p>
            <w:pPr>
              <w:bidi/>
              <w:jc w:val="right"/>
            </w:pPr>
            <w:r/>
            <w:r>
              <w:rPr>
                <w:rFonts w:ascii="David" w:hAnsi="David" w:cs="David"/>
                <w:b w:val="0"/>
                <w:sz w:val="20"/>
                <w:rtl/>
              </w:rPr>
              <w:t>… במצוה הוא דנימא יפטר מן המצוה. [בשלמא לעיל, סבר רבא להוכיח דממתני׳ …</w:t>
            </w:r>
          </w:p>
        </w:tc>
      </w:tr>
    </w:tbl>
    <w:sectPr w:rsidR="00FC693F" w:rsidRPr="0006063C" w:rsidSect="00034616">
      <w:pgSz w:w="12240" w:h="15840"/>
      <w:pgMar w:top="1440" w:right="1020" w:bottom="144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