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118 מאמרים, מהם 65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(65)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200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365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368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אברהם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משקרא קש אין צריך לברך שכבר נפטר באהבה רבה.docx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 (נשאר ללא מחבר, לפי הנחיית העורך); בראש הקובץ מופיעה הכותרת ״ברכת אברהם״ - היא כותרת המאמר, והשורה הראשונה של הטקסט נשארה בגוף המאמר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442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446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ביאור הסוגיה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ביאור הסוגיה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המחבר אינו מופיע בשם הקובץ או בגוף הטקסט – נקבע לפי מאפייני הקובץ (נאור רוזין) והמשכיות הסדרה בסימן ס׳ סעיף ד׳; השיוך אושר על ידי העורך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הכוונה של הטעם של המצוה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כוונת טעם המצוה.docx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המחבר אינו מופיע בשם הקובץ או בגוף הטקסט – נקבע לפי מאפייני הקובץ (נאור רוזין); ממשיך את ״עיקרי הדברים״ (״התבאר עד כה בהרחבה״); השיוך אושר על ידי העורך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467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 סעיף ד עיקרי הדברים לספר בענין מצות צריכות כוונה נהור רוזין.docx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מילים); גרסה מעודכנת (אוקטובר 2026) במקום הגרסה הקודמת; המחבר לפי שם הקובץ (קודם יוחס בטעות לרב זאדה)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בענין השלמת הרמ״ח תיבות שבק״ש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סיכום השיטות בענין השלמת הרמח תיבות שבקש.docx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ובשמו; המחבר - ראש הכולל הרב משה זאדה (לפי הנחיית העורך); טקסט שונה מ״סימן סא.docx״ באותו נושא – נכללו שניהם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535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שהה לגמור את כולה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סה בדין שהה לגמור את כולה.docx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 ובשמו; המחבר - ראש הכולל הרב משה זאדה (לפי הנחיית העורך); ללא סעיף בשם הקובץ – הוצב בתחילת הסימן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606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610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614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