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16</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20</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52</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80</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124</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136</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147</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147</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147</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147</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147</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158</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158</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158</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158</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158</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167</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192</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192</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229</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241</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241</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264</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275</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279</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294</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294</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294</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314</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335</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342</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354</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368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385</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385</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385</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385</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392</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והדברים מתמיהים וצ״ע, כיצד י״ל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ובעל המאור כתב שמברך שלשתם כנגד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ובכדי לבא לבירור הענין נקדים דיש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הרמב״ם (ברכות פי״א ה״א) כתב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דמה שהקשינו כיצד יתכן לומר שאין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ואכתי יש להקשות, דאפי׳ אם נימא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ולרמב״ן שמדאורייתא חייב בברכת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אמנם כל משנ״ת הרי אינו אלא בדרך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ולפי שיטת הקרית ספר (פי״ב מהל׳ …</w:t>
            </w:r>
          </w:p>
        </w:tc>
      </w:tr>
      <w:tr>
        <w:tc>
          <w:tcPr>
            <w:tcW w:type="dxa" w:w="850"/>
          </w:tcPr>
          <w:p>
            <w:pPr>
              <w:bidi/>
              <w:jc w:val="right"/>
            </w:pPr>
            <w:r/>
            <w:r>
              <w:rPr>
                <w:rFonts w:ascii="David" w:hAnsi="David" w:cs="David"/>
                <w:b w:val="0"/>
                <w:sz w:val="20"/>
                <w:rtl/>
              </w:rPr>
              <w:t>412</w:t>
            </w:r>
          </w:p>
        </w:tc>
        <w:tc>
          <w:tcPr>
            <w:tcW w:type="dxa" w:w="2835"/>
          </w:tcPr>
          <w:p>
            <w:pPr>
              <w:bidi/>
              <w:jc w:val="right"/>
            </w:pPr>
            <w:r/>
            <w:r>
              <w:rPr>
                <w:rFonts w:ascii="David" w:hAnsi="David" w:cs="David"/>
                <w:b w:val="0"/>
                <w:sz w:val="20"/>
                <w:rtl/>
              </w:rPr>
              <w:t>ברכת אברהם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מיהו לשיטת מגילת אסתר בסה״מ, שכתב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429</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442</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446</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כוונה וכמו שמתבאר בסוגיה בר״ה כח.:] שאיתא שם ״שלחו ליה לאבוה דשמואל …</w:t>
            </w:r>
          </w:p>
        </w:tc>
      </w:tr>
      <w:tr>
        <w:tc>
          <w:tcPr>
            <w:tcW w:type="dxa" w:w="850"/>
          </w:tcPr>
          <w:p>
            <w:pPr>
              <w:bidi/>
              <w:jc w:val="right"/>
            </w:pPr>
            <w:r/>
            <w:r>
              <w:rPr>
                <w:rFonts w:ascii="David" w:hAnsi="David" w:cs="David"/>
                <w:b w:val="0"/>
                <w:sz w:val="20"/>
                <w:rtl/>
              </w:rPr>
              <w:t>446</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וכן מטו משמיה דהגר״ח וולוזין [עיין בספר כרם יהושע [עמ׳  ] שזהו …</w:t>
            </w:r>
          </w:p>
        </w:tc>
      </w:tr>
      <w:tr>
        <w:tc>
          <w:tcPr>
            <w:tcW w:type="dxa" w:w="850"/>
          </w:tcPr>
          <w:p>
            <w:pPr>
              <w:bidi/>
              <w:jc w:val="right"/>
            </w:pPr>
            <w:r/>
            <w:r>
              <w:rPr>
                <w:rFonts w:ascii="David" w:hAnsi="David" w:cs="David"/>
                <w:b w:val="0"/>
                <w:sz w:val="20"/>
                <w:rtl/>
              </w:rPr>
              <w:t>446</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של כוונה וכמו שרש״י כתב להלן לג:] ב. זהו מה שפירש רבו של רש״י שהוא …</w:t>
            </w:r>
          </w:p>
        </w:tc>
      </w:tr>
      <w:tr>
        <w:tc>
          <w:tcPr>
            <w:tcW w:type="dxa" w:w="850"/>
          </w:tcPr>
          <w:p>
            <w:pPr>
              <w:bidi/>
              <w:jc w:val="right"/>
            </w:pPr>
            <w:r/>
            <w:r>
              <w:rPr>
                <w:rFonts w:ascii="David" w:hAnsi="David" w:cs="David"/>
                <w:b w:val="0"/>
                <w:sz w:val="20"/>
                <w:rtl/>
              </w:rPr>
              <w:t>446</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וכן משמע פשטי׳ דסוגיא בר״ה ד׳ כ״ח:] בגמרא אבל זכרון תרועה כתיב וכו׳ …</w:t>
            </w:r>
          </w:p>
        </w:tc>
      </w:tr>
      <w:tr>
        <w:tc>
          <w:tcPr>
            <w:tcW w:type="dxa" w:w="850"/>
          </w:tcPr>
          <w:p>
            <w:pPr>
              <w:bidi/>
              <w:jc w:val="right"/>
            </w:pPr>
            <w:r/>
            <w:r>
              <w:rPr>
                <w:rFonts w:ascii="David" w:hAnsi="David" w:cs="David"/>
                <w:b w:val="0"/>
                <w:sz w:val="20"/>
                <w:rtl/>
              </w:rPr>
              <w:t>446</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את עצמו שכן איתא בגמ׳ בברכות יג.] וז״ל  היה קורא בתורה והגיע זמן …</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יח) והשענו תחת העץ אף המקום יא] נתן לבניו שבעה ענני כבוד במדבר ד׳ …</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 ישיעה פיק במסורת הש״ס סוכה יא:] המהר״ץ חיות [שם.] ואכן מחמת …</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יא] מכילתא דר׳ ישמעאל בא פרשה יד.] שאיתא שם למען ידעו דורותיכם כי …</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בתרגום ירושלמי שם.]</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לזכור ע״י כך והנה הט״ז שם ס״ק א.] האריך הרבה בענין הזה ושם הוא ביאר …</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 כתבו נמי הרמב״ן בפרשת אמור שם.]</w:t>
            </w:r>
          </w:p>
        </w:tc>
      </w:tr>
      <w:tr>
        <w:tc>
          <w:tcPr>
            <w:tcW w:type="dxa" w:w="850"/>
          </w:tcPr>
          <w:p>
            <w:pPr>
              <w:bidi/>
              <w:jc w:val="right"/>
            </w:pPr>
            <w:r/>
            <w:r>
              <w:rPr>
                <w:rFonts w:ascii="David" w:hAnsi="David" w:cs="David"/>
                <w:b w:val="0"/>
                <w:sz w:val="20"/>
                <w:rtl/>
              </w:rPr>
              <w:t>459</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לנו למה נכתבה דוקא זאת המצוה בטעם (ומזה ג״כ לכאורה יש לנו ראיה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467</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525</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535</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538</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555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555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555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555</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566</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569</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590</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הדבר הזה מוסכם שכן איתא לקמן כד:] גבי עיקר הנידון האם מותר לקרוא …</w:t>
            </w:r>
          </w:p>
        </w:tc>
      </w:tr>
      <w:tr>
        <w:tc>
          <w:tcPr>
            <w:tcW w:type="dxa" w:w="850"/>
          </w:tcPr>
          <w:p>
            <w:pPr>
              <w:bidi/>
              <w:jc w:val="right"/>
            </w:pPr>
            <w:r/>
            <w:r>
              <w:rPr>
                <w:rFonts w:ascii="David" w:hAnsi="David" w:cs="David"/>
                <w:b w:val="0"/>
                <w:sz w:val="20"/>
                <w:rtl/>
              </w:rPr>
              <w:t>590</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ששותתין על ברכיו וכן לקמן כד:] גבי מי שמהלך במבואות המטונפים …</w:t>
            </w:r>
          </w:p>
        </w:tc>
      </w:tr>
      <w:tr>
        <w:tc>
          <w:tcPr>
            <w:tcW w:type="dxa" w:w="850"/>
          </w:tcPr>
          <w:p>
            <w:pPr>
              <w:bidi/>
              <w:jc w:val="right"/>
            </w:pPr>
            <w:r/>
            <w:r>
              <w:rPr>
                <w:rFonts w:ascii="David" w:hAnsi="David" w:cs="David"/>
                <w:b w:val="0"/>
                <w:sz w:val="20"/>
                <w:rtl/>
              </w:rPr>
              <w:t>590</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מגמרא שכן מבואר בגמ׳ בר״ה שם] שדנים שם אליבא דר׳ יוחנן שס״ל שגם …</w:t>
            </w:r>
          </w:p>
        </w:tc>
      </w:tr>
      <w:tr>
        <w:tc>
          <w:tcPr>
            <w:tcW w:type="dxa" w:w="850"/>
          </w:tcPr>
          <w:p>
            <w:pPr>
              <w:bidi/>
              <w:jc w:val="right"/>
            </w:pPr>
            <w:r/>
            <w:r>
              <w:rPr>
                <w:rFonts w:ascii="David" w:hAnsi="David" w:cs="David"/>
                <w:b w:val="0"/>
                <w:sz w:val="20"/>
                <w:rtl/>
              </w:rPr>
              <w:t>590</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הגמ׳ בברכות כד: ר״ה לד: מגילה יח:] שאנו דנים שאפי׳ בשהה לגמור את …</w:t>
            </w:r>
          </w:p>
        </w:tc>
      </w:tr>
      <w:tr>
        <w:tc>
          <w:tcPr>
            <w:tcW w:type="dxa" w:w="850"/>
          </w:tcPr>
          <w:p>
            <w:pPr>
              <w:bidi/>
              <w:jc w:val="right"/>
            </w:pPr>
            <w:r/>
            <w:r>
              <w:rPr>
                <w:rFonts w:ascii="David" w:hAnsi="David" w:cs="David"/>
                <w:b w:val="0"/>
                <w:sz w:val="20"/>
                <w:rtl/>
              </w:rPr>
              <w:t>610</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