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8</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16</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45</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82</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בפסחים [נ.] וכן הוא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ובעצם המח׳ עמד הגרי״ז [שם על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אמנם נראה שאין ביאור זה - דשם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ונראה לדון כאן בכמה נפק״מ בעיקר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עיין אגרות משה [או״ח ה. ה, אות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״והגאון מורנו הרב יונתן אייבשיץ [חידושי ר׳ יהונתן על מסכת ברכות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והנה ראיתי רבים וטובים שהתקשו בכל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טהור מרעיא מהימנא פינחס דף רכט.] וזה לשונו ואמר קודשא בריך הוא מאן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הענין ביאר בהרחבה  הרב בן איש חי [בספרו אדרת אליהו פרשת תצוה עה״פ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כתב הטור [סי׳ ה] ״ויכון בברכותיו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הנה מלשון הטור והשו״ע מבואר לכאו׳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נראה דבאמת מה שקשה כ״כ לכוין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בענין ביאור שם אלוקים, עיין במה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ויש להוסיף כאן לתועלת המעיינים ב׳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יזהר ככל האפשר לכוון בכל השמות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בקר״ש וכן בברכה הראשונה שבתפלה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לכתחילה חייב להחמיר בזה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התבאר לעיל דלענין הכוונה בברכות,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הנה מלבד מה שנתבאר שצריך אדם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במנחות [מג:] ׳תניא היה רבי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איתא במדרש שוחר טוב; [מזמור צא,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אף יותר מן הדיבור וההזכרה בפיו, [עיין בזה ביומא כט. ׳הרהורי עבירה׳ …</w:t>
            </w:r>
          </w:p>
        </w:tc>
      </w:tr>
      <w:tr>
        <w:tc>
          <w:tcPr>
            <w:tcW w:type="dxa" w:w="850"/>
          </w:tcPr>
          <w:p>
            <w:pPr>
              <w:bidi/>
              <w:jc w:val="right"/>
            </w:pPr>
            <w:r/>
            <w:r>
              <w:rPr>
                <w:rFonts w:ascii="David" w:hAnsi="David" w:cs="David"/>
                <w:b w:val="0"/>
                <w:sz w:val="20"/>
                <w:rtl/>
              </w:rPr>
              <w:t>130</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נפסק בשו״ע מהלכות ציצית בסימן ח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בהגהות רעק״א כתב וז״ל: לפ״ז גם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אבל הפרי מגדים באשל אברהם (סק״ב)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אמנם בביאור הגר״א (אות ג) כתב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הט״ז ביו״ד (סימן א ס״ק יז) חולק …</w:t>
            </w:r>
          </w:p>
        </w:tc>
      </w:tr>
      <w:tr>
        <w:tc>
          <w:tcPr>
            <w:tcW w:type="dxa" w:w="850"/>
          </w:tcPr>
          <w:p>
            <w:pPr>
              <w:bidi/>
              <w:jc w:val="right"/>
            </w:pPr>
            <w:r/>
            <w:r>
              <w:rPr>
                <w:rFonts w:ascii="David" w:hAnsi="David" w:cs="David"/>
                <w:b w:val="0"/>
                <w:sz w:val="20"/>
                <w:rtl/>
              </w:rPr>
              <w:t>161</w:t>
            </w:r>
          </w:p>
        </w:tc>
        <w:tc>
          <w:tcPr>
            <w:tcW w:type="dxa" w:w="2835"/>
          </w:tcPr>
          <w:p>
            <w:pPr>
              <w:bidi/>
              <w:jc w:val="right"/>
            </w:pPr>
            <w:r/>
            <w:r>
              <w:rPr>
                <w:rFonts w:ascii="David" w:hAnsi="David" w:cs="David"/>
                <w:b w:val="0"/>
                <w:sz w:val="20"/>
                <w:rtl/>
              </w:rPr>
              <w:t>בענין בדיקת הציציות ובדין של סמיכה על החזקה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ב: מדה״פ.] ובשו״ת סימן סו.] והרא״ש [סימן ב.]</w:t>
            </w:r>
          </w:p>
        </w:tc>
      </w:tr>
      <w:tr>
        <w:tc>
          <w:tcPr>
            <w:tcW w:type="dxa" w:w="850"/>
          </w:tcPr>
          <w:p>
            <w:pPr>
              <w:bidi/>
              <w:jc w:val="right"/>
            </w:pPr>
            <w:r/>
            <w:r>
              <w:rPr>
                <w:rFonts w:ascii="David" w:hAnsi="David" w:cs="David"/>
                <w:b w:val="0"/>
                <w:sz w:val="20"/>
                <w:rtl/>
              </w:rPr>
              <w:t>185</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הנה הביא הב״י את דברי הרמב״ם …</w:t>
            </w:r>
          </w:p>
        </w:tc>
      </w:tr>
      <w:tr>
        <w:tc>
          <w:tcPr>
            <w:tcW w:type="dxa" w:w="850"/>
          </w:tcPr>
          <w:p>
            <w:pPr>
              <w:bidi/>
              <w:jc w:val="right"/>
            </w:pPr>
            <w:r/>
            <w:r>
              <w:rPr>
                <w:rFonts w:ascii="David" w:hAnsi="David" w:cs="David"/>
                <w:b w:val="0"/>
                <w:sz w:val="20"/>
                <w:rtl/>
              </w:rPr>
              <w:t>185</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אמנם רש״י שם (ד״ה כיון) כתב כיון …</w:t>
            </w:r>
          </w:p>
        </w:tc>
      </w:tr>
      <w:tr>
        <w:tc>
          <w:tcPr>
            <w:tcW w:type="dxa" w:w="850"/>
          </w:tcPr>
          <w:p>
            <w:pPr>
              <w:bidi/>
              <w:jc w:val="right"/>
            </w:pPr>
            <w:r/>
            <w:r>
              <w:rPr>
                <w:rFonts w:ascii="David" w:hAnsi="David" w:cs="David"/>
                <w:b w:val="0"/>
                <w:sz w:val="20"/>
                <w:rtl/>
              </w:rPr>
              <w:t>220</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232</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232</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255</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266</w:t>
            </w:r>
          </w:p>
        </w:tc>
        <w:tc>
          <w:tcPr>
            <w:tcW w:type="dxa" w:w="2835"/>
          </w:tcPr>
          <w:p>
            <w:pPr>
              <w:bidi/>
              <w:jc w:val="right"/>
            </w:pPr>
            <w:r/>
            <w:r>
              <w:rPr>
                <w:rFonts w:ascii="David" w:hAnsi="David" w:cs="David"/>
                <w:b w:val="0"/>
                <w:sz w:val="20"/>
                <w:rtl/>
              </w:rPr>
              <w:t>ספק בירך ברכת התורה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הוא אלא בתורת קבלת עול מלכות שמים [ועל דרך שביאר הב״י בטעם הירושלמי …</w:t>
            </w:r>
          </w:p>
        </w:tc>
      </w:tr>
      <w:tr>
        <w:tc>
          <w:tcPr>
            <w:tcW w:type="dxa" w:w="850"/>
          </w:tcPr>
          <w:p>
            <w:pPr>
              <w:bidi/>
              <w:jc w:val="right"/>
            </w:pPr>
            <w:r/>
            <w:r>
              <w:rPr>
                <w:rFonts w:ascii="David" w:hAnsi="David" w:cs="David"/>
                <w:b w:val="0"/>
                <w:sz w:val="20"/>
                <w:rtl/>
              </w:rPr>
              <w:t>270</w:t>
            </w:r>
          </w:p>
        </w:tc>
        <w:tc>
          <w:tcPr>
            <w:tcW w:type="dxa" w:w="2835"/>
          </w:tcPr>
          <w:p>
            <w:pPr>
              <w:bidi/>
              <w:jc w:val="right"/>
            </w:pPr>
            <w:r/>
            <w:r>
              <w:rPr>
                <w:rFonts w:ascii="David" w:hAnsi="David" w:cs="David"/>
                <w:b w:val="0"/>
                <w:sz w:val="20"/>
                <w:rtl/>
              </w:rPr>
              <w:t>חיוב ברכת התורה לחתן בר 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להתפלל ערבית לפני צאת הכוכבים (אפילו אם יחזור ויקרא ק״ש בלילה שלא …</w:t>
            </w:r>
          </w:p>
        </w:tc>
      </w:tr>
      <w:tr>
        <w:tc>
          <w:tcPr>
            <w:tcW w:type="dxa" w:w="850"/>
          </w:tcPr>
          <w:p>
            <w:pPr>
              <w:bidi/>
              <w:jc w:val="right"/>
            </w:pPr>
            <w:r/>
            <w:r>
              <w:rPr>
                <w:rFonts w:ascii="David" w:hAnsi="David" w:cs="David"/>
                <w:b w:val="0"/>
                <w:sz w:val="20"/>
                <w:rtl/>
              </w:rPr>
              <w:t>285</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285</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285</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317</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325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ויל״פ בסברא זו דלכוא׳ ??? בהא דמהני רואים אלו את אלו …</w:t>
            </w:r>
          </w:p>
        </w:tc>
      </w:tr>
      <w:tr>
        <w:tc>
          <w:tcPr>
            <w:tcW w:type="dxa" w:w="850"/>
          </w:tcPr>
          <w:p>
            <w:pPr>
              <w:bidi/>
              <w:jc w:val="right"/>
            </w:pPr>
            <w:r/>
            <w:r>
              <w:rPr>
                <w:rFonts w:ascii="David" w:hAnsi="David" w:cs="David"/>
                <w:b w:val="0"/>
                <w:sz w:val="20"/>
                <w:rtl/>
              </w:rPr>
              <w:t>325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מטעם דאין המחיצות מגיעות לגג עוד ??? דגם הגר״א לא פשיט״ל כד׳ הרשב״א …</w:t>
            </w:r>
          </w:p>
        </w:tc>
      </w:tr>
      <w:tr>
        <w:tc>
          <w:tcPr>
            <w:tcW w:type="dxa" w:w="850"/>
          </w:tcPr>
          <w:p>
            <w:pPr>
              <w:bidi/>
              <w:jc w:val="right"/>
            </w:pPr>
            <w:r/>
            <w:r>
              <w:rPr>
                <w:rFonts w:ascii="David" w:hAnsi="David" w:cs="David"/>
                <w:b w:val="0"/>
                <w:sz w:val="20"/>
                <w:rtl/>
              </w:rPr>
              <w:t>325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דדנו בתיבה מצד סברות אחרות ואח״כ ??? ואם כהרדב״ז בל״ה מצטרף משום דרגלי …</w:t>
            </w:r>
          </w:p>
        </w:tc>
      </w:tr>
      <w:tr>
        <w:tc>
          <w:tcPr>
            <w:tcW w:type="dxa" w:w="850"/>
          </w:tcPr>
          <w:p>
            <w:pPr>
              <w:bidi/>
              <w:jc w:val="right"/>
            </w:pPr>
            <w:r/>
            <w:r>
              <w:rPr>
                <w:rFonts w:ascii="David" w:hAnsi="David" w:cs="David"/>
                <w:b w:val="0"/>
                <w:sz w:val="20"/>
                <w:rtl/>
              </w:rPr>
              <w:t>325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בכמה דברים, בעושים בימה גבוהה ??? מחיצות ולכאורה הרי בעי׳ קריאה״ת …</w:t>
            </w:r>
          </w:p>
        </w:tc>
      </w:tr>
      <w:tr>
        <w:tc>
          <w:tcPr>
            <w:tcW w:type="dxa" w:w="850"/>
          </w:tcPr>
          <w:p>
            <w:pPr>
              <w:bidi/>
              <w:jc w:val="right"/>
            </w:pPr>
            <w:r/>
            <w:r>
              <w:rPr>
                <w:rFonts w:ascii="David" w:hAnsi="David" w:cs="David"/>
                <w:b w:val="0"/>
                <w:sz w:val="20"/>
                <w:rtl/>
              </w:rPr>
              <w:t>325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להצטרף ל״י ו???? דצ״ב דברדב״ז מבואר דהיינו אף …</w:t>
            </w:r>
          </w:p>
        </w:tc>
      </w:tr>
      <w:tr>
        <w:tc>
          <w:tcPr>
            <w:tcW w:type="dxa" w:w="850"/>
          </w:tcPr>
          <w:p>
            <w:pPr>
              <w:bidi/>
              <w:jc w:val="right"/>
            </w:pPr>
            <w:r/>
            <w:r>
              <w:rPr>
                <w:rFonts w:ascii="David" w:hAnsi="David" w:cs="David"/>
                <w:b w:val="0"/>
                <w:sz w:val="20"/>
                <w:rtl/>
              </w:rPr>
              <w:t>325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וא״כ למש״כ הרשב״א שפיר מצטרפים, [ואומנם בספר משברי ים תפילה סי׳ ל״ח …</w:t>
            </w:r>
          </w:p>
        </w:tc>
      </w:tr>
      <w:tr>
        <w:tc>
          <w:tcPr>
            <w:tcW w:type="dxa" w:w="850"/>
          </w:tcPr>
          <w:p>
            <w:pPr>
              <w:bidi/>
              <w:jc w:val="right"/>
            </w:pPr>
            <w:r/>
            <w:r>
              <w:rPr>
                <w:rFonts w:ascii="David" w:hAnsi="David" w:cs="David"/>
                <w:b w:val="0"/>
                <w:sz w:val="20"/>
                <w:rtl/>
              </w:rPr>
              <w:t>325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זהו להרשב״א אבל הגר״א הא פליג ע״ז [והנה גם הסמ״ק פליג אך לכאורה בכה״ג …</w:t>
            </w:r>
          </w:p>
        </w:tc>
      </w:tr>
      <w:tr>
        <w:tc>
          <w:tcPr>
            <w:tcW w:type="dxa" w:w="850"/>
          </w:tcPr>
          <w:p>
            <w:pPr>
              <w:bidi/>
              <w:jc w:val="right"/>
            </w:pPr>
            <w:r/>
            <w:r>
              <w:rPr>
                <w:rFonts w:ascii="David" w:hAnsi="David" w:cs="David"/>
                <w:b w:val="0"/>
                <w:sz w:val="20"/>
                <w:rtl/>
              </w:rPr>
              <w:t>331</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שמבואר בברכות כא: ומגילה כג.] וממילא צריך שיהיו דוקא י׳ גדולים …</w:t>
            </w:r>
          </w:p>
        </w:tc>
      </w:tr>
      <w:tr>
        <w:tc>
          <w:tcPr>
            <w:tcW w:type="dxa" w:w="850"/>
          </w:tcPr>
          <w:p>
            <w:pPr>
              <w:bidi/>
              <w:jc w:val="right"/>
            </w:pPr>
            <w:r/>
            <w:r>
              <w:rPr>
                <w:rFonts w:ascii="David" w:hAnsi="David" w:cs="David"/>
                <w:b w:val="0"/>
                <w:sz w:val="20"/>
                <w:rtl/>
              </w:rPr>
              <w:t>331</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וכוונתו שכן מבואר שם ברמ״א סעיף א.] אין לומר אשרי שקודם מנחה אלא כשיש …</w:t>
            </w:r>
          </w:p>
        </w:tc>
      </w:tr>
      <w:tr>
        <w:tc>
          <w:tcPr>
            <w:tcW w:type="dxa" w:w="850"/>
          </w:tcPr>
          <w:p>
            <w:pPr>
              <w:bidi/>
              <w:jc w:val="right"/>
            </w:pPr>
            <w:r/>
            <w:r>
              <w:rPr>
                <w:rFonts w:ascii="David" w:hAnsi="David" w:cs="David"/>
                <w:b w:val="0"/>
                <w:sz w:val="20"/>
                <w:rtl/>
              </w:rPr>
              <w:t>331</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וכך הוא נמי הסכת המגר״א רלד.ה]</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מקשה התוס לקמן (דף י:) הלכה כרבי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יש לעיין בדברי התוס׳ שלכאו׳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אומנם דבריו מוקשים ביותר שזה דוחק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כתב הרא״ש (סימן י׳) וא״ת והוא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(ב״י סימן נח). והב״ח שם פר״ח נח.א (מאמר מרדכי סימן נח סק״ב ועוד.]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(מאמר מרדכי סימן נח סק״ב ועוד.] בדבריו כמו שהתבאר נמי בדברי הרי״ף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צ״ב מה המקור לדברי הרמב״ם והנה יש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צ״ע כיצד יש לפרש דברי הגמ׳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ומיהו בהלכות תפילה (פ״ג ה״א)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והנה בעיקר דברי הרמב״ם התבאר שאנו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ובאמת נראה שגם בפירוש המשנוית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זאת ועוד שלא נראה מלישנא דגמ׳ שיש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ומאידך אנו מוצאים שהרמב״ם בתשובה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ועוד צ״ב מדוע לא הביא כמו הרי״ף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יש לעיין לשיטת הרי״ף והרמב״ם שזה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ולהכי לא פריך ליה גבי ק״ש שהיה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והנה תמוה מאוד מה היכי תימצה מעלה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והטעם מבואר ברע״א (פ״ג מ״ה) וז״ל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ויש לעיין בדבריו אם יש קפידא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צ״ע דבגמ׳ (ברכות דף כב:) ירד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אמנם יש להקשות מדאיתא בשנות אליהו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הערה בשנות אליהו במשניות ד״ה עד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עוד קשה ביאור הגר״א על שו״ע (סי׳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וכן קשה על משנ״ב (סי׳ נ״ח ס״ק ג׳)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כדי לקיים ק״ש במצווה מן המובחר] וכדי להספיק אותו מניין שמתפללים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זירא בהידור מצווה עד שליש במצווה [שאם מוצא ב׳ ספרי תורות לקנות ואחד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להראות???? של ספר תורה ותפארת בעלה].</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כדי להראות חזותו לרבים רש״י להראות???? של ספר תורה ותפארת בעלה].</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עיין בתוס׳ (ד״ה ׳לק״ש׳) דס״ל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יש לעיין בדברי התוס׳ הכא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ועיין במאמר מרדכי (סי׳ נח סק״ב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והנה לעיל הבאנו דברי הרא״ש (סימן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והנה מדבריו נראה דאביי דפסק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ונראה דדין זה תלוי בביאור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ועי׳ ברי״ף (דף ד: - ה.) וז״ל: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כתב הרמב״ם (פ״א מהל׳ קר״ש הי״א)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ובאמת צ״ב בשיטת הרמב״ם מה מקור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אלא דהאמת דגם ברמב״ם גופא אינו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יא]. והנה לשון הרמב״ם מבואר דמה שאפשר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יב]. יל״ד לדעת הרמב״ם והרי״ף דעיקר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יג]. עיין בתוס׳ ביומא (דף לז: ד״ה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יד]. בתוס׳ ביומא (שם) הביאו עוד שיטה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טו]. כתב הרבנו יונה (ד: ד״ה ׳תניא׳)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והנה יש לעיין בפי׳ הרב״י דהרי אם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יז]. פסק השו״ע (סימן נח סעיף א) ״זמן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יח]. ועי׳ ברכי יוסף (ס״ק ב) שהקשה במה …</w:t>
            </w:r>
          </w:p>
        </w:tc>
      </w:tr>
      <w:tr>
        <w:tc>
          <w:tcPr>
            <w:tcW w:type="dxa" w:w="850"/>
          </w:tcPr>
          <w:p>
            <w:pPr>
              <w:bidi/>
              <w:jc w:val="right"/>
            </w:pPr>
            <w:r/>
            <w:r>
              <w:rPr>
                <w:rFonts w:ascii="David" w:hAnsi="David" w:cs="David"/>
                <w:b w:val="0"/>
                <w:sz w:val="20"/>
                <w:rtl/>
              </w:rPr>
              <w:t>356</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יט]. כתב במעשה רב (סימן כה) ״להתפלל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ש״צ מילה במילה כל הברכה וחתימתה ??? אמן להם לענות אמן דא״כ המ״ל עונה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היה נוהג אבל שאר אדם רשאי מיעבד ??? אם למהר ולענות אמן הרשות בידו ואם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ברוך אתה ה׳ שבאמצע ברכת ברוך שאמר ??? אז הוי רק שבחא בעלמא.</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באמצע ברכת ישתבח שאינו כשאר ??? לעיל בברכה של ״ברוך שאמר״ וכו׳ …</w:t>
            </w:r>
          </w:p>
        </w:tc>
      </w:tr>
      <w:tr>
        <w:tc>
          <w:tcPr>
            <w:tcW w:type="dxa" w:w="850"/>
          </w:tcPr>
          <w:p>
            <w:pPr>
              <w:bidi/>
              <w:jc w:val="right"/>
            </w:pPr>
            <w:r/>
            <w:r>
              <w:rPr>
                <w:rFonts w:ascii="David" w:hAnsi="David" w:cs="David"/>
                <w:b w:val="0"/>
                <w:sz w:val="20"/>
                <w:rtl/>
              </w:rPr>
              <w:t>380</w:t>
            </w:r>
          </w:p>
        </w:tc>
        <w:tc>
          <w:tcPr>
            <w:tcW w:type="dxa" w:w="2835"/>
          </w:tcPr>
          <w:p>
            <w:pPr>
              <w:bidi/>
              <w:jc w:val="right"/>
            </w:pPr>
            <w:r/>
            <w:r>
              <w:rPr>
                <w:rFonts w:ascii="David" w:hAnsi="David" w:cs="David"/>
                <w:b w:val="0"/>
                <w:sz w:val="20"/>
                <w:rtl/>
              </w:rPr>
              <w:t>בענין סוף זמן בק״ש</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דהב״י שמה הביא שהרי״ף והרא״ש א׳ ???? דליתא לדר׳ היכא דטעי והתפלל עד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כ׳ הטור בסי׳ רי״ג אין המברך מוציא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והקשה הפרישה דבסי׳ קצ״ג ס״א הביא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והנה יל״ד מה כוונת הסמ״ג דבעי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יש לתמוה בהבנה זו דמה שייך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עכ״פ אם כוונת הסמ״ג הוא רק דבעי׳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אשר נת׳ לעת עתה לכאו׳ הוא דלמ״ד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בב״י סי׳ תפ״ט הביא מתשו׳ הרשב״א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ונראה להתבונן מעט במקור הסוג׳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ובהמשך הסוג׳ התם, איתא, א״ל ר׳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והנה הרי״ף הביא בהלכותיו הא דר״ז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יא) מבו׳ דיש ראשונים שנקטו בדעת ר׳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יב) והנה מבו׳ בגמ׳ דאם סבור דחמור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יג) אשר לפי הנ״ל י״ל ג״כ בשומע דאם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יד) ונסכם הדברים שעד עתה נת׳ דיש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טו) והבעה״מ פליג על דעה זו וס״ל דודאי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לרבים מהראשונים] והוכיח זה מתרתי א] אם מצוות אי״צ כוונה לא יתכן דבעי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טז) עלה בידינו א] הא פשיטא דלמ״ד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עלה בידינו א] הא פשיטא דלמ״ד מצוות צריכות כוונה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יז) ומעתה נחזור לנידון השומע ברכה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יח) והנה באות א-ז הובא מהפוסקים דחששו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יט) ובאות א-י הובאו ד׳ הטור והב״י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 הנה נתבאר באר היטב מחלוקת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כא) ובחזו״א הוכיח כצד ב׳ (וביאר זה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כב) ומעתה נבוא לבי׳ השיטות, המהלך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כג) ולמהלך דהסוג׳ אזיל כמ״ד מצוות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כד) ויש לציין דבמלחמות מבו׳ צד נוסף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כה) והנה נת׳ דיסוד הנידון דבכאן הוא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באבן האזל פ״ב מהלכות שופר ה״ד) שעמד בזה ומאחר שלא הבנתי כ״כ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כו) וכעת נבוא לדון במשנ״ת לעיל בדין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ובכ״ז בשאר פרשיות יצא, וצ״ע בזה.)</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כח) אחר דנת׳ אם המשמיע בעי כוונה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כט) כתב הב״י סי׳ ו׳ בשם האגור וז״ל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 כתב הר״ן (ר״ה כט.) בשם הרבינו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לא) ובסברת הדבר דבמכוון שלא לצאת לא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לב) והנה דין זה דבדעתו שלא לצאת נפסק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לג) וילה״ק על יסוד זה דהיכא דמוכח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לד) והנה לפי״ד המ״ב היה מקום להקל …</w:t>
            </w:r>
          </w:p>
        </w:tc>
      </w:tr>
      <w:tr>
        <w:tc>
          <w:tcPr>
            <w:tcW w:type="dxa" w:w="850"/>
          </w:tcPr>
          <w:p>
            <w:pPr>
              <w:bidi/>
              <w:jc w:val="right"/>
            </w:pPr>
            <w:r/>
            <w:r>
              <w:rPr>
                <w:rFonts w:ascii="David" w:hAnsi="David" w:cs="David"/>
                <w:b w:val="0"/>
                <w:sz w:val="20"/>
                <w:rtl/>
              </w:rPr>
              <w:t>411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שכבר יצא יד״ח וכן בברכת הנהנין א) עיקר הדין קיי״ל דמצוות צריכות …</w:t>
            </w:r>
          </w:p>
        </w:tc>
      </w:tr>
      <w:tr>
        <w:tc>
          <w:tcPr>
            <w:tcW w:type="dxa" w:w="850"/>
          </w:tcPr>
          <w:p>
            <w:pPr>
              <w:bidi/>
              <w:jc w:val="right"/>
            </w:pPr>
            <w:r/>
            <w:r>
              <w:rPr>
                <w:rFonts w:ascii="David" w:hAnsi="David" w:cs="David"/>
                <w:b w:val="0"/>
                <w:sz w:val="20"/>
                <w:rtl/>
              </w:rPr>
              <w:t>424</w:t>
            </w:r>
          </w:p>
        </w:tc>
        <w:tc>
          <w:tcPr>
            <w:tcW w:type="dxa" w:w="2835"/>
          </w:tcPr>
          <w:p>
            <w:pPr>
              <w:bidi/>
              <w:jc w:val="right"/>
            </w:pPr>
            <w:r/>
            <w:r>
              <w:rPr>
                <w:rFonts w:ascii="David" w:hAnsi="David" w:cs="David"/>
                <w:b w:val="0"/>
                <w:sz w:val="20"/>
                <w:rtl/>
              </w:rPr>
              <w:t>אם בעת עשיית המצוה מכוון בעיקר לדבר אחר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למימר דכוונתו לשניהם בשווה. עי״ש].</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ושורש הסוגיה מבואר בר״ה כח. כט.] ששם בעיקר אנו מוצאים מח׳ יסודית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לגופה כמבואר בגמ׳ בשבת כט: ועוד.] שנח׳ שם ר״י ור״ש גבי הדין של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שאיתא בדברי חז״ל באיזהו מקומן [שבת [לג:] ירושלמי שביעית [ט.א]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שהוא כלל לא שיבח את מעשיהם הללו [ועיין נמי עוד בענין זה בע״ז [ג:]</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סימן ט. להרב אברהם יהודה שווארץ] שאכן למא״ד מצות אי״צ כוונה אנו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הרשב״א ברוכת יג: ד״ה שמע.] שהוא נמי עמד על עיקר הדבר בביאור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שלום ברכת יג.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שאז אכן מודה הרמב״ם שצריך כוונה. [ובעיקר מה שיש לדון בדבריו של הר״ן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אי״צ כוונה וכמו שכתב בברכות יג.] ובר״ה כח.] שלהלכה מצות אי״צ כוונה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שאנו מוצאים במשנה במגילה יח.] ונפסק ברמב״ם מגילה [פרק ב. ה.]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שלון ברכת יג.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הרשב״ם בסויגה בפסחים שם קיד:] וז״ל מצוה להביא כרפס כלומר מצוה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לכאו׳ מתבאר מדברי ה״ר יונה [בסדר ליל פסח הנד״מ במכון אופק</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כך ממה שמבואר גבי ספירת העומר [שפסק השו״ע [תפט.ד.] מי ששואל אותו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והרי השו״ע עצמו [ס.ד] תקפט. יא.] פסק שמצות צריכות כוונה ולמה הכא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האבנ״ז בתושבה או״ח סימן ס.] וכ״כ להעיר נמי הגאון בעל הפני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שם בתוס׳ בזבחים ב: ד״ה קיימי בי״ד] רק יעשה העבודה ולא יחשוב כלל ואני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אחריני היא בפסחים קיד: ובר״ה כח:] אלא בין לרב ובין לר׳ יוחנן בלצאת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קשורים שהרי מתבאר בסוגיה בר״ה שם] שאנו אומרים שאף למא״ד מצות אי״צ …</w:t>
            </w:r>
          </w:p>
        </w:tc>
      </w:tr>
      <w:tr>
        <w:tc>
          <w:tcPr>
            <w:tcW w:type="dxa" w:w="850"/>
          </w:tcPr>
          <w:p>
            <w:pPr>
              <w:bidi/>
              <w:jc w:val="right"/>
            </w:pPr>
            <w:r/>
            <w:r>
              <w:rPr>
                <w:rFonts w:ascii="David" w:hAnsi="David" w:cs="David"/>
                <w:b w:val="0"/>
                <w:sz w:val="20"/>
                <w:rtl/>
              </w:rPr>
              <w:t>428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התוס׳ בשבת קיא: ד״ה טובלין כדרכן] שאנו דנים שגם למא״ד טבילה בזמנה …</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482</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מבואר במשנה ר״פ היה קורא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כתב הרמב״ם בספר המצוות (מצוות עשה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בגמ׳ ברכות יג: איתא דר׳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ולשון החינוך (מצוה ת״כ) כלומר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ברמב״ן על הפסוק אנכי ה׳ אלקיך אשר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כתב הרמ״א (סי׳ ס״א סי״ד) ויש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והנה פי׳ השם דאלוקינו יל״ע בו,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והנה לא נתבאר בדבריהם מהו אלוקינו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סיכום, נקט ג׳ מהלכים בראשונים מהו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לעבדו ולהרמב״ן כלול זה באלוקינו. ו??? דיל״ד בכוונת העל הכל שנפסק ברמ״א …</w:t>
            </w:r>
          </w:p>
        </w:tc>
      </w:tr>
      <w:tr>
        <w:tc>
          <w:tcPr>
            <w:tcW w:type="dxa" w:w="850"/>
          </w:tcPr>
          <w:p>
            <w:pPr>
              <w:bidi/>
              <w:jc w:val="right"/>
            </w:pPr>
            <w:r/>
            <w:r>
              <w:rPr>
                <w:rFonts w:ascii="David" w:hAnsi="David" w:cs="David"/>
                <w:b w:val="0"/>
                <w:sz w:val="20"/>
                <w:rtl/>
              </w:rPr>
              <w:t>492</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יש להעיר הערה נוספת דבסעי׳ י״ד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בענין הזה של קר״ש אנו מוצאים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בעיקר הענין של להשלים לרמ״ח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ב או״ח טו.]</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בספרו אמת ליעקב שפת אמת שאלה נב.] ששם הוא נמי הביא את המקור הזה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לא.] וכן נזכר בשערי תשובה כאן] בן איש חי [ש״א וארא א.]</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וז״ל שו״ת מהרלב״ח סימן עג.] וז״ל</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דעת הב״ח וכן הוא בדברי הט״ז ס״ק ג.] וכן הפר״ח כו שציין כדברי הירושלמי …</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שמבואר בירושלמי דף על הדף שם.]</w:t>
            </w:r>
          </w:p>
        </w:tc>
      </w:tr>
      <w:tr>
        <w:tc>
          <w:tcPr>
            <w:tcW w:type="dxa" w:w="850"/>
          </w:tcPr>
          <w:p>
            <w:pPr>
              <w:bidi/>
              <w:jc w:val="right"/>
            </w:pPr>
            <w:r/>
            <w:r>
              <w:rPr>
                <w:rFonts w:ascii="David" w:hAnsi="David" w:cs="David"/>
                <w:b w:val="0"/>
                <w:sz w:val="20"/>
                <w:rtl/>
              </w:rPr>
              <w:t>500</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לו) והחי יתן אל לבו אם במלאכי השרת …</w:t>
            </w:r>
          </w:p>
        </w:tc>
      </w:tr>
      <w:tr>
        <w:tc>
          <w:tcPr>
            <w:tcW w:type="dxa" w:w="850"/>
          </w:tcPr>
          <w:p>
            <w:pPr>
              <w:bidi/>
              <w:jc w:val="right"/>
            </w:pPr>
            <w:r/>
            <w:r>
              <w:rPr>
                <w:rFonts w:ascii="David" w:hAnsi="David" w:cs="David"/>
                <w:b w:val="0"/>
                <w:sz w:val="20"/>
                <w:rtl/>
              </w:rPr>
              <w:t>512</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512</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512</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512</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522</w:t>
            </w:r>
          </w:p>
        </w:tc>
        <w:tc>
          <w:tcPr>
            <w:tcW w:type="dxa" w:w="2835"/>
          </w:tcPr>
          <w:p>
            <w:pPr>
              <w:bidi/>
              <w:jc w:val="right"/>
            </w:pPr>
            <w:r/>
            <w:r>
              <w:rPr>
                <w:rFonts w:ascii="David" w:hAnsi="David" w:cs="David"/>
                <w:b w:val="0"/>
                <w:sz w:val="20"/>
                <w:rtl/>
              </w:rPr>
              <w:t>דקדוק באותיותיה מהו</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רבי ישמעאל ברבי יוסי בשם אביו]. ועוד דאף רבי יהודה לא פליג אדרבי …</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r>
        <w:tc>
          <w:tcPr>
            <w:tcW w:type="dxa" w:w="850"/>
          </w:tcPr>
          <w:p>
            <w:pPr>
              <w:bidi/>
              <w:jc w:val="right"/>
            </w:pPr>
            <w:r/>
            <w:r>
              <w:rPr>
                <w:rFonts w:ascii="David" w:hAnsi="David" w:cs="David"/>
                <w:b w:val="0"/>
                <w:sz w:val="20"/>
                <w:rtl/>
              </w:rPr>
              <w:t>559</w:t>
            </w:r>
          </w:p>
        </w:tc>
        <w:tc>
          <w:tcPr>
            <w:tcW w:type="dxa" w:w="2835"/>
          </w:tcPr>
          <w:p>
            <w:pPr>
              <w:bidi/>
              <w:jc w:val="right"/>
            </w:pPr>
            <w:r/>
            <w:r>
              <w:rPr>
                <w:rFonts w:ascii="David" w:hAnsi="David" w:cs="David"/>
                <w:b w:val="0"/>
                <w:sz w:val="20"/>
                <w:rtl/>
              </w:rPr>
              <w:t>העוסק במלאכה או בשאר דברים האם צריך לפסוק לקריאת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במצוה הוא דנימא יפטר מן המצוה. [בשלמא לעיל, סבר רבא להוכיח דממתני׳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