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David" w:hAnsi="David"/>
          <w:b/>
          <w:sz w:val="36"/>
          <w:rtl/>
        </w:rPr>
        <w:t>הערות על הטקסט המקורי</w:t>
      </w:r>
    </w:p>
    <w:p>
      <w:pPr>
        <w:bidi/>
        <w:jc w:val="right"/>
      </w:pPr>
      <w:r>
        <w:rPr>
          <w:rFonts w:ascii="David" w:hAnsi="David"/>
          <w:sz w:val="22"/>
          <w:rtl/>
        </w:rPr>
        <w:t>בקריאה המלאה של החוברת נמצאו מקומות שבהם הטקסט עצמו אינו תקין, כגון סוגריים שנפתחו ולא נסגרו. רווחים שהוקלדו לפני סימני פיסוק תוקנו בחוברת. סוגריים לא מאוזנים לא תוקנו (להתעלם בשלב זה) ולא שיניתי תוכן. מי שרוצה יתקן במקור וישלח שוב, והחוברת תיבנה מחדש. מספרי העמודים הם לפי מספור החוברת.</w:t>
      </w:r>
    </w:p>
    <w:tbl>
      <w:tblPr>
        <w:tblStyle w:val="TableGrid"/>
        <w:tblW w:type="auto" w:w="0"/>
        <w:tblLook w:firstColumn="1" w:firstRow="1" w:lastColumn="0" w:lastRow="0" w:noHBand="0" w:noVBand="1" w:val="04A0"/>
        <w:bidiVisual/>
      </w:tblPr>
      <w:tblGrid>
        <w:gridCol w:w="2550"/>
        <w:gridCol w:w="2550"/>
        <w:gridCol w:w="2550"/>
        <w:gridCol w:w="2550"/>
      </w:tblGrid>
      <w:tr>
        <w:tc>
          <w:tcPr>
            <w:tcW w:type="dxa" w:w="850"/>
          </w:tcPr>
          <w:p>
            <w:pPr>
              <w:bidi/>
              <w:jc w:val="right"/>
            </w:pPr>
            <w:r/>
            <w:r>
              <w:rPr>
                <w:rFonts w:ascii="David" w:hAnsi="David" w:cs="David"/>
                <w:b/>
                <w:sz w:val="20"/>
                <w:rtl/>
              </w:rPr>
              <w:t>עמוד</w:t>
            </w:r>
          </w:p>
        </w:tc>
        <w:tc>
          <w:tcPr>
            <w:tcW w:type="dxa" w:w="2835"/>
          </w:tcPr>
          <w:p>
            <w:pPr>
              <w:bidi/>
              <w:jc w:val="right"/>
            </w:pPr>
            <w:r/>
            <w:r>
              <w:rPr>
                <w:rFonts w:ascii="David" w:hAnsi="David" w:cs="David"/>
                <w:b/>
                <w:sz w:val="20"/>
                <w:rtl/>
              </w:rPr>
              <w:t>מאמר</w:t>
            </w:r>
          </w:p>
        </w:tc>
        <w:tc>
          <w:tcPr>
            <w:tcW w:type="dxa" w:w="2268"/>
          </w:tcPr>
          <w:p>
            <w:pPr>
              <w:bidi/>
              <w:jc w:val="right"/>
            </w:pPr>
            <w:r/>
            <w:r>
              <w:rPr>
                <w:rFonts w:ascii="David" w:hAnsi="David" w:cs="David"/>
                <w:b/>
                <w:sz w:val="20"/>
                <w:rtl/>
              </w:rPr>
              <w:t>סוג</w:t>
            </w:r>
          </w:p>
        </w:tc>
        <w:tc>
          <w:tcPr>
            <w:tcW w:type="dxa" w:w="3798"/>
          </w:tcPr>
          <w:p>
            <w:pPr>
              <w:bidi/>
              <w:jc w:val="right"/>
            </w:pPr>
            <w:r/>
            <w:r>
              <w:rPr>
                <w:rFonts w:ascii="David" w:hAnsi="David" w:cs="David"/>
                <w:b/>
                <w:sz w:val="20"/>
                <w:rtl/>
              </w:rPr>
              <w:t>קטע</w:t>
            </w:r>
          </w:p>
        </w:tc>
      </w:tr>
      <w:tr>
        <w:tc>
          <w:tcPr>
            <w:tcW w:type="dxa" w:w="850"/>
          </w:tcPr>
          <w:p>
            <w:pPr>
              <w:bidi/>
              <w:jc w:val="right"/>
            </w:pPr>
            <w:r/>
            <w:r>
              <w:rPr>
                <w:rFonts w:ascii="David" w:hAnsi="David" w:cs="David"/>
                <w:b w:val="0"/>
                <w:sz w:val="20"/>
                <w:rtl/>
              </w:rPr>
              <w:t>5</w:t>
            </w:r>
          </w:p>
        </w:tc>
        <w:tc>
          <w:tcPr>
            <w:tcW w:type="dxa" w:w="2835"/>
          </w:tcPr>
          <w:p>
            <w:pPr>
              <w:bidi/>
              <w:jc w:val="right"/>
            </w:pPr>
            <w:r/>
            <w:r>
              <w:rPr>
                <w:rFonts w:ascii="David" w:hAnsi="David" w:cs="David"/>
                <w:b w:val="0"/>
                <w:sz w:val="20"/>
                <w:rtl/>
              </w:rPr>
              <w:t>החובה להתאמץ בדור אחרון</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אדם להגיע ליראת שמים כזאת ולכך (???) לחדש לנו שהדרך המועלת והנכונה …</w:t>
            </w:r>
          </w:p>
        </w:tc>
      </w:tr>
      <w:tr>
        <w:tc>
          <w:tcPr>
            <w:tcW w:type="dxa" w:w="850"/>
          </w:tcPr>
          <w:p>
            <w:pPr>
              <w:bidi/>
              <w:jc w:val="right"/>
            </w:pPr>
            <w:r/>
            <w:r>
              <w:rPr>
                <w:rFonts w:ascii="David" w:hAnsi="David" w:cs="David"/>
                <w:b w:val="0"/>
                <w:sz w:val="20"/>
                <w:rtl/>
              </w:rPr>
              <w:t>13</w:t>
            </w:r>
          </w:p>
        </w:tc>
        <w:tc>
          <w:tcPr>
            <w:tcW w:type="dxa" w:w="2835"/>
          </w:tcPr>
          <w:p>
            <w:pPr>
              <w:bidi/>
              <w:jc w:val="right"/>
            </w:pPr>
            <w:r/>
            <w:r>
              <w:rPr>
                <w:rFonts w:ascii="David" w:hAnsi="David" w:cs="David"/>
                <w:b w:val="0"/>
                <w:sz w:val="20"/>
                <w:rtl/>
              </w:rPr>
              <w:t>הלכות נטילת ידיים שחרית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[לכאורה לטעם הראשון של רש״י זה …</w:t>
            </w:r>
          </w:p>
        </w:tc>
      </w:tr>
      <w:tr>
        <w:tc>
          <w:tcPr>
            <w:tcW w:type="dxa" w:w="850"/>
          </w:tcPr>
          <w:p>
            <w:pPr>
              <w:bidi/>
              <w:jc w:val="right"/>
            </w:pPr>
            <w:r/>
            <w:r>
              <w:rPr>
                <w:rFonts w:ascii="David" w:hAnsi="David" w:cs="David"/>
                <w:b w:val="0"/>
                <w:sz w:val="20"/>
                <w:rtl/>
              </w:rPr>
              <w:t>42</w:t>
            </w:r>
          </w:p>
        </w:tc>
        <w:tc>
          <w:tcPr>
            <w:tcW w:type="dxa" w:w="2835"/>
          </w:tcPr>
          <w:p>
            <w:pPr>
              <w:bidi/>
              <w:jc w:val="right"/>
            </w:pPr>
            <w:r/>
            <w:r>
              <w:rPr>
                <w:rFonts w:ascii="David" w:hAnsi="David" w:cs="David"/>
                <w:b w:val="0"/>
                <w:sz w:val="20"/>
                <w:rtl/>
              </w:rPr>
              <w:t>בענין נטילת ידיים של שחרית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יש שלהחמיר רק ברפש ולא בטיט (ונראה משום שרפש זה לכלוך שיש בו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דין כוונת הברכות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ובאלוקים שהוא בעל הכוחות כולם. [המצוה השישית ולא תתורו. וכתב שם …</w:t>
            </w:r>
          </w:p>
        </w:tc>
      </w:tr>
      <w:tr>
        <w:tc>
          <w:tcPr>
            <w:tcW w:type="dxa" w:w="850"/>
          </w:tcPr>
          <w:p>
            <w:pPr>
              <w:bidi/>
              <w:jc w:val="right"/>
            </w:pPr>
            <w:r/>
            <w:r>
              <w:rPr>
                <w:rFonts w:ascii="David" w:hAnsi="David" w:cs="David"/>
                <w:b w:val="0"/>
                <w:sz w:val="20"/>
                <w:rtl/>
              </w:rPr>
              <w:t>90</w:t>
            </w:r>
          </w:p>
        </w:tc>
        <w:tc>
          <w:tcPr>
            <w:tcW w:type="dxa" w:w="2835"/>
          </w:tcPr>
          <w:p>
            <w:pPr>
              <w:bidi/>
              <w:jc w:val="right"/>
            </w:pPr>
            <w:r/>
            <w:r>
              <w:rPr>
                <w:rFonts w:ascii="David" w:hAnsi="David" w:cs="David"/>
                <w:b w:val="0"/>
                <w:sz w:val="20"/>
                <w:rtl/>
              </w:rPr>
              <w:t>פירוש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בו הקב״ה טוב המאכל ודוחה הפסולת׳. [כלומר, בהוצאתו שהיא רפואה לכל בשרי …</w:t>
            </w:r>
          </w:p>
        </w:tc>
      </w:tr>
      <w:tr>
        <w:tc>
          <w:tcPr>
            <w:tcW w:type="dxa" w:w="850"/>
          </w:tcPr>
          <w:p>
            <w:pPr>
              <w:bidi/>
              <w:jc w:val="right"/>
            </w:pPr>
            <w:r/>
            <w:r>
              <w:rPr>
                <w:rFonts w:ascii="David" w:hAnsi="David" w:cs="David"/>
                <w:b w:val="0"/>
                <w:sz w:val="20"/>
                <w:rtl/>
              </w:rPr>
              <w:t>102</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הקימה ואכן כך פסק השו״ע בסימן ד.א] ועוד הוסיף לדייק בלשונו בריש סימן …</w:t>
            </w:r>
          </w:p>
        </w:tc>
      </w:tr>
      <w:tr>
        <w:tc>
          <w:tcPr>
            <w:tcW w:type="dxa" w:w="850"/>
          </w:tcPr>
          <w:p>
            <w:pPr>
              <w:bidi/>
              <w:jc w:val="right"/>
            </w:pPr>
            <w:r/>
            <w:r>
              <w:rPr>
                <w:rFonts w:ascii="David" w:hAnsi="David" w:cs="David"/>
                <w:b w:val="0"/>
                <w:sz w:val="20"/>
                <w:rtl/>
              </w:rPr>
              <w:t>102</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איתא בגמ׳ בברכות [מו.] ופסחים קד:] כל הברכות כולן פותח בהן בברוך …</w:t>
            </w:r>
          </w:p>
        </w:tc>
      </w:tr>
      <w:tr>
        <w:tc>
          <w:tcPr>
            <w:tcW w:type="dxa" w:w="850"/>
          </w:tcPr>
          <w:p>
            <w:pPr>
              <w:bidi/>
              <w:jc w:val="right"/>
            </w:pPr>
            <w:r/>
            <w:r>
              <w:rPr>
                <w:rFonts w:ascii="David" w:hAnsi="David" w:cs="David"/>
                <w:b w:val="0"/>
                <w:sz w:val="20"/>
                <w:rtl/>
              </w:rPr>
              <w:t>102</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התוס׳ הרא״ש בברכות.] ותוס׳ רבי יהודה החסיד [שם.] …</w:t>
            </w:r>
          </w:p>
        </w:tc>
      </w:tr>
      <w:tr>
        <w:tc>
          <w:tcPr>
            <w:tcW w:type="dxa" w:w="850"/>
          </w:tcPr>
          <w:p>
            <w:pPr>
              <w:bidi/>
              <w:jc w:val="right"/>
            </w:pPr>
            <w:r/>
            <w:r>
              <w:rPr>
                <w:rFonts w:ascii="David" w:hAnsi="David" w:cs="David"/>
                <w:b w:val="0"/>
                <w:sz w:val="20"/>
                <w:rtl/>
              </w:rPr>
              <w:t>102</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שביאר הרמ״א דרכ״מ ריש סימן ו.] את הענין הנוסח של ברכת אשר יצר …</w:t>
            </w:r>
          </w:p>
        </w:tc>
      </w:tr>
      <w:tr>
        <w:tc>
          <w:tcPr>
            <w:tcW w:type="dxa" w:w="850"/>
          </w:tcPr>
          <w:p>
            <w:pPr>
              <w:bidi/>
              <w:jc w:val="right"/>
            </w:pPr>
            <w:r/>
            <w:r>
              <w:rPr>
                <w:rFonts w:ascii="David" w:hAnsi="David" w:cs="David"/>
                <w:b w:val="0"/>
                <w:sz w:val="20"/>
                <w:rtl/>
              </w:rPr>
              <w:t>102</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בעיקר הדבר אנו מוצאים שהמנחת שלמה [ב ד ס״ק כח. הסתפק בדבר הז הוביעקר …</w:t>
            </w:r>
          </w:p>
        </w:tc>
      </w:tr>
      <w:tr>
        <w:tc>
          <w:tcPr>
            <w:tcW w:type="dxa" w:w="850"/>
          </w:tcPr>
          <w:p>
            <w:pPr>
              <w:bidi/>
              <w:jc w:val="right"/>
            </w:pPr>
            <w:r/>
            <w:r>
              <w:rPr>
                <w:rFonts w:ascii="David" w:hAnsi="David" w:cs="David"/>
                <w:b w:val="0"/>
                <w:sz w:val="20"/>
                <w:rtl/>
              </w:rPr>
              <w:t>137</w:t>
            </w:r>
          </w:p>
        </w:tc>
        <w:tc>
          <w:tcPr>
            <w:tcW w:type="dxa" w:w="2835"/>
          </w:tcPr>
          <w:p>
            <w:pPr>
              <w:bidi/>
              <w:jc w:val="right"/>
            </w:pPr>
            <w:r/>
            <w:r>
              <w:rPr>
                <w:rFonts w:ascii="David" w:hAnsi="David" w:cs="David"/>
                <w:b w:val="0"/>
                <w:sz w:val="20"/>
                <w:rtl/>
              </w:rPr>
              <w:t>בדיני ברכת התורה והמקורות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״איזהו מקומן״ וברייתא דר׳ ישמעאל [טעם ברכת כהנים ואלו דברים שצריך …</w:t>
            </w:r>
          </w:p>
        </w:tc>
      </w:tr>
      <w:tr>
        <w:tc>
          <w:tcPr>
            <w:tcW w:type="dxa" w:w="850"/>
          </w:tcPr>
          <w:p>
            <w:pPr>
              <w:bidi/>
              <w:jc w:val="right"/>
            </w:pPr>
            <w:r/>
            <w:r>
              <w:rPr>
                <w:rFonts w:ascii="David" w:hAnsi="David" w:cs="David"/>
                <w:b w:val="0"/>
                <w:sz w:val="20"/>
                <w:rtl/>
              </w:rPr>
              <w:t>149</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(והמדקדק בדברי הגמ׳ ובדברי המפרש שם …</w:t>
            </w:r>
          </w:p>
        </w:tc>
      </w:tr>
      <w:tr>
        <w:tc>
          <w:tcPr>
            <w:tcW w:type="dxa" w:w="850"/>
          </w:tcPr>
          <w:p>
            <w:pPr>
              <w:bidi/>
              <w:jc w:val="right"/>
            </w:pPr>
            <w:r/>
            <w:r>
              <w:rPr>
                <w:rFonts w:ascii="David" w:hAnsi="David" w:cs="David"/>
                <w:b w:val="0"/>
                <w:sz w:val="20"/>
                <w:rtl/>
              </w:rPr>
              <w:t>149</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ת״ח שוב אין תורה פוסקת מזרעו לעולם).</w:t>
            </w:r>
          </w:p>
        </w:tc>
      </w:tr>
      <w:tr>
        <w:tc>
          <w:tcPr>
            <w:tcW w:type="dxa" w:w="850"/>
          </w:tcPr>
          <w:p>
            <w:pPr>
              <w:bidi/>
              <w:jc w:val="right"/>
            </w:pPr>
            <w:r/>
            <w:r>
              <w:rPr>
                <w:rFonts w:ascii="David" w:hAnsi="David" w:cs="David"/>
                <w:b w:val="0"/>
                <w:sz w:val="20"/>
                <w:rtl/>
              </w:rPr>
              <w:t>173</w:t>
            </w:r>
          </w:p>
        </w:tc>
        <w:tc>
          <w:tcPr>
            <w:tcW w:type="dxa" w:w="2835"/>
          </w:tcPr>
          <w:p>
            <w:pPr>
              <w:bidi/>
              <w:jc w:val="right"/>
            </w:pPr>
            <w:r/>
            <w:r>
              <w:rPr>
                <w:rFonts w:ascii="David" w:hAnsi="David" w:cs="David"/>
                <w:b w:val="0"/>
                <w:sz w:val="20"/>
                <w:rtl/>
              </w:rPr>
              <w:t>בביאור גדר ברכות התורה לגבי הפסק וחיוב נשים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איתא בגמ׳ (דף: ״אמר רב יהודא אמר שמואל השכים …</w:t>
            </w:r>
          </w:p>
        </w:tc>
      </w:tr>
      <w:tr>
        <w:tc>
          <w:tcPr>
            <w:tcW w:type="dxa" w:w="850"/>
          </w:tcPr>
          <w:p>
            <w:pPr>
              <w:bidi/>
              <w:jc w:val="right"/>
            </w:pPr>
            <w:r/>
            <w:r>
              <w:rPr>
                <w:rFonts w:ascii="David" w:hAnsi="David" w:cs="David"/>
                <w:b w:val="0"/>
                <w:sz w:val="20"/>
                <w:rtl/>
              </w:rPr>
              <w:t>185</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צדקך״ שביארו בירולשמי ברכות א.ה] שזה קאי על ז׳ הברכות שאנו אומרים …</w:t>
            </w:r>
          </w:p>
        </w:tc>
      </w:tr>
      <w:tr>
        <w:tc>
          <w:tcPr>
            <w:tcW w:type="dxa" w:w="850"/>
          </w:tcPr>
          <w:p>
            <w:pPr>
              <w:bidi/>
              <w:jc w:val="right"/>
            </w:pPr>
            <w:r/>
            <w:r>
              <w:rPr>
                <w:rFonts w:ascii="David" w:hAnsi="David" w:cs="David"/>
                <w:b w:val="0"/>
                <w:sz w:val="20"/>
                <w:rtl/>
              </w:rPr>
              <w:t>185</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מיוחד שהוי דבר שהנמה נהנית בו.] [עיין בחידושי ר׳ דוד שם וחידושי …</w:t>
            </w:r>
          </w:p>
        </w:tc>
      </w:tr>
      <w:tr>
        <w:tc>
          <w:tcPr>
            <w:tcW w:type="dxa" w:w="850"/>
          </w:tcPr>
          <w:p>
            <w:pPr>
              <w:bidi/>
              <w:jc w:val="right"/>
            </w:pPr>
            <w:r/>
            <w:r>
              <w:rPr>
                <w:rFonts w:ascii="David" w:hAnsi="David" w:cs="David"/>
                <w:b w:val="0"/>
                <w:sz w:val="20"/>
                <w:rtl/>
              </w:rPr>
              <w:t>185</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במשנה ברכות יג.] היה קורא בתורה והגיע זמן המקרא אם …</w:t>
            </w:r>
          </w:p>
        </w:tc>
      </w:tr>
      <w:tr>
        <w:tc>
          <w:tcPr>
            <w:tcW w:type="dxa" w:w="850"/>
          </w:tcPr>
          <w:p>
            <w:pPr>
              <w:bidi/>
              <w:jc w:val="right"/>
            </w:pPr>
            <w:r/>
            <w:r>
              <w:rPr>
                <w:rFonts w:ascii="David" w:hAnsi="David" w:cs="David"/>
                <w:b w:val="0"/>
                <w:sz w:val="20"/>
                <w:rtl/>
              </w:rPr>
              <w:t>190</w:t>
            </w:r>
          </w:p>
        </w:tc>
        <w:tc>
          <w:tcPr>
            <w:tcW w:type="dxa" w:w="2835"/>
          </w:tcPr>
          <w:p>
            <w:pPr>
              <w:bidi/>
              <w:jc w:val="right"/>
            </w:pPr>
            <w:r/>
            <w:r>
              <w:rPr>
                <w:rFonts w:ascii="David" w:hAnsi="David" w:cs="David"/>
                <w:b w:val="0"/>
                <w:sz w:val="20"/>
                <w:rtl/>
              </w:rPr>
              <w:t>גדר רואין זה את זה בצירוף עשרה למנין</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הנה מבואר בהגמ׳ (עירובין צ״ב(: דעשרה שרוצים להצטרף …</w:t>
            </w:r>
          </w:p>
        </w:tc>
      </w:tr>
      <w:tr>
        <w:tc>
          <w:tcPr>
            <w:tcW w:type="dxa" w:w="850"/>
          </w:tcPr>
          <w:p>
            <w:pPr>
              <w:bidi/>
              <w:jc w:val="right"/>
            </w:pPr>
            <w:r/>
            <w:r>
              <w:rPr>
                <w:rFonts w:ascii="David" w:hAnsi="David" w:cs="David"/>
                <w:b w:val="0"/>
                <w:sz w:val="20"/>
                <w:rtl/>
              </w:rPr>
              <w:t>200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 ]  וכן הביא בספר קב הישר פרק סג.]</w:t>
            </w:r>
          </w:p>
        </w:tc>
      </w:tr>
      <w:tr>
        <w:tc>
          <w:tcPr>
            <w:tcW w:type="dxa" w:w="850"/>
          </w:tcPr>
          <w:p>
            <w:pPr>
              <w:bidi/>
              <w:jc w:val="right"/>
            </w:pPr>
            <w:r/>
            <w:r>
              <w:rPr>
                <w:rFonts w:ascii="David" w:hAnsi="David" w:cs="David"/>
                <w:b w:val="0"/>
                <w:sz w:val="20"/>
                <w:rtl/>
              </w:rPr>
              <w:t>200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כל בריה יכולה לעמוד במחיצתם.] אלא אף מי שמקבל ע״ע בליבו את …</w:t>
            </w:r>
          </w:p>
        </w:tc>
      </w:tr>
      <w:tr>
        <w:tc>
          <w:tcPr>
            <w:tcW w:type="dxa" w:w="850"/>
          </w:tcPr>
          <w:p>
            <w:pPr>
              <w:bidi/>
              <w:jc w:val="right"/>
            </w:pPr>
            <w:r/>
            <w:r>
              <w:rPr>
                <w:rFonts w:ascii="David" w:hAnsi="David" w:cs="David"/>
                <w:b w:val="0"/>
                <w:sz w:val="20"/>
                <w:rtl/>
              </w:rPr>
              <w:t>200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עת הוא קורה מחדש מבואר בברכות סג:] ועוד פתח ר׳ יהודה בכבוד תורה ודרש …</w:t>
            </w:r>
          </w:p>
        </w:tc>
      </w:tr>
      <w:tr>
        <w:tc>
          <w:tcPr>
            <w:tcW w:type="dxa" w:w="850"/>
          </w:tcPr>
          <w:p>
            <w:pPr>
              <w:bidi/>
              <w:jc w:val="right"/>
            </w:pPr>
            <w:r/>
            <w:r>
              <w:rPr>
                <w:rFonts w:ascii="David" w:hAnsi="David" w:cs="David"/>
                <w:b w:val="0"/>
                <w:sz w:val="20"/>
                <w:rtl/>
              </w:rPr>
              <w:t>200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 לאמר שמה שמצינו הכא על …</w:t>
            </w:r>
          </w:p>
        </w:tc>
      </w:tr>
      <w:tr>
        <w:tc>
          <w:tcPr>
            <w:tcW w:type="dxa" w:w="850"/>
          </w:tcPr>
          <w:p>
            <w:pPr>
              <w:bidi/>
              <w:jc w:val="right"/>
            </w:pPr>
            <w:r/>
            <w:r>
              <w:rPr>
                <w:rFonts w:ascii="David" w:hAnsi="David" w:cs="David"/>
                <w:b w:val="0"/>
                <w:sz w:val="20"/>
                <w:rtl/>
              </w:rPr>
              <w:t>200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200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בזה שכן עיקר המקור של הטור תריט.] שאמר שביוה״כ כן אומרים בשכמל״ו …</w:t>
            </w:r>
          </w:p>
        </w:tc>
      </w:tr>
      <w:tr>
        <w:tc>
          <w:tcPr>
            <w:tcW w:type="dxa" w:w="850"/>
          </w:tcPr>
          <w:p>
            <w:pPr>
              <w:bidi/>
              <w:jc w:val="right"/>
            </w:pPr>
            <w:r/>
            <w:r>
              <w:rPr>
                <w:rFonts w:ascii="David" w:hAnsi="David" w:cs="David"/>
                <w:b w:val="0"/>
                <w:sz w:val="20"/>
                <w:rtl/>
              </w:rPr>
              <w:t>200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מהרש״ם ח״ה סימן ט.]</w:t>
            </w:r>
          </w:p>
        </w:tc>
      </w:tr>
      <w:tr>
        <w:tc>
          <w:tcPr>
            <w:tcW w:type="dxa" w:w="850"/>
          </w:tcPr>
          <w:p>
            <w:pPr>
              <w:bidi/>
              <w:jc w:val="right"/>
            </w:pPr>
            <w:r/>
            <w:r>
              <w:rPr>
                <w:rFonts w:ascii="David" w:hAnsi="David" w:cs="David"/>
                <w:b w:val="0"/>
                <w:sz w:val="20"/>
                <w:rtl/>
              </w:rPr>
              <w:t>200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ג או״ח טו.]</w:t>
            </w:r>
          </w:p>
        </w:tc>
      </w:tr>
      <w:tr>
        <w:tc>
          <w:tcPr>
            <w:tcW w:type="dxa" w:w="850"/>
          </w:tcPr>
          <w:p>
            <w:pPr>
              <w:bidi/>
              <w:jc w:val="right"/>
            </w:pPr>
            <w:r/>
            <w:r>
              <w:rPr>
                <w:rFonts w:ascii="David" w:hAnsi="David" w:cs="David"/>
                <w:b w:val="0"/>
                <w:sz w:val="20"/>
                <w:rtl/>
              </w:rPr>
              <w:t>211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w:t>
            </w:r>
          </w:p>
        </w:tc>
      </w:tr>
      <w:tr>
        <w:tc>
          <w:tcPr>
            <w:tcW w:type="dxa" w:w="850"/>
          </w:tcPr>
          <w:p>
            <w:pPr>
              <w:bidi/>
              <w:jc w:val="right"/>
            </w:pPr>
            <w:r/>
            <w:r>
              <w:rPr>
                <w:rFonts w:ascii="David" w:hAnsi="David" w:cs="David"/>
                <w:b w:val="0"/>
                <w:sz w:val="20"/>
                <w:rtl/>
              </w:rPr>
              <w:t>211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211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בה מפושעי ישראל אינה תענית.] ולכך ביוה״כ אנו מצרפים איתנו …</w:t>
            </w:r>
          </w:p>
        </w:tc>
      </w:tr>
      <w:tr>
        <w:tc>
          <w:tcPr>
            <w:tcW w:type="dxa" w:w="850"/>
          </w:tcPr>
          <w:p>
            <w:pPr>
              <w:bidi/>
              <w:jc w:val="right"/>
            </w:pPr>
            <w:r/>
            <w:r>
              <w:rPr>
                <w:rFonts w:ascii="David" w:hAnsi="David" w:cs="David"/>
                <w:b w:val="0"/>
                <w:sz w:val="20"/>
                <w:rtl/>
              </w:rPr>
              <w:t>211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שמבואר בברכות יג: ושו״ע ס.ה וסג. ד] שאנו אומרים שבפס׳ ראשון צריך הוא …</w:t>
            </w:r>
          </w:p>
        </w:tc>
      </w:tr>
      <w:tr>
        <w:tc>
          <w:tcPr>
            <w:tcW w:type="dxa" w:w="850"/>
          </w:tcPr>
          <w:p>
            <w:pPr>
              <w:bidi/>
              <w:jc w:val="right"/>
            </w:pPr>
            <w:r/>
            <w:r>
              <w:rPr>
                <w:rFonts w:ascii="David" w:hAnsi="David" w:cs="David"/>
                <w:b w:val="0"/>
                <w:sz w:val="20"/>
                <w:rtl/>
              </w:rPr>
              <w:t>211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אמרו במשנה בברכות יג.] אמר ר׳ יהושע בן קרחה י למה קדמה …</w:t>
            </w:r>
          </w:p>
        </w:tc>
      </w:tr>
      <w:tr>
        <w:tc>
          <w:tcPr>
            <w:tcW w:type="dxa" w:w="850"/>
          </w:tcPr>
          <w:p>
            <w:pPr>
              <w:bidi/>
              <w:jc w:val="right"/>
            </w:pPr>
            <w:r/>
            <w:r>
              <w:rPr>
                <w:rFonts w:ascii="David" w:hAnsi="David" w:cs="David"/>
                <w:b w:val="0"/>
                <w:sz w:val="20"/>
                <w:rtl/>
              </w:rPr>
              <w:t>211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הזוהר בכמה דוכתי מהזוהר הקדוש [ואתחנן [רסד:] שופטים [ערה:] וכן …</w:t>
            </w:r>
          </w:p>
        </w:tc>
      </w:tr>
      <w:tr>
        <w:tc>
          <w:tcPr>
            <w:tcW w:type="dxa" w:w="850"/>
          </w:tcPr>
          <w:p>
            <w:pPr>
              <w:bidi/>
              <w:jc w:val="right"/>
            </w:pPr>
            <w:r/>
            <w:r>
              <w:rPr>
                <w:rFonts w:ascii="David" w:hAnsi="David" w:cs="David"/>
                <w:b w:val="0"/>
                <w:sz w:val="20"/>
                <w:rtl/>
              </w:rPr>
              <w:t>211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פ״ז.] וחסד לאברהם מעין ז. נהר כד.]</w:t>
            </w:r>
          </w:p>
        </w:tc>
      </w:tr>
      <w:tr>
        <w:tc>
          <w:tcPr>
            <w:tcW w:type="dxa" w:w="850"/>
          </w:tcPr>
          <w:p>
            <w:pPr>
              <w:bidi/>
              <w:jc w:val="right"/>
            </w:pPr>
            <w:r/>
            <w:r>
              <w:rPr>
                <w:rFonts w:ascii="David" w:hAnsi="David" w:cs="David"/>
                <w:b w:val="0"/>
                <w:sz w:val="20"/>
                <w:rtl/>
              </w:rPr>
              <w:t>216</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בגמ׳ בברכות לג: לד.] מודים מודים משתקין אותו: אמר ר׳ …</w:t>
            </w:r>
          </w:p>
        </w:tc>
      </w:tr>
      <w:tr>
        <w:tc>
          <w:tcPr>
            <w:tcW w:type="dxa" w:w="850"/>
          </w:tcPr>
          <w:p>
            <w:pPr>
              <w:bidi/>
              <w:jc w:val="right"/>
            </w:pPr>
            <w:r/>
            <w:r>
              <w:rPr>
                <w:rFonts w:ascii="David" w:hAnsi="David" w:cs="David"/>
                <w:b w:val="0"/>
                <w:sz w:val="20"/>
                <w:rtl/>
              </w:rPr>
              <w:t>216</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שכן איתא בגמ׳ בסוכה נג:] על המבואר שם במשנה שהיו אומרים …</w:t>
            </w:r>
          </w:p>
        </w:tc>
      </w:tr>
      <w:tr>
        <w:tc>
          <w:tcPr>
            <w:tcW w:type="dxa" w:w="850"/>
          </w:tcPr>
          <w:p>
            <w:pPr>
              <w:bidi/>
              <w:jc w:val="right"/>
            </w:pPr>
            <w:r/>
            <w:r>
              <w:rPr>
                <w:rFonts w:ascii="David" w:hAnsi="David" w:cs="David"/>
                <w:b w:val="0"/>
                <w:sz w:val="20"/>
                <w:rtl/>
              </w:rPr>
              <w:t>216</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עמד על דבריו בחידושי החת״ס כאן] וכתב לבאר</w:t>
            </w:r>
          </w:p>
        </w:tc>
      </w:tr>
      <w:tr>
        <w:tc>
          <w:tcPr>
            <w:tcW w:type="dxa" w:w="850"/>
          </w:tcPr>
          <w:p>
            <w:pPr>
              <w:bidi/>
              <w:jc w:val="right"/>
            </w:pPr>
            <w:r/>
            <w:r>
              <w:rPr>
                <w:rFonts w:ascii="David" w:hAnsi="David" w:cs="David"/>
                <w:b w:val="0"/>
                <w:sz w:val="20"/>
                <w:rtl/>
              </w:rPr>
              <w:t>216</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הזה. וכ״כ תוס׳ הרא״ש ותוס׳ ר״פ שם.]</w:t>
            </w:r>
          </w:p>
        </w:tc>
      </w:tr>
      <w:tr>
        <w:tc>
          <w:tcPr>
            <w:tcW w:type="dxa" w:w="850"/>
          </w:tcPr>
          <w:p>
            <w:pPr>
              <w:bidi/>
              <w:jc w:val="right"/>
            </w:pPr>
            <w:r/>
            <w:r>
              <w:rPr>
                <w:rFonts w:ascii="David" w:hAnsi="David" w:cs="David"/>
                <w:b w:val="0"/>
                <w:sz w:val="20"/>
                <w:rtl/>
              </w:rPr>
              <w:t>222</w:t>
            </w:r>
          </w:p>
        </w:tc>
        <w:tc>
          <w:tcPr>
            <w:tcW w:type="dxa" w:w="2835"/>
          </w:tcPr>
          <w:p>
            <w:pPr>
              <w:bidi/>
              <w:jc w:val="right"/>
            </w:pPr>
            <w:r/>
            <w:r>
              <w:rPr>
                <w:rFonts w:ascii="David" w:hAnsi="David" w:cs="David"/>
                <w:b w:val="0"/>
                <w:sz w:val="20"/>
                <w:rtl/>
              </w:rPr>
              <w:t>בענין תפלה וקר״ש בכל לשון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הבה״ל להלן קא ד״ה יכול להתפלל.] וז״ל אבל אם אינו בכי האי גוונא …</w:t>
            </w:r>
          </w:p>
        </w:tc>
      </w:tr>
    </w:tbl>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