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4" w:name="abbv-us-abbvie-投資仮説qa"/>
    <w:p>
      <w:pPr>
        <w:pStyle w:val="Heading1"/>
      </w:pPr>
      <w:r>
        <w:t xml:space="preserve">ABBV US (AbbVie) — </w:t>
      </w:r>
      <w:r>
        <w:rPr>
          <w:rFonts w:hint="eastAsia"/>
        </w:rPr>
        <w:t xml:space="preserve">投資仮説Q&amp;A</w:t>
      </w:r>
    </w:p>
    <w:p>
      <w:pPr>
        <w:pStyle w:val="FirstParagraph"/>
      </w:pPr>
      <w:r>
        <w:rPr>
          <w:rFonts w:hint="eastAsia"/>
        </w:rPr>
        <w:t xml:space="preserve">基準日:</w:t>
      </w:r>
      <w:r>
        <w:t xml:space="preserve"> 2026-04-10</w:t>
      </w:r>
    </w:p>
    <w:bookmarkStart w:id="9" w:name="このqaの目的と回答方法"/>
    <w:p>
      <w:pPr>
        <w:pStyle w:val="Heading2"/>
      </w:pPr>
      <w:r>
        <w:rPr>
          <w:rFonts w:hint="eastAsia"/>
        </w:rPr>
        <w:t xml:space="preserve">このQ&amp;Aの目的と回答方法</w:t>
      </w:r>
    </w:p>
    <w:p>
      <w:pPr>
        <w:pStyle w:val="FirstParagraph"/>
      </w:pPr>
      <w:r>
        <w:rPr>
          <w:rFonts w:hint="eastAsia"/>
          <w:b/>
          <w:bCs/>
        </w:rPr>
        <w:t xml:space="preserve">目的</w:t>
      </w:r>
      <w:r>
        <w:t xml:space="preserve">: </w:t>
      </w:r>
      <w:r>
        <w:rPr>
          <w:rFonts w:hint="eastAsia"/>
        </w:rPr>
        <w:t xml:space="preserve">AIが生成した8つの投資仮説候補に対して、アナリストの「納得度」を収集し、情報の取捨選択基準を抽出する。</w:t>
      </w:r>
    </w:p>
    <w:p>
      <w:pPr>
        <w:pStyle w:val="BodyText"/>
      </w:pPr>
      <w:r>
        <w:rPr>
          <w:rFonts w:hint="eastAsia"/>
          <w:b/>
          <w:bCs/>
        </w:rPr>
        <w:t xml:space="preserve">問い</w:t>
      </w:r>
      <w:r>
        <w:t xml:space="preserve">: </w:t>
      </w:r>
      <w:r>
        <w:rPr>
          <w:rFonts w:hint="eastAsia"/>
        </w:rPr>
        <w:t xml:space="preserve">以下の情報と投資仮説を踏まえて、</w:t>
      </w:r>
      <w:r>
        <w:rPr>
          <w:rFonts w:hint="eastAsia"/>
          <w:b/>
          <w:bCs/>
        </w:rPr>
        <w:t xml:space="preserve">あなたはこの銘柄をBUYしますか？</w:t>
      </w:r>
    </w:p>
    <w:p>
      <w:pPr>
        <w:pStyle w:val="BodyText"/>
      </w:pPr>
      <w:r>
        <w:rPr>
          <w:rFonts w:hint="eastAsia"/>
          <w:b/>
          <w:bCs/>
        </w:rPr>
        <w:t xml:space="preserve">総合判断</w:t>
      </w:r>
      <w:r>
        <w:t xml:space="preserve">:</w:t>
      </w:r>
      <w:r>
        <w:t xml:space="preserve"> </w:t>
      </w:r>
      <w:r>
        <w:t xml:space="preserve">□ BUY　□ SELL　□ </w:t>
      </w:r>
      <w:r>
        <w:rPr>
          <w:rFonts w:hint="eastAsia"/>
        </w:rPr>
        <w:t xml:space="preserve">判断保留</w:t>
      </w:r>
    </w:p>
    <w:p>
      <w:pPr>
        <w:pStyle w:val="BodyText"/>
      </w:pPr>
      <w:r>
        <w:rPr>
          <w:rFonts w:hint="eastAsia"/>
          <w:b/>
          <w:bCs/>
        </w:rPr>
        <w:t xml:space="preserve">理由（任意）</w:t>
      </w:r>
      <w:r>
        <w:t xml:space="preserve">:</w:t>
      </w:r>
    </w:p>
    <w:p>
      <w:r>
        <w:pict>
          <v:rect style="width:0;height:1.5pt" o:hralign="center" o:hrstd="t" o:hr="t"/>
        </w:pict>
      </w:r>
    </w:p>
    <w:p>
      <w:pPr>
        <w:pStyle w:val="FirstParagraph"/>
      </w:pPr>
      <w:r>
        <w:rPr>
          <w:rFonts w:hint="eastAsia"/>
          <w:b/>
          <w:bCs/>
        </w:rPr>
        <w:t xml:space="preserve">各仮説の回答方法</w:t>
      </w:r>
      <w:r>
        <w:t xml:space="preserve">: </w:t>
      </w:r>
      <w:r>
        <w:rPr>
          <w:rFonts w:hint="eastAsia"/>
        </w:rPr>
        <w:t xml:space="preserve">各仮説について「この仮説がBUY判断にどの程度寄与するか」の納得度を選んでください。</w:t>
      </w:r>
    </w:p>
    <w:tbl>
      <w:tblPr>
        <w:tblStyle w:val="Table"/>
        <w:tblW w:type="pct" w:w="5000"/>
        <w:tblLayout w:type="fixed"/>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25"/>
        <w:gridCol w:w="3394"/>
      </w:tblGrid>
      <w:tr>
        <w:trPr>
          <w:tblHeader w:val="on"/>
        </w:trPr>
        <w:tc>
          <w:tcPr>
            <w:tcBorders>
              <w:top w:val="single" w:sz="4" w:space="0" w:color="000000"/>
              <w:left w:val="single" w:sz="4" w:space="0" w:color="000000"/>
              <w:right w:val="single" w:sz="4" w:space="0" w:color="000000"/>
              <w:bottom w:val="double" w:sz="4" w:space="0" w:color="000000"/>
            </w:tcBorders>
          </w:tcPr>
          <w:p>
            <w:pPr>
              <w:pStyle w:val="Compact"/>
            </w:pPr>
            <w:r>
              <w:rPr>
                <w:rFonts w:hint="eastAsia" w:ascii="Times New Roman" w:hAnsi="Times New Roman" w:eastAsia="游明朝"/>
                <w:sz w:val="18"/>
              </w:rPr>
              <w:t xml:space="preserve">納得度</w:t>
            </w:r>
          </w:p>
        </w:tc>
        <w:tc>
          <w:tcPr>
            <w:tcBorders>
              <w:top w:val="single" w:sz="4" w:space="0" w:color="000000"/>
              <w:left w:val="single" w:sz="4" w:space="0" w:color="000000"/>
              <w:right w:val="single" w:sz="4" w:space="0" w:color="000000"/>
              <w:bottom w:val="double" w:sz="4" w:space="0" w:color="000000"/>
            </w:tcBorders>
          </w:tcPr>
          <w:p>
            <w:pPr>
              <w:pStyle w:val="Compact"/>
            </w:pPr>
            <w:r>
              <w:rPr>
                <w:rFonts w:hint="eastAsia" w:ascii="Times New Roman" w:hAnsi="Times New Roman" w:eastAsia="游明朝"/>
                <w:sz w:val="18"/>
              </w:rPr>
              <w:t xml:space="preserve">意味</w:t>
            </w:r>
          </w:p>
        </w:tc>
      </w:tr>
      <w:tr>
        <w:tc>
          <w:tcPr/>
          <w:p>
            <w:pPr>
              <w:pStyle w:val="Compact"/>
            </w:pPr>
            <w:r>
              <w:rPr>
                <w:rFonts w:ascii="Times New Roman" w:hAnsi="Times New Roman" w:eastAsia="游明朝"/>
                <w:sz w:val="18"/>
              </w:rPr>
              <w:t xml:space="preserve">90%</w:t>
            </w:r>
          </w:p>
        </w:tc>
        <w:tc>
          <w:tcPr/>
          <w:p>
            <w:pPr>
              <w:pStyle w:val="Compact"/>
            </w:pPr>
            <w:r>
              <w:rPr>
                <w:rFonts w:hint="eastAsia" w:ascii="Times New Roman" w:hAnsi="Times New Roman" w:eastAsia="游明朝"/>
                <w:sz w:val="18"/>
              </w:rPr>
              <w:t xml:space="preserve">この仮説は極めて重要。BUY判断の核心的な前提となる</w:t>
            </w:r>
          </w:p>
        </w:tc>
      </w:tr>
      <w:tr>
        <w:tc>
          <w:tcPr/>
          <w:p>
            <w:pPr>
              <w:pStyle w:val="Compact"/>
            </w:pPr>
            <w:r>
              <w:rPr>
                <w:rFonts w:ascii="Times New Roman" w:hAnsi="Times New Roman" w:eastAsia="游明朝"/>
                <w:sz w:val="18"/>
              </w:rPr>
              <w:t xml:space="preserve">70%</w:t>
            </w:r>
          </w:p>
        </w:tc>
        <w:tc>
          <w:tcPr/>
          <w:p>
            <w:pPr>
              <w:pStyle w:val="Compact"/>
            </w:pPr>
            <w:r>
              <w:rPr>
                <w:rFonts w:hint="eastAsia" w:ascii="Times New Roman" w:hAnsi="Times New Roman" w:eastAsia="游明朝"/>
                <w:sz w:val="18"/>
              </w:rPr>
              <w:t xml:space="preserve">重要な補強材料。これ単独ではBUYの決め手にならないが、判断を強く支持する</w:t>
            </w:r>
          </w:p>
        </w:tc>
      </w:tr>
      <w:tr>
        <w:tc>
          <w:tcPr/>
          <w:p>
            <w:pPr>
              <w:pStyle w:val="Compact"/>
            </w:pPr>
            <w:r>
              <w:rPr>
                <w:rFonts w:ascii="Times New Roman" w:hAnsi="Times New Roman" w:eastAsia="游明朝"/>
                <w:sz w:val="18"/>
              </w:rPr>
              <w:t xml:space="preserve">50%</w:t>
            </w:r>
          </w:p>
        </w:tc>
        <w:tc>
          <w:tcPr/>
          <w:p>
            <w:pPr>
              <w:pStyle w:val="Compact"/>
            </w:pPr>
            <w:r>
              <w:rPr>
                <w:rFonts w:hint="eastAsia" w:ascii="Times New Roman" w:hAnsi="Times New Roman" w:eastAsia="游明朝"/>
                <w:sz w:val="18"/>
              </w:rPr>
              <w:t xml:space="preserve">認識はしているが、判断への影響は中立的</w:t>
            </w:r>
          </w:p>
        </w:tc>
      </w:tr>
      <w:tr>
        <w:tc>
          <w:tcPr/>
          <w:p>
            <w:pPr>
              <w:pStyle w:val="Compact"/>
            </w:pPr>
            <w:r>
              <w:rPr>
                <w:rFonts w:ascii="Times New Roman" w:hAnsi="Times New Roman" w:eastAsia="游明朝"/>
                <w:sz w:val="18"/>
              </w:rPr>
              <w:t xml:space="preserve">30%</w:t>
            </w:r>
          </w:p>
        </w:tc>
        <w:tc>
          <w:tcPr/>
          <w:p>
            <w:pPr>
              <w:pStyle w:val="Compact"/>
            </w:pPr>
            <w:r>
              <w:rPr>
                <w:rFonts w:hint="eastAsia" w:ascii="Times New Roman" w:hAnsi="Times New Roman" w:eastAsia="游明朝"/>
                <w:sz w:val="18"/>
              </w:rPr>
              <w:t xml:space="preserve">やや懐疑的。前提が甘い、または不確実性が高い</w:t>
            </w:r>
          </w:p>
        </w:tc>
      </w:tr>
      <w:tr>
        <w:tc>
          <w:tcPr/>
          <w:p>
            <w:pPr>
              <w:pStyle w:val="Compact"/>
            </w:pPr>
            <w:r>
              <w:rPr>
                <w:rFonts w:ascii="Times New Roman" w:hAnsi="Times New Roman" w:eastAsia="游明朝"/>
                <w:sz w:val="18"/>
              </w:rPr>
              <w:t xml:space="preserve">10%</w:t>
            </w:r>
          </w:p>
        </w:tc>
        <w:tc>
          <w:tcPr/>
          <w:p>
            <w:pPr>
              <w:pStyle w:val="Compact"/>
            </w:pPr>
            <w:r>
              <w:rPr>
                <w:rFonts w:hint="eastAsia" w:ascii="Times New Roman" w:hAnsi="Times New Roman" w:eastAsia="游明朝"/>
                <w:sz w:val="18"/>
              </w:rPr>
              <w:t xml:space="preserve">この仮説は投資判断にほぼ無関係、または前提が間違っている</w:t>
            </w:r>
          </w:p>
        </w:tc>
      </w:tr>
    </w:tbl>
    <w:p>
      <w:pPr>
        <w:pStyle w:val="BodyText"/>
      </w:pPr>
      <w:r>
        <w:rPr>
          <w:rFonts w:hint="eastAsia"/>
        </w:rPr>
        <w:t xml:space="preserve">※リスク仮説（仮説7,</w:t>
      </w:r>
      <w:r>
        <w:t xml:space="preserve"> </w:t>
      </w:r>
      <w:r>
        <w:rPr>
          <w:rFonts w:hint="eastAsia"/>
        </w:rPr>
        <w:t xml:space="preserve">8）の場合:</w:t>
      </w:r>
      <w:r>
        <w:t xml:space="preserve"> </w:t>
      </w:r>
      <w:r>
        <w:rPr>
          <w:rFonts w:hint="eastAsia"/>
        </w:rPr>
        <w:t xml:space="preserve">「このリスクがBUY判断をどの程度毀損するか」を評価してください。90%=深刻なリスク、10%=無視できるリスク。</w:t>
      </w:r>
    </w:p>
    <w:p>
      <w:r>
        <w:pict>
          <v:rect style="width:0;height:1.5pt" o:hralign="center" o:hrstd="t" o:hr="t"/>
        </w:pict>
      </w:r>
    </w:p>
    <w:bookmarkEnd w:id="9"/>
    <w:bookmarkStart w:id="10" w:name="ソース情報"/>
    <w:p>
      <w:pPr>
        <w:pStyle w:val="Heading2"/>
      </w:pPr>
      <w:r>
        <w:rPr>
          <w:rFonts w:hint="eastAsia"/>
        </w:rPr>
        <w:t xml:space="preserve">ソース情報</w:t>
      </w:r>
    </w:p>
    <w:tbl>
      <w:tblPr>
        <w:tblStyle w:val="Table"/>
        <w:tblW w:type="pct" w:w="5000"/>
        <w:tblLayout w:type="fixed"/>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376"/>
        <w:gridCol w:w="3168"/>
        <w:gridCol w:w="2376"/>
      </w:tblGrid>
      <w:tr>
        <w:trPr>
          <w:tblHeader w:val="on"/>
        </w:trPr>
        <w:tc>
          <w:tcPr>
            <w:tcBorders>
              <w:top w:val="single" w:sz="4" w:space="0" w:color="000000"/>
              <w:left w:val="single" w:sz="4" w:space="0" w:color="000000"/>
              <w:right w:val="single" w:sz="4" w:space="0" w:color="000000"/>
              <w:bottom w:val="double" w:sz="4" w:space="0" w:color="000000"/>
            </w:tcBorders>
          </w:tcPr>
          <w:p>
            <w:pPr>
              <w:pStyle w:val="Compact"/>
            </w:pPr>
            <w:r>
              <w:rPr>
                <w:rFonts w:hint="eastAsia" w:ascii="Times New Roman" w:hAnsi="Times New Roman" w:eastAsia="游明朝"/>
                <w:sz w:val="18"/>
              </w:rPr>
              <w:t xml:space="preserve">区分</w:t>
            </w:r>
          </w:p>
        </w:tc>
        <w:tc>
          <w:tcPr>
            <w:tcBorders>
              <w:top w:val="single" w:sz="4" w:space="0" w:color="000000"/>
              <w:left w:val="single" w:sz="4" w:space="0" w:color="000000"/>
              <w:right w:val="single" w:sz="4" w:space="0" w:color="000000"/>
              <w:bottom w:val="double" w:sz="4" w:space="0" w:color="000000"/>
            </w:tcBorders>
          </w:tcPr>
          <w:p>
            <w:pPr>
              <w:pStyle w:val="Compact"/>
            </w:pPr>
            <w:r>
              <w:rPr>
                <w:rFonts w:ascii="Times New Roman" w:hAnsi="Times New Roman" w:eastAsia="游明朝"/>
                <w:sz w:val="18"/>
              </w:rPr>
              <w:t xml:space="preserve">ソース</w:t>
            </w:r>
          </w:p>
        </w:tc>
        <w:tc>
          <w:tcPr>
            <w:tcBorders>
              <w:top w:val="single" w:sz="4" w:space="0" w:color="000000"/>
              <w:left w:val="single" w:sz="4" w:space="0" w:color="000000"/>
              <w:right w:val="single" w:sz="4" w:space="0" w:color="000000"/>
              <w:bottom w:val="double" w:sz="4" w:space="0" w:color="000000"/>
            </w:tcBorders>
          </w:tcPr>
          <w:p>
            <w:pPr>
              <w:pStyle w:val="Compact"/>
            </w:pPr>
            <w:r>
              <w:rPr>
                <w:rFonts w:hint="eastAsia" w:ascii="Times New Roman" w:hAnsi="Times New Roman" w:eastAsia="游明朝"/>
                <w:sz w:val="18"/>
              </w:rPr>
              <w:t xml:space="preserve">期間</w:t>
            </w:r>
          </w:p>
        </w:tc>
      </w:tr>
      <w:tr>
        <w:tc>
          <w:tcPr/>
          <w:p>
            <w:pPr>
              <w:pStyle w:val="Compact"/>
            </w:pPr>
            <w:r>
              <w:rPr>
                <w:rFonts w:hint="eastAsia" w:ascii="Times New Roman" w:hAnsi="Times New Roman" w:eastAsia="游明朝"/>
                <w:sz w:val="18"/>
              </w:rPr>
              <w:t xml:space="preserve">初期仮説構築</w:t>
            </w:r>
          </w:p>
        </w:tc>
        <w:tc>
          <w:tcPr/>
          <w:p>
            <w:pPr>
              <w:pStyle w:val="Compact"/>
            </w:pPr>
            <w:r>
              <w:rPr>
                <w:rFonts w:ascii="Times New Roman" w:hAnsi="Times New Roman" w:eastAsia="游明朝"/>
                <w:sz w:val="18"/>
              </w:rPr>
              <w:t xml:space="preserve">Earnings Call Transcript</w:t>
            </w:r>
          </w:p>
        </w:tc>
        <w:tc>
          <w:tcPr/>
          <w:p>
            <w:pPr>
              <w:pStyle w:val="Compact"/>
            </w:pPr>
            <w:r>
              <w:rPr>
                <w:rFonts w:ascii="Times New Roman" w:hAnsi="Times New Roman" w:eastAsia="游明朝"/>
                <w:sz w:val="18"/>
              </w:rPr>
              <w:t xml:space="preserve">Q1 2023 (2023-04-27) 〜 Q4 2024 (2025-01-31)</w:t>
            </w:r>
          </w:p>
        </w:tc>
      </w:tr>
      <w:tr>
        <w:tc>
          <w:tcPr/>
          <w:p>
            <w:pPr>
              <w:pStyle w:val="Compact"/>
            </w:pPr>
            <w:r>
              <w:rPr>
                <w:rFonts w:hint="eastAsia" w:ascii="Times New Roman" w:hAnsi="Times New Roman" w:eastAsia="游明朝"/>
                <w:sz w:val="18"/>
              </w:rPr>
              <w:t xml:space="preserve">初期仮説構築</w:t>
            </w:r>
          </w:p>
        </w:tc>
        <w:tc>
          <w:tcPr/>
          <w:p>
            <w:pPr>
              <w:pStyle w:val="Compact"/>
            </w:pPr>
            <w:r>
              <w:rPr>
                <w:rFonts w:ascii="Times New Roman" w:hAnsi="Times New Roman" w:eastAsia="游明朝"/>
                <w:sz w:val="18"/>
              </w:rPr>
              <w:t xml:space="preserve">SEC EDGAR (10-K, 10-Q)</w:t>
            </w:r>
          </w:p>
        </w:tc>
        <w:tc>
          <w:tcPr/>
          <w:p>
            <w:pPr>
              <w:pStyle w:val="Compact"/>
            </w:pPr>
            <w:r>
              <w:rPr>
                <w:rFonts w:ascii="Times New Roman" w:hAnsi="Times New Roman" w:eastAsia="游明朝"/>
                <w:sz w:val="18"/>
              </w:rPr>
              <w:t xml:space="preserve">FY2022 〜 FY2024</w:t>
            </w:r>
          </w:p>
        </w:tc>
      </w:tr>
      <w:tr>
        <w:tc>
          <w:tcPr/>
          <w:p>
            <w:pPr>
              <w:pStyle w:val="Compact"/>
            </w:pPr>
            <w:r>
              <w:rPr>
                <w:rFonts w:hint="eastAsia" w:ascii="Times New Roman" w:hAnsi="Times New Roman" w:eastAsia="游明朝"/>
                <w:sz w:val="18"/>
              </w:rPr>
              <w:t xml:space="preserve">更新情報</w:t>
            </w:r>
          </w:p>
        </w:tc>
        <w:tc>
          <w:tcPr/>
          <w:p>
            <w:pPr>
              <w:pStyle w:val="Compact"/>
            </w:pPr>
            <w:r>
              <w:rPr>
                <w:rFonts w:ascii="Times New Roman" w:hAnsi="Times New Roman" w:eastAsia="游明朝"/>
                <w:sz w:val="18"/>
              </w:rPr>
              <w:t xml:space="preserve">Earnings Call Transcript</w:t>
            </w:r>
          </w:p>
        </w:tc>
        <w:tc>
          <w:tcPr/>
          <w:p>
            <w:pPr>
              <w:pStyle w:val="Compact"/>
            </w:pPr>
            <w:r>
              <w:rPr>
                <w:rFonts w:ascii="Times New Roman" w:hAnsi="Times New Roman" w:eastAsia="游明朝"/>
                <w:sz w:val="18"/>
              </w:rPr>
              <w:t xml:space="preserve">Q1 2025 (2025-04-25) 〜 Q4 2025 (2026-02-04)</w:t>
            </w:r>
          </w:p>
        </w:tc>
      </w:tr>
      <w:tr>
        <w:tc>
          <w:tcPr/>
          <w:p>
            <w:pPr>
              <w:pStyle w:val="Compact"/>
            </w:pPr>
            <w:r>
              <w:rPr>
                <w:rFonts w:hint="eastAsia" w:ascii="Times New Roman" w:hAnsi="Times New Roman" w:eastAsia="游明朝"/>
                <w:sz w:val="18"/>
              </w:rPr>
              <w:t xml:space="preserve">更新情報</w:t>
            </w:r>
          </w:p>
        </w:tc>
        <w:tc>
          <w:tcPr/>
          <w:p>
            <w:pPr>
              <w:pStyle w:val="Compact"/>
            </w:pPr>
            <w:r>
              <w:rPr>
                <w:rFonts w:ascii="Times New Roman" w:hAnsi="Times New Roman" w:eastAsia="游明朝"/>
                <w:sz w:val="18"/>
              </w:rPr>
              <w:t xml:space="preserve">SEC EDGAR (10-K)</w:t>
            </w:r>
          </w:p>
        </w:tc>
        <w:tc>
          <w:tcPr/>
          <w:p>
            <w:pPr>
              <w:pStyle w:val="Compact"/>
            </w:pPr>
            <w:r>
              <w:rPr>
                <w:rFonts w:ascii="Times New Roman" w:hAnsi="Times New Roman" w:eastAsia="游明朝"/>
                <w:sz w:val="18"/>
              </w:rPr>
              <w:t xml:space="preserve">FY2025</w:t>
            </w:r>
          </w:p>
        </w:tc>
      </w:tr>
    </w:tbl>
    <w:p>
      <w:pPr>
        <w:pStyle w:val="BodyText"/>
      </w:pPr>
      <w:r>
        <w:rPr>
          <w:rFonts w:hint="eastAsia"/>
          <w:b/>
          <w:bCs/>
        </w:rPr>
        <w:t xml:space="preserve">注</w:t>
      </w:r>
      <w:r>
        <w:t xml:space="preserve">: </w:t>
      </w:r>
      <w:r>
        <w:rPr>
          <w:rFonts w:hint="eastAsia"/>
        </w:rPr>
        <w:t xml:space="preserve">価格/バリュエーション（ITG,</w:t>
      </w:r>
      <w:r>
        <w:t xml:space="preserve"> PER, </w:t>
      </w:r>
      <w:r>
        <w:rPr>
          <w:rFonts w:hint="eastAsia"/>
        </w:rPr>
        <w:t xml:space="preserve">相対PE等）に関する仮説は、現時点でデータソースが不足しているため含まれていません。今後データを拡充して対応予定です。</w:t>
      </w:r>
    </w:p>
    <w:p>
      <w:r>
        <w:pict>
          <v:rect style="width:0;height:1.5pt" o:hralign="center" o:hrstd="t" o:hr="t"/>
        </w:pict>
      </w:r>
    </w:p>
    <w:bookmarkEnd w:id="10"/>
    <w:bookmarkStart w:id="15" w:name="仮説-18"/>
    <w:p>
      <w:pPr>
        <w:pStyle w:val="Heading2"/>
      </w:pPr>
      <w:r>
        <w:rPr>
          <w:rFonts w:hint="eastAsia"/>
        </w:rPr>
        <w:t xml:space="preserve">仮説</w:t>
      </w:r>
      <w:r>
        <w:t xml:space="preserve"> 1/8</w:t>
      </w:r>
    </w:p>
    <w:p>
      <w:pPr>
        <w:pStyle w:val="FirstParagraph"/>
      </w:pPr>
      <w:r>
        <w:rPr>
          <w:rFonts w:hint="eastAsia"/>
          <w:b/>
          <w:bCs/>
        </w:rPr>
        <w:t xml:space="preserve">Skyrizi/RinvoqのIBD（炎症性腸疾患）売上が2027年までに$15B+に達し、Humira</w:t>
      </w:r>
      <w:r>
        <w:rPr>
          <w:b/>
          <w:bCs/>
        </w:rPr>
        <w:t xml:space="preserve"> </w:t>
      </w:r>
      <w:r>
        <w:rPr>
          <w:rFonts w:hint="eastAsia"/>
          <w:b/>
          <w:bCs/>
        </w:rPr>
        <w:t xml:space="preserve">LOEの売上減少を完全に相殺する</w:t>
      </w:r>
    </w:p>
    <w:bookmarkStart w:id="11" w:name="根拠情報"/>
    <w:p>
      <w:pPr>
        <w:pStyle w:val="Heading3"/>
      </w:pPr>
      <w:r>
        <w:rPr>
          <w:rFonts w:hint="eastAsia"/>
        </w:rPr>
        <w:t xml:space="preserve">根拠情報</w:t>
      </w:r>
    </w:p>
    <w:tbl>
      <w:tblPr>
        <w:tblStyle w:val="Table"/>
        <w:tblW w:type="pct" w:w="5000"/>
        <w:tblLayout w:type="fixed"/>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584"/>
        <w:gridCol w:w="3168"/>
        <w:gridCol w:w="3168"/>
      </w:tblGrid>
      <w:tr>
        <w:trPr>
          <w:tblHeader w:val="on"/>
        </w:trPr>
        <w:tc>
          <w:tcPr>
            <w:tcBorders>
              <w:top w:val="single" w:sz="4" w:space="0" w:color="000000"/>
              <w:left w:val="single" w:sz="4" w:space="0" w:color="000000"/>
              <w:right w:val="single" w:sz="4" w:space="0" w:color="000000"/>
              <w:bottom w:val="double" w:sz="4" w:space="0" w:color="000000"/>
            </w:tcBorders>
          </w:tcPr>
          <w:p>
            <w:pPr>
              <w:pStyle w:val="Compact"/>
            </w:pPr>
            <w:r>
              <w:rPr>
                <w:rFonts w:ascii="Times New Roman" w:hAnsi="Times New Roman" w:eastAsia="游明朝"/>
                <w:sz w:val="18"/>
              </w:rPr>
              <w:t xml:space="preserve">#</w:t>
            </w:r>
          </w:p>
        </w:tc>
        <w:tc>
          <w:tcPr>
            <w:tcBorders>
              <w:top w:val="single" w:sz="4" w:space="0" w:color="000000"/>
              <w:left w:val="single" w:sz="4" w:space="0" w:color="000000"/>
              <w:right w:val="single" w:sz="4" w:space="0" w:color="000000"/>
              <w:bottom w:val="double" w:sz="4" w:space="0" w:color="000000"/>
            </w:tcBorders>
          </w:tcPr>
          <w:p>
            <w:pPr>
              <w:pStyle w:val="Compact"/>
            </w:pPr>
            <w:r>
              <w:rPr>
                <w:rFonts w:hint="eastAsia" w:ascii="Times New Roman" w:hAnsi="Times New Roman" w:eastAsia="游明朝"/>
                <w:sz w:val="18"/>
              </w:rPr>
              <w:t xml:space="preserve">情報</w:t>
            </w:r>
          </w:p>
        </w:tc>
        <w:tc>
          <w:tcPr>
            <w:tcBorders>
              <w:top w:val="single" w:sz="4" w:space="0" w:color="000000"/>
              <w:left w:val="single" w:sz="4" w:space="0" w:color="000000"/>
              <w:right w:val="single" w:sz="4" w:space="0" w:color="000000"/>
              <w:bottom w:val="double" w:sz="4" w:space="0" w:color="000000"/>
            </w:tcBorders>
          </w:tcPr>
          <w:p>
            <w:pPr>
              <w:pStyle w:val="Compact"/>
            </w:pPr>
            <w:r>
              <w:rPr>
                <w:rFonts w:hint="eastAsia" w:ascii="Times New Roman" w:hAnsi="Times New Roman" w:eastAsia="游明朝"/>
                <w:sz w:val="18"/>
              </w:rPr>
              <w:t xml:space="preserve">出典</w:t>
            </w:r>
          </w:p>
        </w:tc>
      </w:tr>
      <w:tr>
        <w:tc>
          <w:tcPr/>
          <w:p>
            <w:pPr>
              <w:pStyle w:val="Compact"/>
            </w:pPr>
            <w:r>
              <w:rPr>
                <w:rFonts w:ascii="Times New Roman" w:hAnsi="Times New Roman" w:eastAsia="游明朝"/>
                <w:sz w:val="18"/>
              </w:rPr>
              <w:t xml:space="preserve">1</w:t>
            </w:r>
          </w:p>
        </w:tc>
        <w:tc>
          <w:tcPr/>
          <w:p>
            <w:pPr>
              <w:pStyle w:val="Compact"/>
            </w:pPr>
            <w:r>
              <w:rPr>
                <w:rFonts w:hint="eastAsia" w:ascii="Times New Roman" w:hAnsi="Times New Roman" w:eastAsia="游明朝"/>
                <w:sz w:val="18"/>
              </w:rPr>
              <w:t xml:space="preserve">Skyrizi/Rinvoq合計売上が2023年に$11.7B（YoY+$4B）、2024年に$17.7B（YoY+$6B）と急成長</w:t>
            </w:r>
          </w:p>
        </w:tc>
        <w:tc>
          <w:tcPr/>
          <w:p>
            <w:pPr>
              <w:pStyle w:val="Compact"/>
            </w:pPr>
            <w:r>
              <w:rPr>
                <w:rFonts w:ascii="Times New Roman" w:hAnsi="Times New Roman" w:eastAsia="游明朝"/>
                <w:sz w:val="18"/>
              </w:rPr>
              <w:t xml:space="preserve">Q4 2023 EC, p.3; Q4 2024 EC, p.3</w:t>
            </w:r>
          </w:p>
        </w:tc>
      </w:tr>
      <w:tr>
        <w:tc>
          <w:tcPr/>
          <w:p>
            <w:pPr>
              <w:pStyle w:val="Compact"/>
            </w:pPr>
            <w:r>
              <w:rPr>
                <w:rFonts w:ascii="Times New Roman" w:hAnsi="Times New Roman" w:eastAsia="游明朝"/>
                <w:sz w:val="18"/>
              </w:rPr>
              <w:t xml:space="preserve">2</w:t>
            </w:r>
          </w:p>
        </w:tc>
        <w:tc>
          <w:tcPr/>
          <w:p>
            <w:pPr>
              <w:pStyle w:val="Compact"/>
            </w:pPr>
            <w:r>
              <w:rPr>
                <w:rFonts w:hint="eastAsia" w:ascii="Times New Roman" w:hAnsi="Times New Roman" w:eastAsia="游明朝"/>
                <w:sz w:val="18"/>
              </w:rPr>
              <w:t xml:space="preserve">2027年にSkyrizi/Rinvoq合計で$27B超の見通し（2024年2月時点）、その後$31B超に引き上げ（2025年1月時点）</w:t>
            </w:r>
          </w:p>
        </w:tc>
        <w:tc>
          <w:tcPr/>
          <w:p>
            <w:pPr>
              <w:pStyle w:val="Compact"/>
            </w:pPr>
            <w:r>
              <w:rPr>
                <w:rFonts w:ascii="Times New Roman" w:hAnsi="Times New Roman" w:eastAsia="游明朝"/>
                <w:sz w:val="18"/>
              </w:rPr>
              <w:t xml:space="preserve">Q4 2023 EC, p.3; Q4 2024 EC, p.2</w:t>
            </w:r>
          </w:p>
        </w:tc>
      </w:tr>
      <w:tr>
        <w:tc>
          <w:tcPr/>
          <w:p>
            <w:pPr>
              <w:pStyle w:val="Compact"/>
            </w:pPr>
            <w:r>
              <w:rPr>
                <w:rFonts w:ascii="Times New Roman" w:hAnsi="Times New Roman" w:eastAsia="游明朝"/>
                <w:sz w:val="18"/>
              </w:rPr>
              <w:t xml:space="preserve">3</w:t>
            </w:r>
          </w:p>
        </w:tc>
        <w:tc>
          <w:tcPr/>
          <w:p>
            <w:pPr>
              <w:pStyle w:val="Compact"/>
            </w:pPr>
            <w:r>
              <w:rPr>
                <w:rFonts w:hint="eastAsia" w:ascii="Times New Roman" w:hAnsi="Times New Roman" w:eastAsia="游明朝"/>
                <w:sz w:val="18"/>
              </w:rPr>
              <w:t xml:space="preserve">Crohn’s病でSkyrizi/Rinvoq合計のin-play患者シェアが米国で約50%に到達（全治療ラインで）</w:t>
            </w:r>
          </w:p>
        </w:tc>
        <w:tc>
          <w:tcPr/>
          <w:p>
            <w:pPr>
              <w:pStyle w:val="Compact"/>
            </w:pPr>
            <w:r>
              <w:rPr>
                <w:rFonts w:ascii="Times New Roman" w:hAnsi="Times New Roman" w:eastAsia="游明朝"/>
                <w:sz w:val="18"/>
              </w:rPr>
              <w:t xml:space="preserve">Q4 2024 EC, p.4; Q1 2025 EC, p.3</w:t>
            </w:r>
          </w:p>
        </w:tc>
      </w:tr>
      <w:tr>
        <w:tc>
          <w:tcPr/>
          <w:p>
            <w:pPr>
              <w:pStyle w:val="Compact"/>
            </w:pPr>
            <w:r>
              <w:rPr>
                <w:rFonts w:ascii="Times New Roman" w:hAnsi="Times New Roman" w:eastAsia="游明朝"/>
                <w:sz w:val="18"/>
              </w:rPr>
              <w:t xml:space="preserve">4</w:t>
            </w:r>
          </w:p>
        </w:tc>
        <w:tc>
          <w:tcPr/>
          <w:p>
            <w:pPr>
              <w:pStyle w:val="Compact"/>
            </w:pPr>
            <w:r>
              <w:rPr>
                <w:rFonts w:hint="eastAsia" w:ascii="Times New Roman" w:hAnsi="Times New Roman" w:eastAsia="游明朝"/>
                <w:sz w:val="18"/>
              </w:rPr>
              <w:t xml:space="preserve">UCでSkyrizi承認後、Skyrizi/Rinvoq合計で米国UC</w:t>
            </w:r>
            <w:r>
              <w:rPr>
                <w:rFonts w:ascii="Times New Roman" w:hAnsi="Times New Roman" w:eastAsia="游明朝"/>
                <w:sz w:val="18"/>
              </w:rPr>
              <w:t xml:space="preserve"> </w:t>
            </w:r>
            <w:r>
              <w:rPr>
                <w:rFonts w:hint="eastAsia" w:ascii="Times New Roman" w:hAnsi="Times New Roman" w:eastAsia="游明朝"/>
                <w:sz w:val="18"/>
              </w:rPr>
              <w:t xml:space="preserve">in-playシェアの約1/3を獲得</w:t>
            </w:r>
          </w:p>
        </w:tc>
        <w:tc>
          <w:tcPr/>
          <w:p>
            <w:pPr>
              <w:pStyle w:val="Compact"/>
            </w:pPr>
            <w:r>
              <w:rPr>
                <w:rFonts w:ascii="Times New Roman" w:hAnsi="Times New Roman" w:eastAsia="游明朝"/>
                <w:sz w:val="18"/>
              </w:rPr>
              <w:t xml:space="preserve">Q4 2024 EC, p.4</w:t>
            </w:r>
          </w:p>
        </w:tc>
      </w:tr>
      <w:tr>
        <w:tc>
          <w:tcPr/>
          <w:p>
            <w:pPr>
              <w:pStyle w:val="Compact"/>
            </w:pPr>
            <w:r>
              <w:rPr>
                <w:rFonts w:ascii="Times New Roman" w:hAnsi="Times New Roman" w:eastAsia="游明朝"/>
                <w:sz w:val="18"/>
              </w:rPr>
              <w:t xml:space="preserve">5</w:t>
            </w:r>
          </w:p>
        </w:tc>
        <w:tc>
          <w:tcPr/>
          <w:p>
            <w:pPr>
              <w:pStyle w:val="Compact"/>
            </w:pPr>
            <w:r>
              <w:rPr>
                <w:rFonts w:hint="eastAsia" w:ascii="Times New Roman" w:hAnsi="Times New Roman" w:eastAsia="游明朝"/>
                <w:sz w:val="18"/>
              </w:rPr>
              <w:t xml:space="preserve">SEQUENCE試験でSkyrizi</w:t>
            </w:r>
            <w:r>
              <w:rPr>
                <w:rFonts w:ascii="Times New Roman" w:hAnsi="Times New Roman" w:eastAsia="游明朝"/>
                <w:sz w:val="18"/>
              </w:rPr>
              <w:t xml:space="preserve"> </w:t>
            </w:r>
            <w:r>
              <w:rPr>
                <w:rFonts w:hint="eastAsia" w:ascii="Times New Roman" w:hAnsi="Times New Roman" w:eastAsia="游明朝"/>
                <w:sz w:val="18"/>
              </w:rPr>
              <w:t xml:space="preserve">がStelaraに対し臨床的・内視鏡的寛解で統計的に有意な優越性を実証</w:t>
            </w:r>
          </w:p>
        </w:tc>
        <w:tc>
          <w:tcPr/>
          <w:p>
            <w:pPr>
              <w:pStyle w:val="Compact"/>
            </w:pPr>
            <w:r>
              <w:rPr>
                <w:rFonts w:ascii="Times New Roman" w:hAnsi="Times New Roman" w:eastAsia="游明朝"/>
                <w:sz w:val="18"/>
              </w:rPr>
              <w:t xml:space="preserve">Q3 2023 EC, p.3-4</w:t>
            </w:r>
          </w:p>
        </w:tc>
      </w:tr>
      <w:tr>
        <w:tc>
          <w:tcPr/>
          <w:p>
            <w:pPr>
              <w:pStyle w:val="Compact"/>
            </w:pPr>
            <w:r>
              <w:rPr>
                <w:rFonts w:ascii="Times New Roman" w:hAnsi="Times New Roman" w:eastAsia="游明朝"/>
                <w:sz w:val="18"/>
              </w:rPr>
              <w:t xml:space="preserve">6</w:t>
            </w:r>
          </w:p>
        </w:tc>
        <w:tc>
          <w:tcPr/>
          <w:p>
            <w:pPr>
              <w:pStyle w:val="Compact"/>
            </w:pPr>
            <w:r>
              <w:rPr>
                <w:rFonts w:hint="eastAsia" w:ascii="Times New Roman" w:hAnsi="Times New Roman" w:eastAsia="游明朝"/>
                <w:sz w:val="18"/>
              </w:rPr>
              <w:t xml:space="preserve">IBD市場はバイオロジクス浸透率の拡大と治療ライン拡大により高一桁%成長</w:t>
            </w:r>
          </w:p>
        </w:tc>
        <w:tc>
          <w:tcPr/>
          <w:p>
            <w:pPr>
              <w:pStyle w:val="Compact"/>
            </w:pPr>
            <w:r>
              <w:rPr>
                <w:rFonts w:ascii="Times New Roman" w:hAnsi="Times New Roman" w:eastAsia="游明朝"/>
                <w:sz w:val="18"/>
              </w:rPr>
              <w:t xml:space="preserve">Q4 2025 EC, p.4</w:t>
            </w:r>
          </w:p>
        </w:tc>
      </w:tr>
      <w:tr>
        <w:tc>
          <w:tcPr/>
          <w:p>
            <w:pPr>
              <w:pStyle w:val="Compact"/>
            </w:pPr>
            <w:r>
              <w:rPr>
                <w:rFonts w:ascii="Times New Roman" w:hAnsi="Times New Roman" w:eastAsia="游明朝"/>
                <w:sz w:val="18"/>
              </w:rPr>
              <w:t xml:space="preserve">7</w:t>
            </w:r>
          </w:p>
        </w:tc>
        <w:tc>
          <w:tcPr/>
          <w:p>
            <w:pPr>
              <w:pStyle w:val="Compact"/>
            </w:pPr>
            <w:r>
              <w:rPr>
                <w:rFonts w:hint="eastAsia" w:ascii="Times New Roman" w:hAnsi="Times New Roman" w:eastAsia="游明朝"/>
                <w:sz w:val="18"/>
              </w:rPr>
              <w:t xml:space="preserve">Rinvoqが2025年にIBDラベル拡大（抗TNF治療前の使用が可能に）</w:t>
            </w:r>
          </w:p>
        </w:tc>
        <w:tc>
          <w:tcPr/>
          <w:p>
            <w:pPr>
              <w:pStyle w:val="Compact"/>
            </w:pPr>
            <w:r>
              <w:rPr>
                <w:rFonts w:ascii="Times New Roman" w:hAnsi="Times New Roman" w:eastAsia="游明朝"/>
                <w:sz w:val="18"/>
              </w:rPr>
              <w:t xml:space="preserve">Q3 2025 EC, p.5-6</w:t>
            </w:r>
          </w:p>
        </w:tc>
      </w:tr>
    </w:tbl>
    <w:bookmarkEnd w:id="11"/>
    <w:bookmarkStart w:id="12" w:name="更新情報直近1年"/>
    <w:p>
      <w:pPr>
        <w:pStyle w:val="Heading3"/>
      </w:pPr>
      <w:r>
        <w:rPr>
          <w:rFonts w:hint="eastAsia"/>
        </w:rPr>
        <w:t xml:space="preserve">更新情報（直近1年）</w:t>
      </w:r>
    </w:p>
    <w:p>
      <w:pPr>
        <w:pStyle w:val="FirstParagraph"/>
      </w:pPr>
      <w:r>
        <w:rPr>
          <w:rFonts w:hint="eastAsia"/>
          <w:b/>
          <w:bCs/>
        </w:rPr>
        <w:t xml:space="preserve">変化:</w:t>
      </w:r>
      <w:r>
        <w:rPr>
          <w:b/>
          <w:bCs/>
        </w:rPr>
        <w:t xml:space="preserve"> </w:t>
      </w:r>
      <w:r>
        <w:rPr>
          <w:rFonts w:hint="eastAsia"/>
          <w:b/>
          <w:bCs/>
        </w:rPr>
        <w:t xml:space="preserve">強化</w:t>
      </w:r>
    </w:p>
    <w:p>
      <w:pPr>
        <w:pStyle w:val="BodyText"/>
      </w:pPr>
      <w:r>
        <w:rPr>
          <w:rFonts w:hint="eastAsia"/>
          <w:b/>
          <w:bCs/>
        </w:rPr>
        <w:t xml:space="preserve">初期仮説への影響:</w:t>
      </w:r>
      <w:r>
        <w:t xml:space="preserve"> </w:t>
      </w:r>
      <w:r>
        <w:rPr>
          <w:rFonts w:hint="eastAsia"/>
        </w:rPr>
        <w:t xml:space="preserve">初期仮説構築時点（2024年末）の2027年ガイダンス$31Bに対し、2025年通年で$25.9Bに到達し1年前倒しペースで進行。IBDでは</w:t>
      </w:r>
      <w:r>
        <w:t xml:space="preserve"> Crohn’s </w:t>
      </w:r>
      <w:r>
        <w:rPr>
          <w:rFonts w:hint="eastAsia"/>
        </w:rPr>
        <w:t xml:space="preserve">フロントラインIL-23カテゴリの捕捉率75%と圧倒的で、競合のIL-23参入にもかかわらずシェアが安定。Rinvoqのラベル拡大（抗TNF前使用可）も加わり、IBD全体での売上成長ドライバーは初期仮説より強くなっている。</w:t>
      </w:r>
    </w:p>
    <w:p>
      <w:pPr>
        <w:pStyle w:val="Compact"/>
        <w:numPr>
          <w:ilvl w:val="0"/>
          <w:numId w:val="1001"/>
        </w:numPr>
      </w:pPr>
      <w:r>
        <w:rPr>
          <w:rFonts w:hint="eastAsia"/>
        </w:rPr>
        <w:t xml:space="preserve">SkyrziのIBDグローバル売上が2025年通年で約$6.4B（前年比2倍超）に到達。Q4</w:t>
      </w:r>
      <w:r>
        <w:t xml:space="preserve"> 2025 EC, p.4</w:t>
      </w:r>
    </w:p>
    <w:p>
      <w:pPr>
        <w:pStyle w:val="Compact"/>
        <w:numPr>
          <w:ilvl w:val="0"/>
          <w:numId w:val="1001"/>
        </w:numPr>
      </w:pPr>
      <w:r>
        <w:rPr>
          <w:rFonts w:hint="eastAsia"/>
        </w:rPr>
        <w:t xml:space="preserve">Skyrizi/Rinvoq合計で2025年通年$25.9B（YoY+$8B超）、2027年$31B超ガイダンスを1年前倒しで達成見込み。Q4</w:t>
      </w:r>
      <w:r>
        <w:t xml:space="preserve"> 2025 EC, p.3</w:t>
      </w:r>
    </w:p>
    <w:p>
      <w:pPr>
        <w:pStyle w:val="Compact"/>
        <w:numPr>
          <w:ilvl w:val="0"/>
          <w:numId w:val="1001"/>
        </w:numPr>
      </w:pPr>
      <w:r>
        <w:rPr>
          <w:rFonts w:hint="eastAsia"/>
        </w:rPr>
        <w:t xml:space="preserve">Crohn’sでSkyrziのIL-23カテゴリ内フロントラインin-play捕捉率が約75%と圧倒的。Q4</w:t>
      </w:r>
      <w:r>
        <w:t xml:space="preserve"> 2025 EC, p.4</w:t>
      </w:r>
    </w:p>
    <w:p>
      <w:pPr>
        <w:pStyle w:val="Compact"/>
        <w:numPr>
          <w:ilvl w:val="0"/>
          <w:numId w:val="1001"/>
        </w:numPr>
      </w:pPr>
      <w:r>
        <w:rPr>
          <w:rFonts w:hint="eastAsia"/>
        </w:rPr>
        <w:t xml:space="preserve">2026年にはSkyriziの皮下投与誘導試験データ、Skyrizi</w:t>
      </w:r>
      <w:r>
        <w:t xml:space="preserve"> + </w:t>
      </w:r>
      <w:r>
        <w:rPr>
          <w:rFonts w:hint="eastAsia"/>
        </w:rPr>
        <w:t xml:space="preserve">382/lutikizumab/TL1Aの併用Crohn’sプラットフォームデータが控える。Q4</w:t>
      </w:r>
      <w:r>
        <w:t xml:space="preserve"> 2025 EC, p.6</w:t>
      </w:r>
    </w:p>
    <w:p>
      <w:pPr>
        <w:pStyle w:val="Compact"/>
        <w:numPr>
          <w:ilvl w:val="0"/>
          <w:numId w:val="1001"/>
        </w:numPr>
      </w:pPr>
      <w:r>
        <w:rPr>
          <w:rFonts w:hint="eastAsia"/>
        </w:rPr>
        <w:t xml:space="preserve">出典:</w:t>
      </w:r>
      <w:r>
        <w:t xml:space="preserve"> Q4 2025 EC (2026-02-04), p.3-4, 6</w:t>
      </w:r>
    </w:p>
    <w:bookmarkEnd w:id="12"/>
    <w:bookmarkStart w:id="13" w:name="納得度"/>
    <w:p>
      <w:pPr>
        <w:pStyle w:val="Heading3"/>
      </w:pPr>
      <w:r>
        <w:rPr>
          <w:rFonts w:hint="eastAsia"/>
        </w:rPr>
        <w:t xml:space="preserve">納得度</w:t>
      </w:r>
    </w:p>
    <w:p>
      <w:pPr>
        <w:pStyle w:val="FirstParagraph"/>
      </w:pPr>
      <w:r>
        <w:t xml:space="preserve">□ 90%　□ 70%　□ 50%　□ 30%　□ 10%</w:t>
      </w:r>
    </w:p>
    <w:bookmarkEnd w:id="13"/>
    <w:bookmarkStart w:id="14" w:name="備考任意"/>
    <w:p>
      <w:pPr>
        <w:pStyle w:val="Heading3"/>
      </w:pPr>
      <w:r>
        <w:rPr>
          <w:rFonts w:hint="eastAsia"/>
        </w:rPr>
        <w:t xml:space="preserve">備考（任意）</w:t>
      </w:r>
    </w:p>
    <w:p>
      <w:r>
        <w:pict>
          <v:rect style="width:0;height:1.5pt" o:hralign="center" o:hrstd="t" o:hr="t"/>
        </w:pict>
      </w:r>
    </w:p>
    <w:bookmarkEnd w:id="14"/>
    <w:bookmarkEnd w:id="15"/>
    <w:bookmarkStart w:id="20" w:name="仮説-28"/>
    <w:p>
      <w:pPr>
        <w:pStyle w:val="Heading2"/>
      </w:pPr>
      <w:r>
        <w:rPr>
          <w:rFonts w:hint="eastAsia"/>
        </w:rPr>
        <w:t xml:space="preserve">仮説</w:t>
      </w:r>
      <w:r>
        <w:t xml:space="preserve"> 2/8</w:t>
      </w:r>
    </w:p>
    <w:p>
      <w:pPr>
        <w:pStyle w:val="FirstParagraph"/>
      </w:pPr>
      <w:r>
        <w:rPr>
          <w:b/>
          <w:bCs/>
        </w:rPr>
        <w:t xml:space="preserve">Skyrizi </w:t>
      </w:r>
      <w:r>
        <w:rPr>
          <w:rFonts w:hint="eastAsia"/>
          <w:b/>
          <w:bCs/>
        </w:rPr>
        <w:t xml:space="preserve">が乾癬（Psoriasis）市場でシェア拡大を継続し、2029年まで単独で$20B+のピーク売上を達成する</w:t>
      </w:r>
    </w:p>
    <w:bookmarkStart w:id="16" w:name="根拠情報-1"/>
    <w:p>
      <w:pPr>
        <w:pStyle w:val="Heading3"/>
      </w:pPr>
      <w:r>
        <w:rPr>
          <w:rFonts w:hint="eastAsia"/>
        </w:rPr>
        <w:t xml:space="preserve">根拠情報</w:t>
      </w:r>
    </w:p>
    <w:tbl>
      <w:tblPr>
        <w:tblStyle w:val="Table"/>
        <w:tblW w:type="pct" w:w="5000"/>
        <w:tblLayout w:type="fixed"/>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584"/>
        <w:gridCol w:w="3168"/>
        <w:gridCol w:w="3168"/>
      </w:tblGrid>
      <w:tr>
        <w:trPr>
          <w:tblHeader w:val="on"/>
        </w:trPr>
        <w:tc>
          <w:tcPr>
            <w:tcBorders>
              <w:top w:val="single" w:sz="4" w:space="0" w:color="000000"/>
              <w:left w:val="single" w:sz="4" w:space="0" w:color="000000"/>
              <w:right w:val="single" w:sz="4" w:space="0" w:color="000000"/>
              <w:bottom w:val="double" w:sz="4" w:space="0" w:color="000000"/>
            </w:tcBorders>
          </w:tcPr>
          <w:p>
            <w:pPr>
              <w:pStyle w:val="Compact"/>
            </w:pPr>
            <w:r>
              <w:rPr>
                <w:rFonts w:ascii="Times New Roman" w:hAnsi="Times New Roman" w:eastAsia="游明朝"/>
                <w:sz w:val="18"/>
              </w:rPr>
              <w:t xml:space="preserve">#</w:t>
            </w:r>
          </w:p>
        </w:tc>
        <w:tc>
          <w:tcPr>
            <w:tcBorders>
              <w:top w:val="single" w:sz="4" w:space="0" w:color="000000"/>
              <w:left w:val="single" w:sz="4" w:space="0" w:color="000000"/>
              <w:right w:val="single" w:sz="4" w:space="0" w:color="000000"/>
              <w:bottom w:val="double" w:sz="4" w:space="0" w:color="000000"/>
            </w:tcBorders>
          </w:tcPr>
          <w:p>
            <w:pPr>
              <w:pStyle w:val="Compact"/>
            </w:pPr>
            <w:r>
              <w:rPr>
                <w:rFonts w:hint="eastAsia" w:ascii="Times New Roman" w:hAnsi="Times New Roman" w:eastAsia="游明朝"/>
                <w:sz w:val="18"/>
              </w:rPr>
              <w:t xml:space="preserve">情報</w:t>
            </w:r>
          </w:p>
        </w:tc>
        <w:tc>
          <w:tcPr>
            <w:tcBorders>
              <w:top w:val="single" w:sz="4" w:space="0" w:color="000000"/>
              <w:left w:val="single" w:sz="4" w:space="0" w:color="000000"/>
              <w:right w:val="single" w:sz="4" w:space="0" w:color="000000"/>
              <w:bottom w:val="double" w:sz="4" w:space="0" w:color="000000"/>
            </w:tcBorders>
          </w:tcPr>
          <w:p>
            <w:pPr>
              <w:pStyle w:val="Compact"/>
            </w:pPr>
            <w:r>
              <w:rPr>
                <w:rFonts w:hint="eastAsia" w:ascii="Times New Roman" w:hAnsi="Times New Roman" w:eastAsia="游明朝"/>
                <w:sz w:val="18"/>
              </w:rPr>
              <w:t xml:space="preserve">出典</w:t>
            </w:r>
          </w:p>
        </w:tc>
      </w:tr>
      <w:tr>
        <w:tc>
          <w:tcPr/>
          <w:p>
            <w:pPr>
              <w:pStyle w:val="Compact"/>
            </w:pPr>
            <w:r>
              <w:rPr>
                <w:rFonts w:ascii="Times New Roman" w:hAnsi="Times New Roman" w:eastAsia="游明朝"/>
                <w:sz w:val="18"/>
              </w:rPr>
              <w:t xml:space="preserve">1</w:t>
            </w:r>
          </w:p>
        </w:tc>
        <w:tc>
          <w:tcPr/>
          <w:p>
            <w:pPr>
              <w:pStyle w:val="Compact"/>
            </w:pPr>
            <w:r>
              <w:rPr>
                <w:rFonts w:hint="eastAsia" w:ascii="Times New Roman" w:hAnsi="Times New Roman" w:eastAsia="游明朝"/>
                <w:sz w:val="18"/>
              </w:rPr>
              <w:t xml:space="preserve">米国バイオロジクス乾癬市場でSkyrizi</w:t>
            </w:r>
            <w:r>
              <w:rPr>
                <w:rFonts w:ascii="Times New Roman" w:hAnsi="Times New Roman" w:eastAsia="游明朝"/>
                <w:sz w:val="18"/>
              </w:rPr>
              <w:t xml:space="preserve"> </w:t>
            </w:r>
            <w:r>
              <w:rPr>
                <w:rFonts w:hint="eastAsia" w:ascii="Times New Roman" w:hAnsi="Times New Roman" w:eastAsia="游明朝"/>
                <w:sz w:val="18"/>
              </w:rPr>
              <w:t xml:space="preserve">のTRxシェアが2023年Q1に30%</w:t>
            </w:r>
            <w:r>
              <w:rPr>
                <w:rFonts w:ascii="Times New Roman" w:hAnsi="Times New Roman" w:eastAsia="游明朝"/>
                <w:sz w:val="18"/>
              </w:rPr>
              <w:t xml:space="preserve"> → </w:t>
            </w:r>
            <w:r>
              <w:rPr>
                <w:rFonts w:hint="eastAsia" w:ascii="Times New Roman" w:hAnsi="Times New Roman" w:eastAsia="游明朝"/>
                <w:sz w:val="18"/>
              </w:rPr>
              <w:t xml:space="preserve">2024年Q2に約38%まで拡大（2位の2倍以上）</w:t>
            </w:r>
          </w:p>
        </w:tc>
        <w:tc>
          <w:tcPr/>
          <w:p>
            <w:pPr>
              <w:pStyle w:val="Compact"/>
            </w:pPr>
            <w:r>
              <w:rPr>
                <w:rFonts w:ascii="Times New Roman" w:hAnsi="Times New Roman" w:eastAsia="游明朝"/>
                <w:sz w:val="18"/>
              </w:rPr>
              <w:t xml:space="preserve">Q1 2023 EC, p.3; Q2 2024 EC, p.3</w:t>
            </w:r>
          </w:p>
        </w:tc>
      </w:tr>
      <w:tr>
        <w:tc>
          <w:tcPr/>
          <w:p>
            <w:pPr>
              <w:pStyle w:val="Compact"/>
            </w:pPr>
            <w:r>
              <w:rPr>
                <w:rFonts w:ascii="Times New Roman" w:hAnsi="Times New Roman" w:eastAsia="游明朝"/>
                <w:sz w:val="18"/>
              </w:rPr>
              <w:t xml:space="preserve">2</w:t>
            </w:r>
          </w:p>
        </w:tc>
        <w:tc>
          <w:tcPr/>
          <w:p>
            <w:pPr>
              <w:pStyle w:val="Compact"/>
            </w:pPr>
            <w:r>
              <w:rPr>
                <w:rFonts w:hint="eastAsia" w:ascii="Times New Roman" w:hAnsi="Times New Roman" w:eastAsia="游明朝"/>
                <w:sz w:val="18"/>
              </w:rPr>
              <w:t xml:space="preserve">In-playシェア（新規・切替患者）が約50%、Total</w:t>
            </w:r>
            <w:r>
              <w:rPr>
                <w:rFonts w:ascii="Times New Roman" w:hAnsi="Times New Roman" w:eastAsia="游明朝"/>
                <w:sz w:val="18"/>
              </w:rPr>
              <w:t xml:space="preserve"> </w:t>
            </w:r>
            <w:r>
              <w:rPr>
                <w:rFonts w:hint="eastAsia" w:ascii="Times New Roman" w:hAnsi="Times New Roman" w:eastAsia="游明朝"/>
                <w:sz w:val="18"/>
              </w:rPr>
              <w:t xml:space="preserve">TRxシェアがまだ追いついておらず成長余地あり</w:t>
            </w:r>
          </w:p>
        </w:tc>
        <w:tc>
          <w:tcPr/>
          <w:p>
            <w:pPr>
              <w:pStyle w:val="Compact"/>
            </w:pPr>
            <w:r>
              <w:rPr>
                <w:rFonts w:ascii="Times New Roman" w:hAnsi="Times New Roman" w:eastAsia="游明朝"/>
                <w:sz w:val="18"/>
              </w:rPr>
              <w:t xml:space="preserve">Q1 2023 EC, p.3; Q4 2024 EC, p.3</w:t>
            </w:r>
          </w:p>
        </w:tc>
      </w:tr>
      <w:tr>
        <w:tc>
          <w:tcPr/>
          <w:p>
            <w:pPr>
              <w:pStyle w:val="Compact"/>
            </w:pPr>
            <w:r>
              <w:rPr>
                <w:rFonts w:ascii="Times New Roman" w:hAnsi="Times New Roman" w:eastAsia="游明朝"/>
                <w:sz w:val="18"/>
              </w:rPr>
              <w:t xml:space="preserve">3</w:t>
            </w:r>
          </w:p>
        </w:tc>
        <w:tc>
          <w:tcPr/>
          <w:p>
            <w:pPr>
              <w:pStyle w:val="Compact"/>
            </w:pPr>
            <w:r>
              <w:rPr>
                <w:rFonts w:ascii="Times New Roman" w:hAnsi="Times New Roman" w:eastAsia="游明朝"/>
                <w:sz w:val="18"/>
              </w:rPr>
              <w:t xml:space="preserve">Skyrizi vs Otezla </w:t>
            </w:r>
            <w:r>
              <w:rPr>
                <w:rFonts w:hint="eastAsia" w:ascii="Times New Roman" w:hAnsi="Times New Roman" w:eastAsia="游明朝"/>
                <w:sz w:val="18"/>
              </w:rPr>
              <w:t xml:space="preserve">head-to-head試験でPASI</w:t>
            </w:r>
            <w:r>
              <w:rPr>
                <w:rFonts w:ascii="Times New Roman" w:hAnsi="Times New Roman" w:eastAsia="游明朝"/>
                <w:sz w:val="18"/>
              </w:rPr>
              <w:t xml:space="preserve"> </w:t>
            </w:r>
            <w:r>
              <w:rPr>
                <w:rFonts w:hint="eastAsia" w:ascii="Times New Roman" w:hAnsi="Times New Roman" w:eastAsia="游明朝"/>
                <w:sz w:val="18"/>
              </w:rPr>
              <w:t xml:space="preserve">100達成率がSkyrizi大幅優越（Otezla</w:t>
            </w:r>
            <w:r>
              <w:rPr>
                <w:rFonts w:ascii="Times New Roman" w:hAnsi="Times New Roman" w:eastAsia="游明朝"/>
                <w:sz w:val="18"/>
              </w:rPr>
              <w:t xml:space="preserve"> 3% vs </w:t>
            </w:r>
            <w:r>
              <w:rPr>
                <w:rFonts w:hint="eastAsia" w:ascii="Times New Roman" w:hAnsi="Times New Roman" w:eastAsia="游明朝"/>
                <w:sz w:val="18"/>
              </w:rPr>
              <w:t xml:space="preserve">Skyrizi高率）、患者満足度も上回る</w:t>
            </w:r>
          </w:p>
        </w:tc>
        <w:tc>
          <w:tcPr/>
          <w:p>
            <w:pPr>
              <w:pStyle w:val="Compact"/>
            </w:pPr>
            <w:r>
              <w:rPr>
                <w:rFonts w:ascii="Times New Roman" w:hAnsi="Times New Roman" w:eastAsia="游明朝"/>
                <w:sz w:val="18"/>
              </w:rPr>
              <w:t xml:space="preserve">Q2 2023 EC, p.6</w:t>
            </w:r>
          </w:p>
        </w:tc>
      </w:tr>
      <w:tr>
        <w:tc>
          <w:tcPr/>
          <w:p>
            <w:pPr>
              <w:pStyle w:val="Compact"/>
            </w:pPr>
            <w:r>
              <w:rPr>
                <w:rFonts w:ascii="Times New Roman" w:hAnsi="Times New Roman" w:eastAsia="游明朝"/>
                <w:sz w:val="18"/>
              </w:rPr>
              <w:t xml:space="preserve">4</w:t>
            </w:r>
          </w:p>
        </w:tc>
        <w:tc>
          <w:tcPr/>
          <w:p>
            <w:pPr>
              <w:pStyle w:val="Compact"/>
            </w:pPr>
            <w:r>
              <w:rPr>
                <w:rFonts w:hint="eastAsia" w:ascii="Times New Roman" w:hAnsi="Times New Roman" w:eastAsia="游明朝"/>
                <w:sz w:val="18"/>
              </w:rPr>
              <w:t xml:space="preserve">四半期投与（quarterly</w:t>
            </w:r>
            <w:r>
              <w:rPr>
                <w:rFonts w:ascii="Times New Roman" w:hAnsi="Times New Roman" w:eastAsia="游明朝"/>
                <w:sz w:val="18"/>
              </w:rPr>
              <w:t xml:space="preserve"> </w:t>
            </w:r>
            <w:r>
              <w:rPr>
                <w:rFonts w:hint="eastAsia" w:ascii="Times New Roman" w:hAnsi="Times New Roman" w:eastAsia="游明朝"/>
                <w:sz w:val="18"/>
              </w:rPr>
              <w:t xml:space="preserve">dosing）という利便性が経口薬・高頻度注射品に対する差別化要因</w:t>
            </w:r>
          </w:p>
        </w:tc>
        <w:tc>
          <w:tcPr/>
          <w:p>
            <w:pPr>
              <w:pStyle w:val="Compact"/>
            </w:pPr>
            <w:r>
              <w:rPr>
                <w:rFonts w:ascii="Times New Roman" w:hAnsi="Times New Roman" w:eastAsia="游明朝"/>
                <w:sz w:val="18"/>
              </w:rPr>
              <w:t xml:space="preserve">Q1 2023 EC, p.3-4</w:t>
            </w:r>
          </w:p>
        </w:tc>
      </w:tr>
      <w:tr>
        <w:tc>
          <w:tcPr/>
          <w:p>
            <w:pPr>
              <w:pStyle w:val="Compact"/>
            </w:pPr>
            <w:r>
              <w:rPr>
                <w:rFonts w:ascii="Times New Roman" w:hAnsi="Times New Roman" w:eastAsia="游明朝"/>
                <w:sz w:val="18"/>
              </w:rPr>
              <w:t xml:space="preserve">5</w:t>
            </w:r>
          </w:p>
        </w:tc>
        <w:tc>
          <w:tcPr/>
          <w:p>
            <w:pPr>
              <w:pStyle w:val="Compact"/>
            </w:pPr>
            <w:r>
              <w:rPr>
                <w:rFonts w:hint="eastAsia" w:ascii="Times New Roman" w:hAnsi="Times New Roman" w:eastAsia="游明朝"/>
                <w:sz w:val="18"/>
              </w:rPr>
              <w:t xml:space="preserve">2027年にSkyrizi単独で$17B超の見通し（2024年2月時点）</w:t>
            </w:r>
          </w:p>
        </w:tc>
        <w:tc>
          <w:tcPr/>
          <w:p>
            <w:pPr>
              <w:pStyle w:val="Compact"/>
            </w:pPr>
            <w:r>
              <w:rPr>
                <w:rFonts w:ascii="Times New Roman" w:hAnsi="Times New Roman" w:eastAsia="游明朝"/>
                <w:sz w:val="18"/>
              </w:rPr>
              <w:t xml:space="preserve">Q4 2023 EC, p.3</w:t>
            </w:r>
          </w:p>
        </w:tc>
      </w:tr>
      <w:tr>
        <w:tc>
          <w:tcPr/>
          <w:p>
            <w:pPr>
              <w:pStyle w:val="Compact"/>
            </w:pPr>
            <w:r>
              <w:rPr>
                <w:rFonts w:ascii="Times New Roman" w:hAnsi="Times New Roman" w:eastAsia="游明朝"/>
                <w:sz w:val="18"/>
              </w:rPr>
              <w:t xml:space="preserve">6</w:t>
            </w:r>
          </w:p>
        </w:tc>
        <w:tc>
          <w:tcPr/>
          <w:p>
            <w:pPr>
              <w:pStyle w:val="Compact"/>
            </w:pPr>
            <w:r>
              <w:rPr>
                <w:rFonts w:hint="eastAsia" w:ascii="Times New Roman" w:hAnsi="Times New Roman" w:eastAsia="游明朝"/>
                <w:sz w:val="18"/>
              </w:rPr>
              <w:t xml:space="preserve">乾癬市場は高一桁%成長でバイオロジクス浸透率もまだ低い</w:t>
            </w:r>
          </w:p>
        </w:tc>
        <w:tc>
          <w:tcPr/>
          <w:p>
            <w:pPr>
              <w:pStyle w:val="Compact"/>
            </w:pPr>
            <w:r>
              <w:rPr>
                <w:rFonts w:ascii="Times New Roman" w:hAnsi="Times New Roman" w:eastAsia="游明朝"/>
                <w:sz w:val="18"/>
              </w:rPr>
              <w:t xml:space="preserve">Q4 2025 EC, p.3</w:t>
            </w:r>
          </w:p>
        </w:tc>
      </w:tr>
    </w:tbl>
    <w:bookmarkEnd w:id="16"/>
    <w:bookmarkStart w:id="17" w:name="更新情報直近1年-1"/>
    <w:p>
      <w:pPr>
        <w:pStyle w:val="Heading3"/>
      </w:pPr>
      <w:r>
        <w:rPr>
          <w:rFonts w:hint="eastAsia"/>
        </w:rPr>
        <w:t xml:space="preserve">更新情報（直近1年）</w:t>
      </w:r>
    </w:p>
    <w:p>
      <w:pPr>
        <w:pStyle w:val="FirstParagraph"/>
      </w:pPr>
      <w:r>
        <w:rPr>
          <w:rFonts w:hint="eastAsia"/>
          <w:b/>
          <w:bCs/>
        </w:rPr>
        <w:t xml:space="preserve">変化:</w:t>
      </w:r>
      <w:r>
        <w:rPr>
          <w:b/>
          <w:bCs/>
        </w:rPr>
        <w:t xml:space="preserve"> </w:t>
      </w:r>
      <w:r>
        <w:rPr>
          <w:rFonts w:hint="eastAsia"/>
          <w:b/>
          <w:bCs/>
        </w:rPr>
        <w:t xml:space="preserve">強化</w:t>
      </w:r>
    </w:p>
    <w:p>
      <w:pPr>
        <w:pStyle w:val="BodyText"/>
      </w:pPr>
      <w:r>
        <w:rPr>
          <w:rFonts w:hint="eastAsia"/>
          <w:b/>
          <w:bCs/>
        </w:rPr>
        <w:t xml:space="preserve">初期仮説への影響:</w:t>
      </w:r>
      <w:r>
        <w:t xml:space="preserve"> </w:t>
      </w:r>
      <w:r>
        <w:rPr>
          <w:rFonts w:hint="eastAsia"/>
        </w:rPr>
        <w:t xml:space="preserve">初期仮説構築時点ではTRxシェア約38%・in-play約50%だったが、直近でTRxシェア45%超・in-play捕捉率55%超（2位の4倍）まで拡大。シェア拡大ペースは鈍化していないうえ、難治部位（頭皮・性器・掌蹠）でも新たな優越性データが加わり、競合の経口薬・新規IL-23に対する防御壁が強化された。$20B+ピーク売上の前提は初期仮説時点より確度が上がっている。</w:t>
      </w:r>
    </w:p>
    <w:p>
      <w:pPr>
        <w:pStyle w:val="Compact"/>
        <w:numPr>
          <w:ilvl w:val="0"/>
          <w:numId w:val="1002"/>
        </w:numPr>
      </w:pPr>
      <w:r>
        <w:rPr>
          <w:rFonts w:hint="eastAsia"/>
        </w:rPr>
        <w:t xml:space="preserve">米国バイオロジクス乾癬市場でSkyrizi</w:t>
      </w:r>
      <w:r>
        <w:t xml:space="preserve"> </w:t>
      </w:r>
      <w:r>
        <w:rPr>
          <w:rFonts w:hint="eastAsia"/>
        </w:rPr>
        <w:t xml:space="preserve">TRxシェアが45%超（Q4</w:t>
      </w:r>
      <w:r>
        <w:t xml:space="preserve"> </w:t>
      </w:r>
      <w:r>
        <w:rPr>
          <w:rFonts w:hint="eastAsia"/>
        </w:rPr>
        <w:t xml:space="preserve">2025）、in-play捕捉率は55%超で2位の4倍。Q4</w:t>
      </w:r>
      <w:r>
        <w:t xml:space="preserve"> 2025 EC, p.3</w:t>
      </w:r>
    </w:p>
    <w:p>
      <w:pPr>
        <w:pStyle w:val="Compact"/>
        <w:numPr>
          <w:ilvl w:val="0"/>
          <w:numId w:val="1002"/>
        </w:numPr>
      </w:pPr>
      <w:r>
        <w:rPr>
          <w:rFonts w:hint="eastAsia"/>
        </w:rPr>
        <w:t xml:space="preserve">頭皮・性器・掌蹠の難治部位でも新たな統計的有意差データを取得。Q4</w:t>
      </w:r>
      <w:r>
        <w:t xml:space="preserve"> 2025 EC, p.3</w:t>
      </w:r>
    </w:p>
    <w:p>
      <w:pPr>
        <w:pStyle w:val="Compact"/>
        <w:numPr>
          <w:ilvl w:val="0"/>
          <w:numId w:val="1002"/>
        </w:numPr>
      </w:pPr>
      <w:r>
        <w:rPr>
          <w:rFonts w:hint="eastAsia"/>
        </w:rPr>
        <w:t xml:space="preserve">Sotyktuに対するhead-to-head試験データも取得済み、経口競合に対する優位性を明確化。Q4</w:t>
      </w:r>
      <w:r>
        <w:t xml:space="preserve"> 2024 EC, p.3</w:t>
      </w:r>
    </w:p>
    <w:p>
      <w:pPr>
        <w:pStyle w:val="Compact"/>
        <w:numPr>
          <w:ilvl w:val="0"/>
          <w:numId w:val="1002"/>
        </w:numPr>
      </w:pPr>
      <w:r>
        <w:rPr>
          <w:rFonts w:hint="eastAsia"/>
        </w:rPr>
        <w:t xml:space="preserve">「既存・新規療法からの重大な影響は見込まない」と経営陣が明言。Q4</w:t>
      </w:r>
      <w:r>
        <w:t xml:space="preserve"> 2025 EC, p.3</w:t>
      </w:r>
    </w:p>
    <w:p>
      <w:pPr>
        <w:pStyle w:val="Compact"/>
        <w:numPr>
          <w:ilvl w:val="0"/>
          <w:numId w:val="1002"/>
        </w:numPr>
      </w:pPr>
      <w:r>
        <w:rPr>
          <w:rFonts w:hint="eastAsia"/>
        </w:rPr>
        <w:t xml:space="preserve">出典:</w:t>
      </w:r>
      <w:r>
        <w:t xml:space="preserve"> Q4 2025 EC (2026-02-04), p.3</w:t>
      </w:r>
    </w:p>
    <w:bookmarkEnd w:id="17"/>
    <w:bookmarkStart w:id="18" w:name="納得度-1"/>
    <w:p>
      <w:pPr>
        <w:pStyle w:val="Heading3"/>
      </w:pPr>
      <w:r>
        <w:rPr>
          <w:rFonts w:hint="eastAsia"/>
        </w:rPr>
        <w:t xml:space="preserve">納得度</w:t>
      </w:r>
    </w:p>
    <w:p>
      <w:pPr>
        <w:pStyle w:val="FirstParagraph"/>
      </w:pPr>
      <w:r>
        <w:t xml:space="preserve">□ 90%　□ 70%　□ 50%　□ 30%　□ 10%</w:t>
      </w:r>
    </w:p>
    <w:bookmarkEnd w:id="18"/>
    <w:bookmarkStart w:id="19" w:name="備考任意-1"/>
    <w:p>
      <w:pPr>
        <w:pStyle w:val="Heading3"/>
      </w:pPr>
      <w:r>
        <w:rPr>
          <w:rFonts w:hint="eastAsia"/>
        </w:rPr>
        <w:t xml:space="preserve">備考（任意）</w:t>
      </w:r>
    </w:p>
    <w:p>
      <w:r>
        <w:pict>
          <v:rect style="width:0;height:1.5pt" o:hralign="center" o:hrstd="t" o:hr="t"/>
        </w:pict>
      </w:r>
    </w:p>
    <w:bookmarkEnd w:id="19"/>
    <w:bookmarkEnd w:id="20"/>
    <w:bookmarkStart w:id="25" w:name="仮説-38"/>
    <w:p>
      <w:pPr>
        <w:pStyle w:val="Heading2"/>
      </w:pPr>
      <w:r>
        <w:rPr>
          <w:rFonts w:hint="eastAsia"/>
        </w:rPr>
        <w:t xml:space="preserve">仮説</w:t>
      </w:r>
      <w:r>
        <w:t xml:space="preserve"> 3/8</w:t>
      </w:r>
    </w:p>
    <w:p>
      <w:pPr>
        <w:pStyle w:val="FirstParagraph"/>
      </w:pPr>
      <w:r>
        <w:rPr>
          <w:rFonts w:hint="eastAsia"/>
          <w:b/>
          <w:bCs/>
        </w:rPr>
        <w:t xml:space="preserve">ニューロサイエンス領域（Vraylar、CGRP、Botox</w:t>
      </w:r>
      <w:r>
        <w:rPr>
          <w:b/>
          <w:bCs/>
        </w:rPr>
        <w:t xml:space="preserve"> </w:t>
      </w:r>
      <w:r>
        <w:rPr>
          <w:rFonts w:hint="eastAsia"/>
          <w:b/>
          <w:bCs/>
        </w:rPr>
        <w:t xml:space="preserve">Therapeutic、Vyalev、Tavapadon）が2029年に$15B+の売上基盤を形成する</w:t>
      </w:r>
    </w:p>
    <w:bookmarkStart w:id="21" w:name="根拠情報-2"/>
    <w:p>
      <w:pPr>
        <w:pStyle w:val="Heading3"/>
      </w:pPr>
      <w:r>
        <w:rPr>
          <w:rFonts w:hint="eastAsia"/>
        </w:rPr>
        <w:t xml:space="preserve">根拠情報</w:t>
      </w:r>
    </w:p>
    <w:tbl>
      <w:tblPr>
        <w:tblStyle w:val="Table"/>
        <w:tblW w:type="pct" w:w="5000"/>
        <w:tblLayout w:type="fixed"/>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584"/>
        <w:gridCol w:w="3168"/>
        <w:gridCol w:w="3168"/>
      </w:tblGrid>
      <w:tr>
        <w:trPr>
          <w:tblHeader w:val="on"/>
        </w:trPr>
        <w:tc>
          <w:tcPr>
            <w:tcBorders>
              <w:top w:val="single" w:sz="4" w:space="0" w:color="000000"/>
              <w:left w:val="single" w:sz="4" w:space="0" w:color="000000"/>
              <w:right w:val="single" w:sz="4" w:space="0" w:color="000000"/>
              <w:bottom w:val="double" w:sz="4" w:space="0" w:color="000000"/>
            </w:tcBorders>
          </w:tcPr>
          <w:p>
            <w:pPr>
              <w:pStyle w:val="Compact"/>
            </w:pPr>
            <w:r>
              <w:rPr>
                <w:rFonts w:ascii="Times New Roman" w:hAnsi="Times New Roman" w:eastAsia="游明朝"/>
                <w:sz w:val="18"/>
              </w:rPr>
              <w:t xml:space="preserve">#</w:t>
            </w:r>
          </w:p>
        </w:tc>
        <w:tc>
          <w:tcPr>
            <w:tcBorders>
              <w:top w:val="single" w:sz="4" w:space="0" w:color="000000"/>
              <w:left w:val="single" w:sz="4" w:space="0" w:color="000000"/>
              <w:right w:val="single" w:sz="4" w:space="0" w:color="000000"/>
              <w:bottom w:val="double" w:sz="4" w:space="0" w:color="000000"/>
            </w:tcBorders>
          </w:tcPr>
          <w:p>
            <w:pPr>
              <w:pStyle w:val="Compact"/>
            </w:pPr>
            <w:r>
              <w:rPr>
                <w:rFonts w:hint="eastAsia" w:ascii="Times New Roman" w:hAnsi="Times New Roman" w:eastAsia="游明朝"/>
                <w:sz w:val="18"/>
              </w:rPr>
              <w:t xml:space="preserve">情報</w:t>
            </w:r>
          </w:p>
        </w:tc>
        <w:tc>
          <w:tcPr>
            <w:tcBorders>
              <w:top w:val="single" w:sz="4" w:space="0" w:color="000000"/>
              <w:left w:val="single" w:sz="4" w:space="0" w:color="000000"/>
              <w:right w:val="single" w:sz="4" w:space="0" w:color="000000"/>
              <w:bottom w:val="double" w:sz="4" w:space="0" w:color="000000"/>
            </w:tcBorders>
          </w:tcPr>
          <w:p>
            <w:pPr>
              <w:pStyle w:val="Compact"/>
            </w:pPr>
            <w:r>
              <w:rPr>
                <w:rFonts w:hint="eastAsia" w:ascii="Times New Roman" w:hAnsi="Times New Roman" w:eastAsia="游明朝"/>
                <w:sz w:val="18"/>
              </w:rPr>
              <w:t xml:space="preserve">出典</w:t>
            </w:r>
          </w:p>
        </w:tc>
      </w:tr>
      <w:tr>
        <w:tc>
          <w:tcPr/>
          <w:p>
            <w:pPr>
              <w:pStyle w:val="Compact"/>
            </w:pPr>
            <w:r>
              <w:rPr>
                <w:rFonts w:ascii="Times New Roman" w:hAnsi="Times New Roman" w:eastAsia="游明朝"/>
                <w:sz w:val="18"/>
              </w:rPr>
              <w:t xml:space="preserve">1</w:t>
            </w:r>
          </w:p>
        </w:tc>
        <w:tc>
          <w:tcPr/>
          <w:p>
            <w:pPr>
              <w:pStyle w:val="Compact"/>
            </w:pPr>
            <w:r>
              <w:rPr>
                <w:rFonts w:hint="eastAsia" w:ascii="Times New Roman" w:hAnsi="Times New Roman" w:eastAsia="游明朝"/>
                <w:sz w:val="18"/>
              </w:rPr>
              <w:t xml:space="preserve">ニューロサイエンス2023年通年売上$7.7B（YoY+約$1.2B）と急成長</w:t>
            </w:r>
          </w:p>
        </w:tc>
        <w:tc>
          <w:tcPr/>
          <w:p>
            <w:pPr>
              <w:pStyle w:val="Compact"/>
            </w:pPr>
            <w:r>
              <w:rPr>
                <w:rFonts w:ascii="Times New Roman" w:hAnsi="Times New Roman" w:eastAsia="游明朝"/>
                <w:sz w:val="18"/>
              </w:rPr>
              <w:t xml:space="preserve">Q4 2023 EC, p.4</w:t>
            </w:r>
          </w:p>
        </w:tc>
      </w:tr>
      <w:tr>
        <w:tc>
          <w:tcPr/>
          <w:p>
            <w:pPr>
              <w:pStyle w:val="Compact"/>
            </w:pPr>
            <w:r>
              <w:rPr>
                <w:rFonts w:ascii="Times New Roman" w:hAnsi="Times New Roman" w:eastAsia="游明朝"/>
                <w:sz w:val="18"/>
              </w:rPr>
              <w:t xml:space="preserve">2</w:t>
            </w:r>
          </w:p>
        </w:tc>
        <w:tc>
          <w:tcPr/>
          <w:p>
            <w:pPr>
              <w:pStyle w:val="Compact"/>
            </w:pPr>
            <w:r>
              <w:rPr>
                <w:rFonts w:ascii="Times New Roman" w:hAnsi="Times New Roman" w:eastAsia="游明朝"/>
                <w:sz w:val="18"/>
              </w:rPr>
              <w:t xml:space="preserve">Vraylar </w:t>
            </w:r>
            <w:r>
              <w:rPr>
                <w:rFonts w:hint="eastAsia" w:ascii="Times New Roman" w:hAnsi="Times New Roman" w:eastAsia="游明朝"/>
                <w:sz w:val="18"/>
              </w:rPr>
              <w:t xml:space="preserve">がMDD承認後に加速成長、2023年Q2で$658M（+33.9%）</w:t>
            </w:r>
          </w:p>
        </w:tc>
        <w:tc>
          <w:tcPr/>
          <w:p>
            <w:pPr>
              <w:pStyle w:val="Compact"/>
            </w:pPr>
            <w:r>
              <w:rPr>
                <w:rFonts w:ascii="Times New Roman" w:hAnsi="Times New Roman" w:eastAsia="游明朝"/>
                <w:sz w:val="18"/>
              </w:rPr>
              <w:t xml:space="preserve">Q2 2023 EC, p.4</w:t>
            </w:r>
          </w:p>
        </w:tc>
      </w:tr>
      <w:tr>
        <w:tc>
          <w:tcPr/>
          <w:p>
            <w:pPr>
              <w:pStyle w:val="Compact"/>
            </w:pPr>
            <w:r>
              <w:rPr>
                <w:rFonts w:ascii="Times New Roman" w:hAnsi="Times New Roman" w:eastAsia="游明朝"/>
                <w:sz w:val="18"/>
              </w:rPr>
              <w:t xml:space="preserve">3</w:t>
            </w:r>
          </w:p>
        </w:tc>
        <w:tc>
          <w:tcPr/>
          <w:p>
            <w:pPr>
              <w:pStyle w:val="Compact"/>
            </w:pPr>
            <w:r>
              <w:rPr>
                <w:rFonts w:hint="eastAsia" w:ascii="Times New Roman" w:hAnsi="Times New Roman" w:eastAsia="游明朝"/>
                <w:sz w:val="18"/>
              </w:rPr>
              <w:t xml:space="preserve">経口CGRP（Ubrelvy</w:t>
            </w:r>
            <w:r>
              <w:rPr>
                <w:rFonts w:ascii="Times New Roman" w:hAnsi="Times New Roman" w:eastAsia="游明朝"/>
                <w:sz w:val="18"/>
              </w:rPr>
              <w:t xml:space="preserve"> + </w:t>
            </w:r>
            <w:r>
              <w:rPr>
                <w:rFonts w:hint="eastAsia" w:ascii="Times New Roman" w:hAnsi="Times New Roman" w:eastAsia="游明朝"/>
                <w:sz w:val="18"/>
              </w:rPr>
              <w:t xml:space="preserve">Qulipta）のピーク売上見通しを$3B超に引き上げ（2024年2月）</w:t>
            </w:r>
          </w:p>
        </w:tc>
        <w:tc>
          <w:tcPr/>
          <w:p>
            <w:pPr>
              <w:pStyle w:val="Compact"/>
            </w:pPr>
            <w:r>
              <w:rPr>
                <w:rFonts w:ascii="Times New Roman" w:hAnsi="Times New Roman" w:eastAsia="游明朝"/>
                <w:sz w:val="18"/>
              </w:rPr>
              <w:t xml:space="preserve">Q4 2023 EC, p.3</w:t>
            </w:r>
          </w:p>
        </w:tc>
      </w:tr>
      <w:tr>
        <w:tc>
          <w:tcPr/>
          <w:p>
            <w:pPr>
              <w:pStyle w:val="Compact"/>
            </w:pPr>
            <w:r>
              <w:rPr>
                <w:rFonts w:ascii="Times New Roman" w:hAnsi="Times New Roman" w:eastAsia="游明朝"/>
                <w:sz w:val="18"/>
              </w:rPr>
              <w:t xml:space="preserve">4</w:t>
            </w:r>
          </w:p>
        </w:tc>
        <w:tc>
          <w:tcPr/>
          <w:p>
            <w:pPr>
              <w:pStyle w:val="Compact"/>
            </w:pPr>
            <w:r>
              <w:rPr>
                <w:rFonts w:hint="eastAsia" w:ascii="Times New Roman" w:hAnsi="Times New Roman" w:eastAsia="游明朝"/>
                <w:sz w:val="18"/>
              </w:rPr>
              <w:t xml:space="preserve">ABBV-951（Vyalev）がパーキンソン病向けに欧州・日本で承認・上市、米国承認も予定</w:t>
            </w:r>
          </w:p>
        </w:tc>
        <w:tc>
          <w:tcPr/>
          <w:p>
            <w:pPr>
              <w:pStyle w:val="Compact"/>
            </w:pPr>
            <w:r>
              <w:rPr>
                <w:rFonts w:ascii="Times New Roman" w:hAnsi="Times New Roman" w:eastAsia="游明朝"/>
                <w:sz w:val="18"/>
              </w:rPr>
              <w:t xml:space="preserve">Q4 2023 EC, p.5; Q1 2024 EC, p.3-4</w:t>
            </w:r>
          </w:p>
        </w:tc>
      </w:tr>
      <w:tr>
        <w:tc>
          <w:tcPr/>
          <w:p>
            <w:pPr>
              <w:pStyle w:val="Compact"/>
            </w:pPr>
            <w:r>
              <w:rPr>
                <w:rFonts w:ascii="Times New Roman" w:hAnsi="Times New Roman" w:eastAsia="游明朝"/>
                <w:sz w:val="18"/>
              </w:rPr>
              <w:t xml:space="preserve">5</w:t>
            </w:r>
          </w:p>
        </w:tc>
        <w:tc>
          <w:tcPr/>
          <w:p>
            <w:pPr>
              <w:pStyle w:val="Compact"/>
            </w:pPr>
            <w:r>
              <w:rPr>
                <w:rFonts w:hint="eastAsia" w:ascii="Times New Roman" w:hAnsi="Times New Roman" w:eastAsia="游明朝"/>
                <w:sz w:val="18"/>
              </w:rPr>
              <w:t xml:space="preserve">2025年にニューロサイエンス売上$10Bを見込む</w:t>
            </w:r>
          </w:p>
        </w:tc>
        <w:tc>
          <w:tcPr/>
          <w:p>
            <w:pPr>
              <w:pStyle w:val="Compact"/>
            </w:pPr>
            <w:r>
              <w:rPr>
                <w:rFonts w:ascii="Times New Roman" w:hAnsi="Times New Roman" w:eastAsia="游明朝"/>
                <w:sz w:val="18"/>
              </w:rPr>
              <w:t xml:space="preserve">Q4 2024 EC, p.2</w:t>
            </w:r>
          </w:p>
        </w:tc>
      </w:tr>
      <w:tr>
        <w:tc>
          <w:tcPr/>
          <w:p>
            <w:pPr>
              <w:pStyle w:val="Compact"/>
            </w:pPr>
            <w:r>
              <w:rPr>
                <w:rFonts w:ascii="Times New Roman" w:hAnsi="Times New Roman" w:eastAsia="游明朝"/>
                <w:sz w:val="18"/>
              </w:rPr>
              <w:t xml:space="preserve">6</w:t>
            </w:r>
          </w:p>
        </w:tc>
        <w:tc>
          <w:tcPr/>
          <w:p>
            <w:pPr>
              <w:pStyle w:val="Compact"/>
            </w:pPr>
            <w:r>
              <w:rPr>
                <w:rFonts w:hint="eastAsia" w:ascii="Times New Roman" w:hAnsi="Times New Roman" w:eastAsia="游明朝"/>
                <w:sz w:val="18"/>
              </w:rPr>
              <w:t xml:space="preserve">Cerevel買収（2024年完了）でemraclidine（統合失調症）、tavapadon（パーキンソン）等を獲得</w:t>
            </w:r>
          </w:p>
        </w:tc>
        <w:tc>
          <w:tcPr/>
          <w:p>
            <w:pPr>
              <w:pStyle w:val="Compact"/>
            </w:pPr>
            <w:r>
              <w:rPr>
                <w:rFonts w:ascii="Times New Roman" w:hAnsi="Times New Roman" w:eastAsia="游明朝"/>
                <w:sz w:val="18"/>
              </w:rPr>
              <w:t xml:space="preserve">Q4 2023 EC, p.2; Q2 2024 EC, p.2</w:t>
            </w:r>
          </w:p>
        </w:tc>
      </w:tr>
    </w:tbl>
    <w:bookmarkEnd w:id="21"/>
    <w:bookmarkStart w:id="22" w:name="更新情報直近1年-2"/>
    <w:p>
      <w:pPr>
        <w:pStyle w:val="Heading3"/>
      </w:pPr>
      <w:r>
        <w:rPr>
          <w:rFonts w:hint="eastAsia"/>
        </w:rPr>
        <w:t xml:space="preserve">更新情報（直近1年）</w:t>
      </w:r>
    </w:p>
    <w:p>
      <w:pPr>
        <w:pStyle w:val="FirstParagraph"/>
      </w:pPr>
      <w:r>
        <w:rPr>
          <w:rFonts w:hint="eastAsia"/>
          <w:b/>
          <w:bCs/>
        </w:rPr>
        <w:t xml:space="preserve">変化:</w:t>
      </w:r>
      <w:r>
        <w:rPr>
          <w:b/>
          <w:bCs/>
        </w:rPr>
        <w:t xml:space="preserve"> </w:t>
      </w:r>
      <w:r>
        <w:rPr>
          <w:rFonts w:hint="eastAsia"/>
          <w:b/>
          <w:bCs/>
        </w:rPr>
        <w:t xml:space="preserve">強化</w:t>
      </w:r>
    </w:p>
    <w:p>
      <w:pPr>
        <w:pStyle w:val="BodyText"/>
      </w:pPr>
      <w:r>
        <w:rPr>
          <w:rFonts w:hint="eastAsia"/>
          <w:b/>
          <w:bCs/>
        </w:rPr>
        <w:t xml:space="preserve">初期仮説への影響:</w:t>
      </w:r>
      <w:r>
        <w:t xml:space="preserve"> </w:t>
      </w:r>
      <w:r>
        <w:rPr>
          <w:rFonts w:hint="eastAsia"/>
        </w:rPr>
        <w:t xml:space="preserve">初期仮説構築時点ではニューロサイエンス売上$10B（2025年目標）を見込んでいたが、実績$10.7Bで達成。加えてVyalevがブロックバスター軌道に乗り、TavapadonのFDA申請も完了。初期仮説では「5製品群」としていたが、Bretisilocin（MDD）やQulipta適応拡大が加わり、成長ドライバーが増えた。$15B+基盤の達成時期は初期仮説の2029年より前倒しになる可能性がある。</w:t>
      </w:r>
    </w:p>
    <w:p>
      <w:pPr>
        <w:pStyle w:val="Compact"/>
        <w:numPr>
          <w:ilvl w:val="0"/>
          <w:numId w:val="1003"/>
        </w:numPr>
      </w:pPr>
      <w:r>
        <w:rPr>
          <w:rFonts w:hint="eastAsia"/>
        </w:rPr>
        <w:t xml:space="preserve">ニューロサイエンス2025年通年売上$10.7B（YoY+$1.8B）。Q4</w:t>
      </w:r>
      <w:r>
        <w:t xml:space="preserve"> 2025 EC, p.4</w:t>
      </w:r>
    </w:p>
    <w:p>
      <w:pPr>
        <w:pStyle w:val="Compact"/>
        <w:numPr>
          <w:ilvl w:val="0"/>
          <w:numId w:val="1003"/>
        </w:numPr>
      </w:pPr>
      <w:r>
        <w:t xml:space="preserve">Vyalev Q4 </w:t>
      </w:r>
      <w:r>
        <w:rPr>
          <w:rFonts w:hint="eastAsia"/>
        </w:rPr>
        <w:t xml:space="preserve">2025売上$183M（前四半期比+33%）、2026年にブロックバスター達成見込み。Q4</w:t>
      </w:r>
      <w:r>
        <w:t xml:space="preserve"> 2025 EC, p.5</w:t>
      </w:r>
    </w:p>
    <w:p>
      <w:pPr>
        <w:pStyle w:val="Compact"/>
        <w:numPr>
          <w:ilvl w:val="0"/>
          <w:numId w:val="1003"/>
        </w:numPr>
      </w:pPr>
      <w:r>
        <w:t xml:space="preserve">Tavapadon </w:t>
      </w:r>
      <w:r>
        <w:rPr>
          <w:rFonts w:hint="eastAsia"/>
        </w:rPr>
        <w:t xml:space="preserve">がFDA承認申請提出済み、2026年Q3に承認決定予定。Q3</w:t>
      </w:r>
      <w:r>
        <w:t xml:space="preserve"> 2025 EC, p.6-7; Q4 2025 EC, p.7</w:t>
      </w:r>
    </w:p>
    <w:p>
      <w:pPr>
        <w:pStyle w:val="Compact"/>
        <w:numPr>
          <w:ilvl w:val="0"/>
          <w:numId w:val="1003"/>
        </w:numPr>
      </w:pPr>
      <w:r>
        <w:t xml:space="preserve">Qulipta </w:t>
      </w:r>
      <w:r>
        <w:rPr>
          <w:rFonts w:hint="eastAsia"/>
        </w:rPr>
        <w:t xml:space="preserve">が急性片頭痛Phase3で主要エンドポイント達成。Q4</w:t>
      </w:r>
      <w:r>
        <w:t xml:space="preserve"> 2025 EC, p.7</w:t>
      </w:r>
    </w:p>
    <w:p>
      <w:pPr>
        <w:pStyle w:val="Compact"/>
        <w:numPr>
          <w:ilvl w:val="0"/>
          <w:numId w:val="1003"/>
        </w:numPr>
      </w:pPr>
      <w:r>
        <w:t xml:space="preserve">Ubrelvy/Qulipta </w:t>
      </w:r>
      <w:r>
        <w:rPr>
          <w:rFonts w:hint="eastAsia"/>
        </w:rPr>
        <w:t xml:space="preserve">の月経関連片頭痛Phase3進行中。Q4</w:t>
      </w:r>
      <w:r>
        <w:t xml:space="preserve"> 2025 EC, p.7</w:t>
      </w:r>
    </w:p>
    <w:p>
      <w:pPr>
        <w:pStyle w:val="Compact"/>
        <w:numPr>
          <w:ilvl w:val="0"/>
          <w:numId w:val="1003"/>
        </w:numPr>
      </w:pPr>
      <w:r>
        <w:rPr>
          <w:rFonts w:hint="eastAsia"/>
        </w:rPr>
        <w:t xml:space="preserve">Bretisilocin（次世代サイケデリクス、MDD向け）を買収、Phase2で強い持続的効果。Q3</w:t>
      </w:r>
      <w:r>
        <w:t xml:space="preserve"> 2025 EC, p.7; Q4 2025 EC, p.8</w:t>
      </w:r>
    </w:p>
    <w:p>
      <w:pPr>
        <w:pStyle w:val="Compact"/>
        <w:numPr>
          <w:ilvl w:val="0"/>
          <w:numId w:val="1003"/>
        </w:numPr>
      </w:pPr>
      <w:r>
        <w:rPr>
          <w:rFonts w:hint="eastAsia"/>
        </w:rPr>
        <w:t xml:space="preserve">出典:</w:t>
      </w:r>
      <w:r>
        <w:t xml:space="preserve"> Q3 2025 EC (2025-10-31), p.4-7; Q4 2025 EC (2026-02-04), p.4-5, 7-8</w:t>
      </w:r>
    </w:p>
    <w:bookmarkEnd w:id="22"/>
    <w:bookmarkStart w:id="23" w:name="納得度-2"/>
    <w:p>
      <w:pPr>
        <w:pStyle w:val="Heading3"/>
      </w:pPr>
      <w:r>
        <w:rPr>
          <w:rFonts w:hint="eastAsia"/>
        </w:rPr>
        <w:t xml:space="preserve">納得度</w:t>
      </w:r>
    </w:p>
    <w:p>
      <w:pPr>
        <w:pStyle w:val="FirstParagraph"/>
      </w:pPr>
      <w:r>
        <w:t xml:space="preserve">□ 90%　□ 70%　□ 50%　□ 30%　□ 10%</w:t>
      </w:r>
    </w:p>
    <w:bookmarkEnd w:id="23"/>
    <w:bookmarkStart w:id="24" w:name="備考任意-2"/>
    <w:p>
      <w:pPr>
        <w:pStyle w:val="Heading3"/>
      </w:pPr>
      <w:r>
        <w:rPr>
          <w:rFonts w:hint="eastAsia"/>
        </w:rPr>
        <w:t xml:space="preserve">備考（任意）</w:t>
      </w:r>
    </w:p>
    <w:p>
      <w:r>
        <w:pict>
          <v:rect style="width:0;height:1.5pt" o:hralign="center" o:hrstd="t" o:hr="t"/>
        </w:pict>
      </w:r>
    </w:p>
    <w:bookmarkEnd w:id="24"/>
    <w:bookmarkEnd w:id="25"/>
    <w:bookmarkStart w:id="30" w:name="仮説-48"/>
    <w:p>
      <w:pPr>
        <w:pStyle w:val="Heading2"/>
      </w:pPr>
      <w:r>
        <w:rPr>
          <w:rFonts w:hint="eastAsia"/>
        </w:rPr>
        <w:t xml:space="preserve">仮説</w:t>
      </w:r>
      <w:r>
        <w:t xml:space="preserve"> 4/8</w:t>
      </w:r>
    </w:p>
    <w:p>
      <w:pPr>
        <w:pStyle w:val="FirstParagraph"/>
      </w:pPr>
      <w:r>
        <w:rPr>
          <w:rFonts w:hint="eastAsia"/>
          <w:b/>
          <w:bCs/>
        </w:rPr>
        <w:t xml:space="preserve">オンコロジー領域がTemab-A、383（BCMA-CD3）、Venclexta拡大により2030年代前半に$10B+規模に成長する</w:t>
      </w:r>
    </w:p>
    <w:bookmarkStart w:id="26" w:name="根拠情報-3"/>
    <w:p>
      <w:pPr>
        <w:pStyle w:val="Heading3"/>
      </w:pPr>
      <w:r>
        <w:rPr>
          <w:rFonts w:hint="eastAsia"/>
        </w:rPr>
        <w:t xml:space="preserve">根拠情報</w:t>
      </w:r>
    </w:p>
    <w:tbl>
      <w:tblPr>
        <w:tblStyle w:val="Table"/>
        <w:tblW w:type="pct" w:w="5000"/>
        <w:tblLayout w:type="fixed"/>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584"/>
        <w:gridCol w:w="3168"/>
        <w:gridCol w:w="3168"/>
      </w:tblGrid>
      <w:tr>
        <w:trPr>
          <w:tblHeader w:val="on"/>
        </w:trPr>
        <w:tc>
          <w:tcPr>
            <w:tcBorders>
              <w:top w:val="single" w:sz="4" w:space="0" w:color="000000"/>
              <w:left w:val="single" w:sz="4" w:space="0" w:color="000000"/>
              <w:right w:val="single" w:sz="4" w:space="0" w:color="000000"/>
              <w:bottom w:val="double" w:sz="4" w:space="0" w:color="000000"/>
            </w:tcBorders>
          </w:tcPr>
          <w:p>
            <w:pPr>
              <w:pStyle w:val="Compact"/>
            </w:pPr>
            <w:r>
              <w:rPr>
                <w:rFonts w:ascii="Times New Roman" w:hAnsi="Times New Roman" w:eastAsia="游明朝"/>
                <w:sz w:val="18"/>
              </w:rPr>
              <w:t xml:space="preserve">#</w:t>
            </w:r>
          </w:p>
        </w:tc>
        <w:tc>
          <w:tcPr>
            <w:tcBorders>
              <w:top w:val="single" w:sz="4" w:space="0" w:color="000000"/>
              <w:left w:val="single" w:sz="4" w:space="0" w:color="000000"/>
              <w:right w:val="single" w:sz="4" w:space="0" w:color="000000"/>
              <w:bottom w:val="double" w:sz="4" w:space="0" w:color="000000"/>
            </w:tcBorders>
          </w:tcPr>
          <w:p>
            <w:pPr>
              <w:pStyle w:val="Compact"/>
            </w:pPr>
            <w:r>
              <w:rPr>
                <w:rFonts w:hint="eastAsia" w:ascii="Times New Roman" w:hAnsi="Times New Roman" w:eastAsia="游明朝"/>
                <w:sz w:val="18"/>
              </w:rPr>
              <w:t xml:space="preserve">情報</w:t>
            </w:r>
          </w:p>
        </w:tc>
        <w:tc>
          <w:tcPr>
            <w:tcBorders>
              <w:top w:val="single" w:sz="4" w:space="0" w:color="000000"/>
              <w:left w:val="single" w:sz="4" w:space="0" w:color="000000"/>
              <w:right w:val="single" w:sz="4" w:space="0" w:color="000000"/>
              <w:bottom w:val="double" w:sz="4" w:space="0" w:color="000000"/>
            </w:tcBorders>
          </w:tcPr>
          <w:p>
            <w:pPr>
              <w:pStyle w:val="Compact"/>
            </w:pPr>
            <w:r>
              <w:rPr>
                <w:rFonts w:hint="eastAsia" w:ascii="Times New Roman" w:hAnsi="Times New Roman" w:eastAsia="游明朝"/>
                <w:sz w:val="18"/>
              </w:rPr>
              <w:t xml:space="preserve">出典</w:t>
            </w:r>
          </w:p>
        </w:tc>
      </w:tr>
      <w:tr>
        <w:tc>
          <w:tcPr/>
          <w:p>
            <w:pPr>
              <w:pStyle w:val="Compact"/>
            </w:pPr>
            <w:r>
              <w:rPr>
                <w:rFonts w:ascii="Times New Roman" w:hAnsi="Times New Roman" w:eastAsia="游明朝"/>
                <w:sz w:val="18"/>
              </w:rPr>
              <w:t xml:space="preserve">1</w:t>
            </w:r>
          </w:p>
        </w:tc>
        <w:tc>
          <w:tcPr/>
          <w:p>
            <w:pPr>
              <w:pStyle w:val="Compact"/>
            </w:pPr>
            <w:r>
              <w:rPr>
                <w:rFonts w:hint="eastAsia" w:ascii="Times New Roman" w:hAnsi="Times New Roman" w:eastAsia="游明朝"/>
                <w:sz w:val="18"/>
              </w:rPr>
              <w:t xml:space="preserve">ABBV-400（後のTemab-A）がPhase1でCRC</w:t>
            </w:r>
            <w:r>
              <w:rPr>
                <w:rFonts w:ascii="Times New Roman" w:hAnsi="Times New Roman" w:eastAsia="游明朝"/>
                <w:sz w:val="18"/>
              </w:rPr>
              <w:t xml:space="preserve"> ORR </w:t>
            </w:r>
            <w:r>
              <w:rPr>
                <w:rFonts w:hint="eastAsia" w:ascii="Times New Roman" w:hAnsi="Times New Roman" w:eastAsia="游明朝"/>
                <w:sz w:val="18"/>
              </w:rPr>
              <w:t xml:space="preserve">22%（SOC</w:t>
            </w:r>
            <w:r>
              <w:rPr>
                <w:rFonts w:ascii="Times New Roman" w:hAnsi="Times New Roman" w:eastAsia="游明朝"/>
                <w:sz w:val="18"/>
              </w:rPr>
              <w:t xml:space="preserve"> </w:t>
            </w:r>
            <w:r>
              <w:rPr>
                <w:rFonts w:hint="eastAsia" w:ascii="Times New Roman" w:hAnsi="Times New Roman" w:eastAsia="游明朝"/>
                <w:sz w:val="18"/>
              </w:rPr>
              <w:t xml:space="preserve">2-3%）と顕著な有効性</w:t>
            </w:r>
          </w:p>
        </w:tc>
        <w:tc>
          <w:tcPr/>
          <w:p>
            <w:pPr>
              <w:pStyle w:val="Compact"/>
            </w:pPr>
            <w:r>
              <w:rPr>
                <w:rFonts w:ascii="Times New Roman" w:hAnsi="Times New Roman" w:eastAsia="游明朝"/>
                <w:sz w:val="18"/>
              </w:rPr>
              <w:t xml:space="preserve">Q2 2023 EC, p.7</w:t>
            </w:r>
          </w:p>
        </w:tc>
      </w:tr>
      <w:tr>
        <w:tc>
          <w:tcPr/>
          <w:p>
            <w:pPr>
              <w:pStyle w:val="Compact"/>
            </w:pPr>
            <w:r>
              <w:rPr>
                <w:rFonts w:ascii="Times New Roman" w:hAnsi="Times New Roman" w:eastAsia="游明朝"/>
                <w:sz w:val="18"/>
              </w:rPr>
              <w:t xml:space="preserve">2</w:t>
            </w:r>
          </w:p>
        </w:tc>
        <w:tc>
          <w:tcPr/>
          <w:p>
            <w:pPr>
              <w:pStyle w:val="Compact"/>
            </w:pPr>
            <w:r>
              <w:rPr>
                <w:rFonts w:hint="eastAsia" w:ascii="Times New Roman" w:hAnsi="Times New Roman" w:eastAsia="游明朝"/>
                <w:sz w:val="18"/>
              </w:rPr>
              <w:t xml:space="preserve">ImmunoGen買収（2024年完了）でElahere（卵巣癌ADC）を獲得、固形腫瘍参入を加速</w:t>
            </w:r>
          </w:p>
        </w:tc>
        <w:tc>
          <w:tcPr/>
          <w:p>
            <w:pPr>
              <w:pStyle w:val="Compact"/>
            </w:pPr>
            <w:r>
              <w:rPr>
                <w:rFonts w:ascii="Times New Roman" w:hAnsi="Times New Roman" w:eastAsia="游明朝"/>
                <w:sz w:val="18"/>
              </w:rPr>
              <w:t xml:space="preserve">Q4 2023 EC, p.2; Q1 2024 EC, p.3</w:t>
            </w:r>
          </w:p>
        </w:tc>
      </w:tr>
      <w:tr>
        <w:tc>
          <w:tcPr/>
          <w:p>
            <w:pPr>
              <w:pStyle w:val="Compact"/>
            </w:pPr>
            <w:r>
              <w:rPr>
                <w:rFonts w:ascii="Times New Roman" w:hAnsi="Times New Roman" w:eastAsia="游明朝"/>
                <w:sz w:val="18"/>
              </w:rPr>
              <w:t xml:space="preserve">3</w:t>
            </w:r>
          </w:p>
        </w:tc>
        <w:tc>
          <w:tcPr/>
          <w:p>
            <w:pPr>
              <w:pStyle w:val="Compact"/>
            </w:pPr>
            <w:r>
              <w:rPr>
                <w:rFonts w:hint="eastAsia" w:ascii="Times New Roman" w:hAnsi="Times New Roman" w:eastAsia="游明朝"/>
                <w:sz w:val="18"/>
              </w:rPr>
              <w:t xml:space="preserve">ABBV-383（BCMA-CD3</w:t>
            </w:r>
            <w:r>
              <w:rPr>
                <w:rFonts w:ascii="Times New Roman" w:hAnsi="Times New Roman" w:eastAsia="游明朝"/>
                <w:sz w:val="18"/>
              </w:rPr>
              <w:t xml:space="preserve"> </w:t>
            </w:r>
            <w:r>
              <w:rPr>
                <w:rFonts w:hint="eastAsia" w:ascii="Times New Roman" w:hAnsi="Times New Roman" w:eastAsia="游明朝"/>
                <w:sz w:val="18"/>
              </w:rPr>
              <w:t xml:space="preserve">bispecific）が多発性骨髄腫で深い持続的奏効・低CRS発現率を示す</w:t>
            </w:r>
          </w:p>
        </w:tc>
        <w:tc>
          <w:tcPr/>
          <w:p>
            <w:pPr>
              <w:pStyle w:val="Compact"/>
            </w:pPr>
            <w:r>
              <w:rPr>
                <w:rFonts w:ascii="Times New Roman" w:hAnsi="Times New Roman" w:eastAsia="游明朝"/>
                <w:sz w:val="18"/>
              </w:rPr>
              <w:t xml:space="preserve">Q4 2023 EC, p.6</w:t>
            </w:r>
          </w:p>
        </w:tc>
      </w:tr>
      <w:tr>
        <w:tc>
          <w:tcPr/>
          <w:p>
            <w:pPr>
              <w:pStyle w:val="Compact"/>
            </w:pPr>
            <w:r>
              <w:rPr>
                <w:rFonts w:ascii="Times New Roman" w:hAnsi="Times New Roman" w:eastAsia="游明朝"/>
                <w:sz w:val="18"/>
              </w:rPr>
              <w:t xml:space="preserve">4</w:t>
            </w:r>
          </w:p>
        </w:tc>
        <w:tc>
          <w:tcPr/>
          <w:p>
            <w:pPr>
              <w:pStyle w:val="Compact"/>
            </w:pPr>
            <w:r>
              <w:rPr>
                <w:rFonts w:ascii="Times New Roman" w:hAnsi="Times New Roman" w:eastAsia="游明朝"/>
                <w:sz w:val="18"/>
              </w:rPr>
              <w:t xml:space="preserve">Venclexta がCLL + </w:t>
            </w:r>
            <w:r>
              <w:rPr>
                <w:rFonts w:hint="eastAsia" w:ascii="Times New Roman" w:hAnsi="Times New Roman" w:eastAsia="游明朝"/>
                <w:sz w:val="18"/>
              </w:rPr>
              <w:t xml:space="preserve">AMLで堅調な成長を維持（2024年通年+15.8%オペレーショナル）</w:t>
            </w:r>
          </w:p>
        </w:tc>
        <w:tc>
          <w:tcPr/>
          <w:p>
            <w:pPr>
              <w:pStyle w:val="Compact"/>
            </w:pPr>
            <w:r>
              <w:rPr>
                <w:rFonts w:ascii="Times New Roman" w:hAnsi="Times New Roman" w:eastAsia="游明朝"/>
                <w:sz w:val="18"/>
              </w:rPr>
              <w:t xml:space="preserve">Q2 2024 EC, p.4</w:t>
            </w:r>
          </w:p>
        </w:tc>
      </w:tr>
      <w:tr>
        <w:tc>
          <w:tcPr/>
          <w:p>
            <w:pPr>
              <w:pStyle w:val="Compact"/>
            </w:pPr>
            <w:r>
              <w:rPr>
                <w:rFonts w:ascii="Times New Roman" w:hAnsi="Times New Roman" w:eastAsia="游明朝"/>
                <w:sz w:val="18"/>
              </w:rPr>
              <w:t xml:space="preserve">5</w:t>
            </w:r>
          </w:p>
        </w:tc>
        <w:tc>
          <w:tcPr/>
          <w:p>
            <w:pPr>
              <w:pStyle w:val="Compact"/>
            </w:pPr>
            <w:r>
              <w:rPr>
                <w:rFonts w:hint="eastAsia" w:ascii="Times New Roman" w:hAnsi="Times New Roman" w:eastAsia="游明朝"/>
                <w:sz w:val="18"/>
              </w:rPr>
              <w:t xml:space="preserve">Teliso-V（c-Met</w:t>
            </w:r>
            <w:r>
              <w:rPr>
                <w:rFonts w:ascii="Times New Roman" w:hAnsi="Times New Roman" w:eastAsia="游明朝"/>
                <w:sz w:val="18"/>
              </w:rPr>
              <w:t xml:space="preserve"> </w:t>
            </w:r>
            <w:r>
              <w:rPr>
                <w:rFonts w:hint="eastAsia" w:ascii="Times New Roman" w:hAnsi="Times New Roman" w:eastAsia="游明朝"/>
                <w:sz w:val="18"/>
              </w:rPr>
              <w:t xml:space="preserve">ADC）がLUMINOSITY</w:t>
            </w:r>
            <w:r>
              <w:rPr>
                <w:rFonts w:ascii="Times New Roman" w:hAnsi="Times New Roman" w:eastAsia="游明朝"/>
                <w:sz w:val="18"/>
              </w:rPr>
              <w:t xml:space="preserve"> </w:t>
            </w:r>
            <w:r>
              <w:rPr>
                <w:rFonts w:hint="eastAsia" w:ascii="Times New Roman" w:hAnsi="Times New Roman" w:eastAsia="游明朝"/>
                <w:sz w:val="18"/>
              </w:rPr>
              <w:t xml:space="preserve">Phase2で強い臨床ベネフィット、加速承認の可能性</w:t>
            </w:r>
          </w:p>
        </w:tc>
        <w:tc>
          <w:tcPr/>
          <w:p>
            <w:pPr>
              <w:pStyle w:val="Compact"/>
            </w:pPr>
            <w:r>
              <w:rPr>
                <w:rFonts w:ascii="Times New Roman" w:hAnsi="Times New Roman" w:eastAsia="游明朝"/>
                <w:sz w:val="18"/>
              </w:rPr>
              <w:t xml:space="preserve">Q4 2023 EC, p.7</w:t>
            </w:r>
          </w:p>
        </w:tc>
      </w:tr>
      <w:tr>
        <w:tc>
          <w:tcPr/>
          <w:p>
            <w:pPr>
              <w:pStyle w:val="Compact"/>
            </w:pPr>
            <w:r>
              <w:rPr>
                <w:rFonts w:ascii="Times New Roman" w:hAnsi="Times New Roman" w:eastAsia="游明朝"/>
                <w:sz w:val="18"/>
              </w:rPr>
              <w:t xml:space="preserve">6</w:t>
            </w:r>
          </w:p>
        </w:tc>
        <w:tc>
          <w:tcPr/>
          <w:p>
            <w:pPr>
              <w:pStyle w:val="Compact"/>
            </w:pPr>
            <w:r>
              <w:rPr>
                <w:rFonts w:hint="eastAsia" w:ascii="Times New Roman" w:hAnsi="Times New Roman" w:eastAsia="游明朝"/>
                <w:sz w:val="18"/>
              </w:rPr>
              <w:t xml:space="preserve">Epkinly（bispecific）がDLBCL・FLで承認、earlier</w:t>
            </w:r>
            <w:r>
              <w:rPr>
                <w:rFonts w:ascii="Times New Roman" w:hAnsi="Times New Roman" w:eastAsia="游明朝"/>
                <w:sz w:val="18"/>
              </w:rPr>
              <w:t xml:space="preserve"> line </w:t>
            </w:r>
            <w:r>
              <w:rPr>
                <w:rFonts w:hint="eastAsia" w:ascii="Times New Roman" w:hAnsi="Times New Roman" w:eastAsia="游明朝"/>
                <w:sz w:val="18"/>
              </w:rPr>
              <w:t xml:space="preserve">Phase3進行中</w:t>
            </w:r>
          </w:p>
        </w:tc>
        <w:tc>
          <w:tcPr/>
          <w:p>
            <w:pPr>
              <w:pStyle w:val="Compact"/>
            </w:pPr>
            <w:r>
              <w:rPr>
                <w:rFonts w:ascii="Times New Roman" w:hAnsi="Times New Roman" w:eastAsia="游明朝"/>
                <w:sz w:val="18"/>
              </w:rPr>
              <w:t xml:space="preserve">Q2 2023 EC, p.6; Q4 2023 EC, p.6</w:t>
            </w:r>
          </w:p>
        </w:tc>
      </w:tr>
    </w:tbl>
    <w:bookmarkEnd w:id="26"/>
    <w:bookmarkStart w:id="27" w:name="更新情報直近1年-3"/>
    <w:p>
      <w:pPr>
        <w:pStyle w:val="Heading3"/>
      </w:pPr>
      <w:r>
        <w:rPr>
          <w:rFonts w:hint="eastAsia"/>
        </w:rPr>
        <w:t xml:space="preserve">更新情報（直近1年）</w:t>
      </w:r>
    </w:p>
    <w:p>
      <w:pPr>
        <w:pStyle w:val="FirstParagraph"/>
      </w:pPr>
      <w:r>
        <w:rPr>
          <w:rFonts w:hint="eastAsia"/>
          <w:b/>
          <w:bCs/>
        </w:rPr>
        <w:t xml:space="preserve">変化:</w:t>
      </w:r>
      <w:r>
        <w:rPr>
          <w:b/>
          <w:bCs/>
        </w:rPr>
        <w:t xml:space="preserve"> </w:t>
      </w:r>
      <w:r>
        <w:rPr>
          <w:rFonts w:hint="eastAsia"/>
          <w:b/>
          <w:bCs/>
        </w:rPr>
        <w:t xml:space="preserve">強化</w:t>
      </w:r>
    </w:p>
    <w:p>
      <w:pPr>
        <w:pStyle w:val="BodyText"/>
      </w:pPr>
      <w:r>
        <w:rPr>
          <w:rFonts w:hint="eastAsia"/>
          <w:b/>
          <w:bCs/>
        </w:rPr>
        <w:t xml:space="preserve">初期仮説への影響:</w:t>
      </w:r>
      <w:r>
        <w:t xml:space="preserve"> </w:t>
      </w:r>
      <w:r>
        <w:rPr>
          <w:rFonts w:hint="eastAsia"/>
        </w:rPr>
        <w:t xml:space="preserve">初期仮説構築時点ではオンコロジーの主要カタリストはTemab-AのPhase2データとEpkinlyの適応拡大だったが、直近1年でTemab-AがCRC・膵臓癌で想定以上の有効性を示しPhase3に進展。さらにEMRELIS（Teliso-V）が米国承認を取得し上市済みで、既に売上貢献が始まった。初期仮説の「2030年代前半に$10B+」は、パイプラインの進捗が計画を上回っていることから確度が上がっている。</w:t>
      </w:r>
    </w:p>
    <w:p>
      <w:pPr>
        <w:pStyle w:val="Compact"/>
        <w:numPr>
          <w:ilvl w:val="0"/>
          <w:numId w:val="1004"/>
        </w:numPr>
      </w:pPr>
      <w:r>
        <w:t xml:space="preserve">Temab-A </w:t>
      </w:r>
      <w:r>
        <w:rPr>
          <w:rFonts w:hint="eastAsia"/>
        </w:rPr>
        <w:t xml:space="preserve">がCRCでbevacizumab併用ORR</w:t>
      </w:r>
      <w:r>
        <w:t xml:space="preserve"> 30%/DCR </w:t>
      </w:r>
      <w:r>
        <w:rPr>
          <w:rFonts w:hint="eastAsia"/>
        </w:rPr>
        <w:t xml:space="preserve">97%（SOC:</w:t>
      </w:r>
      <w:r>
        <w:t xml:space="preserve"> </w:t>
      </w:r>
      <w:r>
        <w:rPr>
          <w:rFonts w:hint="eastAsia"/>
        </w:rPr>
        <w:t xml:space="preserve">0%/70%）。Phase3開始決定。Q3</w:t>
      </w:r>
      <w:r>
        <w:t xml:space="preserve"> 2025 EC, p.6</w:t>
      </w:r>
    </w:p>
    <w:p>
      <w:pPr>
        <w:pStyle w:val="Compact"/>
        <w:numPr>
          <w:ilvl w:val="0"/>
          <w:numId w:val="1004"/>
        </w:numPr>
      </w:pPr>
      <w:r>
        <w:t xml:space="preserve">Temab-A </w:t>
      </w:r>
      <w:r>
        <w:rPr>
          <w:rFonts w:hint="eastAsia"/>
        </w:rPr>
        <w:t xml:space="preserve">が膵臓癌でORR</w:t>
      </w:r>
      <w:r>
        <w:t xml:space="preserve"> </w:t>
      </w:r>
      <w:r>
        <w:rPr>
          <w:rFonts w:hint="eastAsia"/>
        </w:rPr>
        <w:t xml:space="preserve">24%（1L</w:t>
      </w:r>
      <w:r>
        <w:t xml:space="preserve"> </w:t>
      </w:r>
      <w:r>
        <w:rPr>
          <w:rFonts w:hint="eastAsia"/>
        </w:rPr>
        <w:t xml:space="preserve">Gem/Abr後40%）、MET増幅腫瘍でORR</w:t>
      </w:r>
      <w:r>
        <w:t xml:space="preserve"> 47%。Q3 2025 EC, p.6</w:t>
      </w:r>
    </w:p>
    <w:p>
      <w:pPr>
        <w:pStyle w:val="Compact"/>
        <w:numPr>
          <w:ilvl w:val="0"/>
          <w:numId w:val="1004"/>
        </w:numPr>
      </w:pPr>
      <w:r>
        <w:rPr>
          <w:rFonts w:hint="eastAsia"/>
        </w:rPr>
        <w:t xml:space="preserve">EMRELIS（Teliso-V）が非扁平上皮NSCLCで米国承認取得・上市開始。Q2</w:t>
      </w:r>
      <w:r>
        <w:t xml:space="preserve"> 2025 EC, p.3-4</w:t>
      </w:r>
    </w:p>
    <w:p>
      <w:pPr>
        <w:pStyle w:val="Compact"/>
        <w:numPr>
          <w:ilvl w:val="0"/>
          <w:numId w:val="1004"/>
        </w:numPr>
      </w:pPr>
      <w:r>
        <w:t xml:space="preserve">RemeGen からPD-1/VEGF </w:t>
      </w:r>
      <w:r>
        <w:rPr>
          <w:rFonts w:hint="eastAsia"/>
        </w:rPr>
        <w:t xml:space="preserve">bispecificを導入、ADCとの併用戦略で固形腫瘍パイプラインをさらに強化。Q4</w:t>
      </w:r>
      <w:r>
        <w:t xml:space="preserve"> 2025 EC, p.2</w:t>
      </w:r>
    </w:p>
    <w:p>
      <w:pPr>
        <w:pStyle w:val="Compact"/>
        <w:numPr>
          <w:ilvl w:val="0"/>
          <w:numId w:val="1004"/>
        </w:numPr>
      </w:pPr>
      <w:r>
        <w:t xml:space="preserve">Venclexta + </w:t>
      </w:r>
      <w:r>
        <w:rPr>
          <w:rFonts w:hint="eastAsia"/>
        </w:rPr>
        <w:t xml:space="preserve">Calquenceの併用がCLLで2026年グローバル承認見込み。Q4</w:t>
      </w:r>
      <w:r>
        <w:t xml:space="preserve"> 2025 EC, p.5</w:t>
      </w:r>
    </w:p>
    <w:p>
      <w:pPr>
        <w:pStyle w:val="Compact"/>
        <w:numPr>
          <w:ilvl w:val="0"/>
          <w:numId w:val="1004"/>
        </w:numPr>
      </w:pPr>
      <w:r>
        <w:rPr>
          <w:rFonts w:hint="eastAsia"/>
        </w:rPr>
        <w:t xml:space="preserve">Etentamig（383）の3L多発性骨髄腫Phase3ORRデータが2026年H2に判明予定。Q4</w:t>
      </w:r>
      <w:r>
        <w:t xml:space="preserve"> 2025 EC, p.7</w:t>
      </w:r>
    </w:p>
    <w:p>
      <w:pPr>
        <w:pStyle w:val="Compact"/>
        <w:numPr>
          <w:ilvl w:val="0"/>
          <w:numId w:val="1004"/>
        </w:numPr>
      </w:pPr>
      <w:r>
        <w:rPr>
          <w:rFonts w:hint="eastAsia"/>
        </w:rPr>
        <w:t xml:space="preserve">出典:</w:t>
      </w:r>
      <w:r>
        <w:t xml:space="preserve"> Q2 2025 EC (2025-07-31), p.3-4; Q3 2025 EC (2025-10-31), p.6; Q4 2025 EC (2026-02-04), p.2, 5-7</w:t>
      </w:r>
    </w:p>
    <w:bookmarkEnd w:id="27"/>
    <w:bookmarkStart w:id="28" w:name="納得度-3"/>
    <w:p>
      <w:pPr>
        <w:pStyle w:val="Heading3"/>
      </w:pPr>
      <w:r>
        <w:rPr>
          <w:rFonts w:hint="eastAsia"/>
        </w:rPr>
        <w:t xml:space="preserve">納得度</w:t>
      </w:r>
    </w:p>
    <w:p>
      <w:pPr>
        <w:pStyle w:val="FirstParagraph"/>
      </w:pPr>
      <w:r>
        <w:t xml:space="preserve">□ 90%　□ 70%　□ 50%　□ 30%　□ 10%</w:t>
      </w:r>
    </w:p>
    <w:bookmarkEnd w:id="28"/>
    <w:bookmarkStart w:id="29" w:name="備考任意-3"/>
    <w:p>
      <w:pPr>
        <w:pStyle w:val="Heading3"/>
      </w:pPr>
      <w:r>
        <w:rPr>
          <w:rFonts w:hint="eastAsia"/>
        </w:rPr>
        <w:t xml:space="preserve">備考（任意）</w:t>
      </w:r>
    </w:p>
    <w:p>
      <w:r>
        <w:pict>
          <v:rect style="width:0;height:1.5pt" o:hralign="center" o:hrstd="t" o:hr="t"/>
        </w:pict>
      </w:r>
    </w:p>
    <w:bookmarkEnd w:id="29"/>
    <w:bookmarkEnd w:id="30"/>
    <w:bookmarkStart w:id="35" w:name="仮説-58"/>
    <w:p>
      <w:pPr>
        <w:pStyle w:val="Heading2"/>
      </w:pPr>
      <w:r>
        <w:rPr>
          <w:rFonts w:hint="eastAsia"/>
        </w:rPr>
        <w:t xml:space="preserve">仮説</w:t>
      </w:r>
      <w:r>
        <w:t xml:space="preserve"> 5/8</w:t>
      </w:r>
    </w:p>
    <w:p>
      <w:pPr>
        <w:pStyle w:val="FirstParagraph"/>
      </w:pPr>
      <w:r>
        <w:rPr>
          <w:rFonts w:hint="eastAsia"/>
          <w:b/>
          <w:bCs/>
        </w:rPr>
        <w:t xml:space="preserve">Rinvoqの適応症拡大（GCA、脱毛症、白斑、HS、ループス）が2027年以降に数十億ドルの売上増分をもたらす</w:t>
      </w:r>
    </w:p>
    <w:bookmarkStart w:id="31" w:name="根拠情報-4"/>
    <w:p>
      <w:pPr>
        <w:pStyle w:val="Heading3"/>
      </w:pPr>
      <w:r>
        <w:rPr>
          <w:rFonts w:hint="eastAsia"/>
        </w:rPr>
        <w:t xml:space="preserve">根拠情報</w:t>
      </w:r>
    </w:p>
    <w:tbl>
      <w:tblPr>
        <w:tblStyle w:val="Table"/>
        <w:tblW w:type="pct" w:w="5000"/>
        <w:tblLayout w:type="fixed"/>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584"/>
        <w:gridCol w:w="3168"/>
        <w:gridCol w:w="3168"/>
      </w:tblGrid>
      <w:tr>
        <w:trPr>
          <w:tblHeader w:val="on"/>
        </w:trPr>
        <w:tc>
          <w:tcPr>
            <w:tcBorders>
              <w:top w:val="single" w:sz="4" w:space="0" w:color="000000"/>
              <w:left w:val="single" w:sz="4" w:space="0" w:color="000000"/>
              <w:right w:val="single" w:sz="4" w:space="0" w:color="000000"/>
              <w:bottom w:val="double" w:sz="4" w:space="0" w:color="000000"/>
            </w:tcBorders>
          </w:tcPr>
          <w:p>
            <w:pPr>
              <w:pStyle w:val="Compact"/>
            </w:pPr>
            <w:r>
              <w:rPr>
                <w:rFonts w:ascii="Times New Roman" w:hAnsi="Times New Roman" w:eastAsia="游明朝"/>
                <w:sz w:val="18"/>
              </w:rPr>
              <w:t xml:space="preserve">#</w:t>
            </w:r>
          </w:p>
        </w:tc>
        <w:tc>
          <w:tcPr>
            <w:tcBorders>
              <w:top w:val="single" w:sz="4" w:space="0" w:color="000000"/>
              <w:left w:val="single" w:sz="4" w:space="0" w:color="000000"/>
              <w:right w:val="single" w:sz="4" w:space="0" w:color="000000"/>
              <w:bottom w:val="double" w:sz="4" w:space="0" w:color="000000"/>
            </w:tcBorders>
          </w:tcPr>
          <w:p>
            <w:pPr>
              <w:pStyle w:val="Compact"/>
            </w:pPr>
            <w:r>
              <w:rPr>
                <w:rFonts w:hint="eastAsia" w:ascii="Times New Roman" w:hAnsi="Times New Roman" w:eastAsia="游明朝"/>
                <w:sz w:val="18"/>
              </w:rPr>
              <w:t xml:space="preserve">情報</w:t>
            </w:r>
          </w:p>
        </w:tc>
        <w:tc>
          <w:tcPr>
            <w:tcBorders>
              <w:top w:val="single" w:sz="4" w:space="0" w:color="000000"/>
              <w:left w:val="single" w:sz="4" w:space="0" w:color="000000"/>
              <w:right w:val="single" w:sz="4" w:space="0" w:color="000000"/>
              <w:bottom w:val="double" w:sz="4" w:space="0" w:color="000000"/>
            </w:tcBorders>
          </w:tcPr>
          <w:p>
            <w:pPr>
              <w:pStyle w:val="Compact"/>
            </w:pPr>
            <w:r>
              <w:rPr>
                <w:rFonts w:hint="eastAsia" w:ascii="Times New Roman" w:hAnsi="Times New Roman" w:eastAsia="游明朝"/>
                <w:sz w:val="18"/>
              </w:rPr>
              <w:t xml:space="preserve">出典</w:t>
            </w:r>
          </w:p>
        </w:tc>
      </w:tr>
      <w:tr>
        <w:tc>
          <w:tcPr/>
          <w:p>
            <w:pPr>
              <w:pStyle w:val="Compact"/>
            </w:pPr>
            <w:r>
              <w:rPr>
                <w:rFonts w:ascii="Times New Roman" w:hAnsi="Times New Roman" w:eastAsia="游明朝"/>
                <w:sz w:val="18"/>
              </w:rPr>
              <w:t xml:space="preserve">1</w:t>
            </w:r>
          </w:p>
        </w:tc>
        <w:tc>
          <w:tcPr/>
          <w:p>
            <w:pPr>
              <w:pStyle w:val="Compact"/>
            </w:pPr>
            <w:r>
              <w:rPr>
                <w:rFonts w:hint="eastAsia" w:ascii="Times New Roman" w:hAnsi="Times New Roman" w:eastAsia="游明朝"/>
                <w:sz w:val="18"/>
              </w:rPr>
              <w:t xml:space="preserve">RinvoqのPhase3が5つの新適応症（GCA、ループス、HS、脱毛症、白斑）で進行中</w:t>
            </w:r>
          </w:p>
        </w:tc>
        <w:tc>
          <w:tcPr/>
          <w:p>
            <w:pPr>
              <w:pStyle w:val="Compact"/>
            </w:pPr>
            <w:r>
              <w:rPr>
                <w:rFonts w:ascii="Times New Roman" w:hAnsi="Times New Roman" w:eastAsia="游明朝"/>
                <w:sz w:val="18"/>
              </w:rPr>
              <w:t xml:space="preserve">Q4 2023 EC, p.6</w:t>
            </w:r>
          </w:p>
        </w:tc>
      </w:tr>
      <w:tr>
        <w:tc>
          <w:tcPr/>
          <w:p>
            <w:pPr>
              <w:pStyle w:val="Compact"/>
            </w:pPr>
            <w:r>
              <w:rPr>
                <w:rFonts w:ascii="Times New Roman" w:hAnsi="Times New Roman" w:eastAsia="游明朝"/>
                <w:sz w:val="18"/>
              </w:rPr>
              <w:t xml:space="preserve">2</w:t>
            </w:r>
          </w:p>
        </w:tc>
        <w:tc>
          <w:tcPr/>
          <w:p>
            <w:pPr>
              <w:pStyle w:val="Compact"/>
            </w:pPr>
            <w:r>
              <w:rPr>
                <w:rFonts w:hint="eastAsia" w:ascii="Times New Roman" w:hAnsi="Times New Roman" w:eastAsia="游明朝"/>
                <w:sz w:val="18"/>
              </w:rPr>
              <w:t xml:space="preserve">新適応症の合計ピーク売上ポテンシャルは「数十億ドル」と経営陣が明言</w:t>
            </w:r>
          </w:p>
        </w:tc>
        <w:tc>
          <w:tcPr/>
          <w:p>
            <w:pPr>
              <w:pStyle w:val="Compact"/>
            </w:pPr>
            <w:r>
              <w:rPr>
                <w:rFonts w:ascii="Times New Roman" w:hAnsi="Times New Roman" w:eastAsia="游明朝"/>
                <w:sz w:val="18"/>
              </w:rPr>
              <w:t xml:space="preserve">Q4 2023 EC, p.3</w:t>
            </w:r>
          </w:p>
        </w:tc>
      </w:tr>
      <w:tr>
        <w:tc>
          <w:tcPr/>
          <w:p>
            <w:pPr>
              <w:pStyle w:val="Compact"/>
            </w:pPr>
            <w:r>
              <w:rPr>
                <w:rFonts w:ascii="Times New Roman" w:hAnsi="Times New Roman" w:eastAsia="游明朝"/>
                <w:sz w:val="18"/>
              </w:rPr>
              <w:t xml:space="preserve">3</w:t>
            </w:r>
          </w:p>
        </w:tc>
        <w:tc>
          <w:tcPr/>
          <w:p>
            <w:pPr>
              <w:pStyle w:val="Compact"/>
            </w:pPr>
            <w:r>
              <w:rPr>
                <w:rFonts w:hint="eastAsia" w:ascii="Times New Roman" w:hAnsi="Times New Roman" w:eastAsia="游明朝"/>
                <w:sz w:val="18"/>
              </w:rPr>
              <w:t xml:space="preserve">RinvoqのIRA（薬価交渉）リスクはMedicare比率が全体の10-12%と限定的</w:t>
            </w:r>
          </w:p>
        </w:tc>
        <w:tc>
          <w:tcPr/>
          <w:p>
            <w:pPr>
              <w:pStyle w:val="Compact"/>
            </w:pPr>
            <w:r>
              <w:rPr>
                <w:rFonts w:ascii="Times New Roman" w:hAnsi="Times New Roman" w:eastAsia="游明朝"/>
                <w:sz w:val="18"/>
              </w:rPr>
              <w:t xml:space="preserve">Q2 2023 EC, p.10</w:t>
            </w:r>
          </w:p>
        </w:tc>
      </w:tr>
      <w:tr>
        <w:tc>
          <w:tcPr/>
          <w:p>
            <w:pPr>
              <w:pStyle w:val="Compact"/>
            </w:pPr>
            <w:r>
              <w:rPr>
                <w:rFonts w:ascii="Times New Roman" w:hAnsi="Times New Roman" w:eastAsia="游明朝"/>
                <w:sz w:val="18"/>
              </w:rPr>
              <w:t xml:space="preserve">4</w:t>
            </w:r>
          </w:p>
        </w:tc>
        <w:tc>
          <w:tcPr/>
          <w:p>
            <w:pPr>
              <w:pStyle w:val="Compact"/>
            </w:pPr>
            <w:r>
              <w:rPr>
                <w:rFonts w:ascii="Times New Roman" w:hAnsi="Times New Roman" w:eastAsia="游明朝"/>
                <w:sz w:val="18"/>
              </w:rPr>
              <w:t xml:space="preserve">Rinvoq </w:t>
            </w:r>
            <w:r>
              <w:rPr>
                <w:rFonts w:hint="eastAsia" w:ascii="Times New Roman" w:hAnsi="Times New Roman" w:eastAsia="游明朝"/>
                <w:sz w:val="18"/>
              </w:rPr>
              <w:t xml:space="preserve">2027年に$10B超のガイダンス（既存適応症のみで達成可能と示唆）</w:t>
            </w:r>
          </w:p>
        </w:tc>
        <w:tc>
          <w:tcPr/>
          <w:p>
            <w:pPr>
              <w:pStyle w:val="Compact"/>
            </w:pPr>
            <w:r>
              <w:rPr>
                <w:rFonts w:ascii="Times New Roman" w:hAnsi="Times New Roman" w:eastAsia="游明朝"/>
                <w:sz w:val="18"/>
              </w:rPr>
              <w:t xml:space="preserve">Q4 2023 EC, p.3</w:t>
            </w:r>
          </w:p>
        </w:tc>
      </w:tr>
    </w:tbl>
    <w:bookmarkEnd w:id="31"/>
    <w:bookmarkStart w:id="32" w:name="更新情報直近1年-4"/>
    <w:p>
      <w:pPr>
        <w:pStyle w:val="Heading3"/>
      </w:pPr>
      <w:r>
        <w:rPr>
          <w:rFonts w:hint="eastAsia"/>
        </w:rPr>
        <w:t xml:space="preserve">更新情報（直近1年）</w:t>
      </w:r>
    </w:p>
    <w:p>
      <w:pPr>
        <w:pStyle w:val="FirstParagraph"/>
      </w:pPr>
      <w:r>
        <w:rPr>
          <w:rFonts w:hint="eastAsia"/>
          <w:b/>
          <w:bCs/>
        </w:rPr>
        <w:t xml:space="preserve">変化:</w:t>
      </w:r>
      <w:r>
        <w:rPr>
          <w:b/>
          <w:bCs/>
        </w:rPr>
        <w:t xml:space="preserve"> </w:t>
      </w:r>
      <w:r>
        <w:rPr>
          <w:rFonts w:hint="eastAsia"/>
          <w:b/>
          <w:bCs/>
        </w:rPr>
        <w:t xml:space="preserve">強化</w:t>
      </w:r>
    </w:p>
    <w:p>
      <w:pPr>
        <w:pStyle w:val="BodyText"/>
      </w:pPr>
      <w:r>
        <w:rPr>
          <w:rFonts w:hint="eastAsia"/>
          <w:b/>
          <w:bCs/>
        </w:rPr>
        <w:t xml:space="preserve">初期仮説への影響:</w:t>
      </w:r>
      <w:r>
        <w:t xml:space="preserve"> </w:t>
      </w:r>
      <w:r>
        <w:rPr>
          <w:rFonts w:hint="eastAsia"/>
        </w:rPr>
        <w:t xml:space="preserve">初期仮説構築時点では5適応症すべてがPhase3進行中だったが、直近1年でGCA承認取得済み、脱毛症・白斑がともにPhase3で2試験連続ポジティブと申請段階に進んだ。5適応症中3つが承認済みまたは申請間近となり、「数十億ドルの売上増分」の実現確度は初期仮説時点より大幅に上昇。残るHSとループスのデータが2026年に出るため、仮説の最終検証はその時期になる。</w:t>
      </w:r>
    </w:p>
    <w:p>
      <w:pPr>
        <w:pStyle w:val="Compact"/>
        <w:numPr>
          <w:ilvl w:val="0"/>
          <w:numId w:val="1005"/>
        </w:numPr>
      </w:pPr>
      <w:r>
        <w:rPr>
          <w:rFonts w:hint="eastAsia"/>
        </w:rPr>
        <w:t xml:space="preserve">GCA（巨細胞性動脈炎）で欧州承認取得（2025年4月）、FDA承認も取得。処方トレンドは良好。Q1</w:t>
      </w:r>
      <w:r>
        <w:t xml:space="preserve"> 2025 EC, p.3; Q2 2025 EC, p.3</w:t>
      </w:r>
    </w:p>
    <w:p>
      <w:pPr>
        <w:pStyle w:val="Compact"/>
        <w:numPr>
          <w:ilvl w:val="0"/>
          <w:numId w:val="1005"/>
        </w:numPr>
      </w:pPr>
      <w:r>
        <w:rPr>
          <w:rFonts w:hint="eastAsia"/>
        </w:rPr>
        <w:t xml:space="preserve">脱毛症Phase3で2試験連続ポジティブ、規制当局への申請開始。Q3</w:t>
      </w:r>
      <w:r>
        <w:t xml:space="preserve"> 2025 EC, p.5</w:t>
      </w:r>
    </w:p>
    <w:p>
      <w:pPr>
        <w:pStyle w:val="Compact"/>
        <w:numPr>
          <w:ilvl w:val="0"/>
          <w:numId w:val="1005"/>
        </w:numPr>
      </w:pPr>
      <w:r>
        <w:rPr>
          <w:rFonts w:hint="eastAsia"/>
        </w:rPr>
        <w:t xml:space="preserve">白斑Phase3で2試験連続ポジティブ（co-primary及びkey</w:t>
      </w:r>
      <w:r>
        <w:t xml:space="preserve"> secondary </w:t>
      </w:r>
      <w:r>
        <w:rPr>
          <w:rFonts w:hint="eastAsia"/>
        </w:rPr>
        <w:t xml:space="preserve">EP達成）、初の全身治療薬となる可能性。Q3</w:t>
      </w:r>
      <w:r>
        <w:t xml:space="preserve"> 2025 EC, p.5</w:t>
      </w:r>
    </w:p>
    <w:p>
      <w:pPr>
        <w:pStyle w:val="Compact"/>
        <w:numPr>
          <w:ilvl w:val="0"/>
          <w:numId w:val="1005"/>
        </w:numPr>
      </w:pPr>
      <w:r>
        <w:rPr>
          <w:rFonts w:hint="eastAsia"/>
        </w:rPr>
        <w:t xml:space="preserve">SELECT-SWITCH試験でRinvoqがHumira（2nd</w:t>
      </w:r>
      <w:r>
        <w:t xml:space="preserve"> </w:t>
      </w:r>
      <w:r>
        <w:rPr>
          <w:rFonts w:hint="eastAsia"/>
        </w:rPr>
        <w:t xml:space="preserve">TNF）に対しRA寛解率2倍を実証。Q3</w:t>
      </w:r>
      <w:r>
        <w:t xml:space="preserve"> 2025 EC, p.5</w:t>
      </w:r>
    </w:p>
    <w:p>
      <w:pPr>
        <w:pStyle w:val="Compact"/>
        <w:numPr>
          <w:ilvl w:val="0"/>
          <w:numId w:val="1005"/>
        </w:numPr>
      </w:pPr>
      <w:r>
        <w:rPr>
          <w:rFonts w:hint="eastAsia"/>
        </w:rPr>
        <w:t xml:space="preserve">2026年にHS</w:t>
      </w:r>
      <w:r>
        <w:t xml:space="preserve"> </w:t>
      </w:r>
      <w:r>
        <w:rPr>
          <w:rFonts w:hint="eastAsia"/>
        </w:rPr>
        <w:t xml:space="preserve">Phase3データ（Rinvoq</w:t>
      </w:r>
      <w:r>
        <w:t xml:space="preserve"> + </w:t>
      </w:r>
      <w:r>
        <w:rPr>
          <w:rFonts w:hint="eastAsia"/>
        </w:rPr>
        <w:t xml:space="preserve">lutikizumab両方）が予定。Q4</w:t>
      </w:r>
      <w:r>
        <w:t xml:space="preserve"> 2025 EC, p.6</w:t>
      </w:r>
    </w:p>
    <w:p>
      <w:pPr>
        <w:pStyle w:val="Compact"/>
        <w:numPr>
          <w:ilvl w:val="0"/>
          <w:numId w:val="1005"/>
        </w:numPr>
      </w:pPr>
      <w:r>
        <w:rPr>
          <w:rFonts w:hint="eastAsia"/>
        </w:rPr>
        <w:t xml:space="preserve">出典:</w:t>
      </w:r>
      <w:r>
        <w:t xml:space="preserve"> Q1 2025 EC (2025-04-25), p.3; Q3 2025 EC (2025-10-31), p.5; Q4 2025 EC (2026-02-04), p.6</w:t>
      </w:r>
    </w:p>
    <w:bookmarkEnd w:id="32"/>
    <w:bookmarkStart w:id="33" w:name="納得度-4"/>
    <w:p>
      <w:pPr>
        <w:pStyle w:val="Heading3"/>
      </w:pPr>
      <w:r>
        <w:rPr>
          <w:rFonts w:hint="eastAsia"/>
        </w:rPr>
        <w:t xml:space="preserve">納得度</w:t>
      </w:r>
    </w:p>
    <w:p>
      <w:pPr>
        <w:pStyle w:val="FirstParagraph"/>
      </w:pPr>
      <w:r>
        <w:t xml:space="preserve">□ 90%　□ 70%　□ 50%　□ 30%　□ 10%</w:t>
      </w:r>
    </w:p>
    <w:bookmarkEnd w:id="33"/>
    <w:bookmarkStart w:id="34" w:name="備考任意-4"/>
    <w:p>
      <w:pPr>
        <w:pStyle w:val="Heading3"/>
      </w:pPr>
      <w:r>
        <w:rPr>
          <w:rFonts w:hint="eastAsia"/>
        </w:rPr>
        <w:t xml:space="preserve">備考（任意）</w:t>
      </w:r>
    </w:p>
    <w:p>
      <w:r>
        <w:pict>
          <v:rect style="width:0;height:1.5pt" o:hralign="center" o:hrstd="t" o:hr="t"/>
        </w:pict>
      </w:r>
    </w:p>
    <w:bookmarkEnd w:id="34"/>
    <w:bookmarkEnd w:id="35"/>
    <w:bookmarkStart w:id="40" w:name="仮説-68"/>
    <w:p>
      <w:pPr>
        <w:pStyle w:val="Heading2"/>
      </w:pPr>
      <w:r>
        <w:rPr>
          <w:rFonts w:hint="eastAsia"/>
        </w:rPr>
        <w:t xml:space="preserve">仮説</w:t>
      </w:r>
      <w:r>
        <w:t xml:space="preserve"> 6/8</w:t>
      </w:r>
    </w:p>
    <w:p>
      <w:pPr>
        <w:pStyle w:val="FirstParagraph"/>
      </w:pPr>
      <w:r>
        <w:rPr>
          <w:rFonts w:hint="eastAsia"/>
          <w:b/>
          <w:bCs/>
        </w:rPr>
        <w:t xml:space="preserve">外部成長（BD/M&amp;A）と内部パイプラインへの積極投資が2030年代の成長基盤を構築する</w:t>
      </w:r>
    </w:p>
    <w:bookmarkStart w:id="36" w:name="根拠情報-5"/>
    <w:p>
      <w:pPr>
        <w:pStyle w:val="Heading3"/>
      </w:pPr>
      <w:r>
        <w:rPr>
          <w:rFonts w:hint="eastAsia"/>
        </w:rPr>
        <w:t xml:space="preserve">根拠情報</w:t>
      </w:r>
    </w:p>
    <w:tbl>
      <w:tblPr>
        <w:tblStyle w:val="Table"/>
        <w:tblW w:type="pct" w:w="5000"/>
        <w:tblLayout w:type="fixed"/>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584"/>
        <w:gridCol w:w="3168"/>
        <w:gridCol w:w="3168"/>
      </w:tblGrid>
      <w:tr>
        <w:trPr>
          <w:tblHeader w:val="on"/>
        </w:trPr>
        <w:tc>
          <w:tcPr>
            <w:tcBorders>
              <w:top w:val="single" w:sz="4" w:space="0" w:color="000000"/>
              <w:left w:val="single" w:sz="4" w:space="0" w:color="000000"/>
              <w:right w:val="single" w:sz="4" w:space="0" w:color="000000"/>
              <w:bottom w:val="double" w:sz="4" w:space="0" w:color="000000"/>
            </w:tcBorders>
          </w:tcPr>
          <w:p>
            <w:pPr>
              <w:pStyle w:val="Compact"/>
            </w:pPr>
            <w:r>
              <w:rPr>
                <w:rFonts w:ascii="Times New Roman" w:hAnsi="Times New Roman" w:eastAsia="游明朝"/>
                <w:sz w:val="18"/>
              </w:rPr>
              <w:t xml:space="preserve">#</w:t>
            </w:r>
          </w:p>
        </w:tc>
        <w:tc>
          <w:tcPr>
            <w:tcBorders>
              <w:top w:val="single" w:sz="4" w:space="0" w:color="000000"/>
              <w:left w:val="single" w:sz="4" w:space="0" w:color="000000"/>
              <w:right w:val="single" w:sz="4" w:space="0" w:color="000000"/>
              <w:bottom w:val="double" w:sz="4" w:space="0" w:color="000000"/>
            </w:tcBorders>
          </w:tcPr>
          <w:p>
            <w:pPr>
              <w:pStyle w:val="Compact"/>
            </w:pPr>
            <w:r>
              <w:rPr>
                <w:rFonts w:hint="eastAsia" w:ascii="Times New Roman" w:hAnsi="Times New Roman" w:eastAsia="游明朝"/>
                <w:sz w:val="18"/>
              </w:rPr>
              <w:t xml:space="preserve">情報</w:t>
            </w:r>
          </w:p>
        </w:tc>
        <w:tc>
          <w:tcPr>
            <w:tcBorders>
              <w:top w:val="single" w:sz="4" w:space="0" w:color="000000"/>
              <w:left w:val="single" w:sz="4" w:space="0" w:color="000000"/>
              <w:right w:val="single" w:sz="4" w:space="0" w:color="000000"/>
              <w:bottom w:val="double" w:sz="4" w:space="0" w:color="000000"/>
            </w:tcBorders>
          </w:tcPr>
          <w:p>
            <w:pPr>
              <w:pStyle w:val="Compact"/>
            </w:pPr>
            <w:r>
              <w:rPr>
                <w:rFonts w:hint="eastAsia" w:ascii="Times New Roman" w:hAnsi="Times New Roman" w:eastAsia="游明朝"/>
                <w:sz w:val="18"/>
              </w:rPr>
              <w:t xml:space="preserve">出典</w:t>
            </w:r>
          </w:p>
        </w:tc>
      </w:tr>
      <w:tr>
        <w:tc>
          <w:tcPr/>
          <w:p>
            <w:pPr>
              <w:pStyle w:val="Compact"/>
            </w:pPr>
            <w:r>
              <w:rPr>
                <w:rFonts w:ascii="Times New Roman" w:hAnsi="Times New Roman" w:eastAsia="游明朝"/>
                <w:sz w:val="18"/>
              </w:rPr>
              <w:t xml:space="preserve">1</w:t>
            </w:r>
          </w:p>
        </w:tc>
        <w:tc>
          <w:tcPr/>
          <w:p>
            <w:pPr>
              <w:pStyle w:val="Compact"/>
            </w:pPr>
            <w:r>
              <w:rPr>
                <w:rFonts w:hint="eastAsia" w:ascii="Times New Roman" w:hAnsi="Times New Roman" w:eastAsia="游明朝"/>
                <w:sz w:val="18"/>
              </w:rPr>
              <w:t xml:space="preserve">ImmunoGen買収（Elahere、卵巣癌ADC）で固形腫瘍に本格参入</w:t>
            </w:r>
          </w:p>
        </w:tc>
        <w:tc>
          <w:tcPr/>
          <w:p>
            <w:pPr>
              <w:pStyle w:val="Compact"/>
            </w:pPr>
            <w:r>
              <w:rPr>
                <w:rFonts w:ascii="Times New Roman" w:hAnsi="Times New Roman" w:eastAsia="游明朝"/>
                <w:sz w:val="18"/>
              </w:rPr>
              <w:t xml:space="preserve">Q4 2023 EC, p.2; Q1 2024 EC, p.3</w:t>
            </w:r>
          </w:p>
        </w:tc>
      </w:tr>
      <w:tr>
        <w:tc>
          <w:tcPr/>
          <w:p>
            <w:pPr>
              <w:pStyle w:val="Compact"/>
            </w:pPr>
            <w:r>
              <w:rPr>
                <w:rFonts w:ascii="Times New Roman" w:hAnsi="Times New Roman" w:eastAsia="游明朝"/>
                <w:sz w:val="18"/>
              </w:rPr>
              <w:t xml:space="preserve">2</w:t>
            </w:r>
          </w:p>
        </w:tc>
        <w:tc>
          <w:tcPr/>
          <w:p>
            <w:pPr>
              <w:pStyle w:val="Compact"/>
            </w:pPr>
            <w:r>
              <w:rPr>
                <w:rFonts w:hint="eastAsia" w:ascii="Times New Roman" w:hAnsi="Times New Roman" w:eastAsia="游明朝"/>
                <w:sz w:val="18"/>
              </w:rPr>
              <w:t xml:space="preserve">Cerevel買収でemraclidine（統合失調症）、tavapadon（PD）等のニューロサイエンスパイプラインを強化</w:t>
            </w:r>
          </w:p>
        </w:tc>
        <w:tc>
          <w:tcPr/>
          <w:p>
            <w:pPr>
              <w:pStyle w:val="Compact"/>
            </w:pPr>
            <w:r>
              <w:rPr>
                <w:rFonts w:ascii="Times New Roman" w:hAnsi="Times New Roman" w:eastAsia="游明朝"/>
                <w:sz w:val="18"/>
              </w:rPr>
              <w:t xml:space="preserve">Q4 2023 EC, p.2; Q2 2024 EC, p.2</w:t>
            </w:r>
          </w:p>
        </w:tc>
      </w:tr>
      <w:tr>
        <w:tc>
          <w:tcPr/>
          <w:p>
            <w:pPr>
              <w:pStyle w:val="Compact"/>
            </w:pPr>
            <w:r>
              <w:rPr>
                <w:rFonts w:ascii="Times New Roman" w:hAnsi="Times New Roman" w:eastAsia="游明朝"/>
                <w:sz w:val="18"/>
              </w:rPr>
              <w:t xml:space="preserve">3</w:t>
            </w:r>
          </w:p>
        </w:tc>
        <w:tc>
          <w:tcPr/>
          <w:p>
            <w:pPr>
              <w:pStyle w:val="Compact"/>
            </w:pPr>
            <w:r>
              <w:rPr>
                <w:rFonts w:hint="eastAsia" w:ascii="Times New Roman" w:hAnsi="Times New Roman" w:eastAsia="游明朝"/>
                <w:sz w:val="18"/>
              </w:rPr>
              <w:t xml:space="preserve">2023年にR&amp;D費を約$600M増額、2024年にさらに大幅増額</w:t>
            </w:r>
          </w:p>
        </w:tc>
        <w:tc>
          <w:tcPr/>
          <w:p>
            <w:pPr>
              <w:pStyle w:val="Compact"/>
            </w:pPr>
            <w:r>
              <w:rPr>
                <w:rFonts w:ascii="Times New Roman" w:hAnsi="Times New Roman" w:eastAsia="游明朝"/>
                <w:sz w:val="18"/>
              </w:rPr>
              <w:t xml:space="preserve">Q4 2023 EC, p.2</w:t>
            </w:r>
          </w:p>
        </w:tc>
      </w:tr>
      <w:tr>
        <w:tc>
          <w:tcPr/>
          <w:p>
            <w:pPr>
              <w:pStyle w:val="Compact"/>
            </w:pPr>
            <w:r>
              <w:rPr>
                <w:rFonts w:ascii="Times New Roman" w:hAnsi="Times New Roman" w:eastAsia="游明朝"/>
                <w:sz w:val="18"/>
              </w:rPr>
              <w:t xml:space="preserve">4</w:t>
            </w:r>
          </w:p>
        </w:tc>
        <w:tc>
          <w:tcPr/>
          <w:p>
            <w:pPr>
              <w:pStyle w:val="Compact"/>
            </w:pPr>
            <w:r>
              <w:rPr>
                <w:rFonts w:hint="eastAsia" w:ascii="Times New Roman" w:hAnsi="Times New Roman" w:eastAsia="游明朝"/>
                <w:sz w:val="18"/>
              </w:rPr>
              <w:t xml:space="preserve">2024年前半に約12件のアーリーステージBD案件を実行</w:t>
            </w:r>
          </w:p>
        </w:tc>
        <w:tc>
          <w:tcPr/>
          <w:p>
            <w:pPr>
              <w:pStyle w:val="Compact"/>
            </w:pPr>
            <w:r>
              <w:rPr>
                <w:rFonts w:ascii="Times New Roman" w:hAnsi="Times New Roman" w:eastAsia="游明朝"/>
                <w:sz w:val="18"/>
              </w:rPr>
              <w:t xml:space="preserve">Q2 2024 EC, p.2</w:t>
            </w:r>
          </w:p>
        </w:tc>
      </w:tr>
      <w:tr>
        <w:tc>
          <w:tcPr/>
          <w:p>
            <w:pPr>
              <w:pStyle w:val="Compact"/>
            </w:pPr>
            <w:r>
              <w:rPr>
                <w:rFonts w:ascii="Times New Roman" w:hAnsi="Times New Roman" w:eastAsia="游明朝"/>
                <w:sz w:val="18"/>
              </w:rPr>
              <w:t xml:space="preserve">5</w:t>
            </w:r>
          </w:p>
        </w:tc>
        <w:tc>
          <w:tcPr/>
          <w:p>
            <w:pPr>
              <w:pStyle w:val="Compact"/>
            </w:pPr>
            <w:r>
              <w:rPr>
                <w:rFonts w:hint="eastAsia" w:ascii="Times New Roman" w:hAnsi="Times New Roman" w:eastAsia="游明朝"/>
                <w:sz w:val="18"/>
              </w:rPr>
              <w:t xml:space="preserve">Humira後のLOEイベントが今後の10年間で予定されておらず、成長投資の余力が大きい</w:t>
            </w:r>
          </w:p>
        </w:tc>
        <w:tc>
          <w:tcPr/>
          <w:p>
            <w:pPr>
              <w:pStyle w:val="Compact"/>
            </w:pPr>
            <w:r>
              <w:rPr>
                <w:rFonts w:ascii="Times New Roman" w:hAnsi="Times New Roman" w:eastAsia="游明朝"/>
                <w:sz w:val="18"/>
              </w:rPr>
              <w:t xml:space="preserve">Q4 2024 EC, p.2</w:t>
            </w:r>
          </w:p>
        </w:tc>
      </w:tr>
    </w:tbl>
    <w:bookmarkEnd w:id="36"/>
    <w:bookmarkStart w:id="37" w:name="更新情報直近1年-5"/>
    <w:p>
      <w:pPr>
        <w:pStyle w:val="Heading3"/>
      </w:pPr>
      <w:r>
        <w:rPr>
          <w:rFonts w:hint="eastAsia"/>
        </w:rPr>
        <w:t xml:space="preserve">更新情報（直近1年）</w:t>
      </w:r>
    </w:p>
    <w:p>
      <w:pPr>
        <w:pStyle w:val="FirstParagraph"/>
      </w:pPr>
      <w:r>
        <w:rPr>
          <w:rFonts w:hint="eastAsia"/>
          <w:b/>
          <w:bCs/>
        </w:rPr>
        <w:t xml:space="preserve">変化:</w:t>
      </w:r>
      <w:r>
        <w:rPr>
          <w:b/>
          <w:bCs/>
        </w:rPr>
        <w:t xml:space="preserve"> </w:t>
      </w:r>
      <w:r>
        <w:rPr>
          <w:rFonts w:hint="eastAsia"/>
          <w:b/>
          <w:bCs/>
        </w:rPr>
        <w:t xml:space="preserve">強化</w:t>
      </w:r>
    </w:p>
    <w:p>
      <w:pPr>
        <w:pStyle w:val="BodyText"/>
      </w:pPr>
      <w:r>
        <w:rPr>
          <w:rFonts w:hint="eastAsia"/>
          <w:b/>
          <w:bCs/>
        </w:rPr>
        <w:t xml:space="preserve">初期仮説への影響:</w:t>
      </w:r>
      <w:r>
        <w:t xml:space="preserve"> </w:t>
      </w:r>
      <w:r>
        <w:rPr>
          <w:rFonts w:hint="eastAsia"/>
        </w:rPr>
        <w:t xml:space="preserve">初期仮説構築時点ではImmunoGenとCerevelの2大買収が主なBD実績だったが、直近1年で30件超の追加取引と$5B超の投資を実行。特に肥満領域（Gubra/ABBV-295）への新規参入は初期仮説にはなかった新たなオプション価値。R&amp;D費も$9Bまで拡大しパイプライン90プログラム体制となり、「2030年代の成長基盤構築」の前提は初期仮説を上回るペースで進行している。</w:t>
      </w:r>
    </w:p>
    <w:p>
      <w:pPr>
        <w:pStyle w:val="Compact"/>
        <w:numPr>
          <w:ilvl w:val="0"/>
          <w:numId w:val="1006"/>
        </w:numPr>
      </w:pPr>
      <w:r>
        <w:rPr>
          <w:rFonts w:hint="eastAsia"/>
        </w:rPr>
        <w:t xml:space="preserve">2024年初以降に30件超のBD取引を実行。Q2</w:t>
      </w:r>
      <w:r>
        <w:t xml:space="preserve"> 2025 EC, p.2</w:t>
      </w:r>
    </w:p>
    <w:p>
      <w:pPr>
        <w:pStyle w:val="Compact"/>
        <w:numPr>
          <w:ilvl w:val="0"/>
          <w:numId w:val="1006"/>
        </w:numPr>
      </w:pPr>
      <w:r>
        <w:rPr>
          <w:rFonts w:hint="eastAsia"/>
        </w:rPr>
        <w:t xml:space="preserve">2025年にBDに$5B超を投資。主な案件：Capstan（in</w:t>
      </w:r>
      <w:r>
        <w:t xml:space="preserve"> vivo </w:t>
      </w:r>
      <w:r>
        <w:rPr>
          <w:rFonts w:hint="eastAsia"/>
        </w:rPr>
        <w:t xml:space="preserve">CAR-T）、bretisilocin（MDD）、ISB</w:t>
      </w:r>
      <w:r>
        <w:t xml:space="preserve"> </w:t>
      </w:r>
      <w:r>
        <w:rPr>
          <w:rFonts w:hint="eastAsia"/>
        </w:rPr>
        <w:t xml:space="preserve">2001（多発性骨髄腫trispecific）、Gubra（肥満amylinアナログ）、ADARx（siRNAプラットフォーム）、RemeGen（PD-1/VEGF）。Q4</w:t>
      </w:r>
      <w:r>
        <w:t xml:space="preserve"> 2025 EC, p.2</w:t>
      </w:r>
    </w:p>
    <w:p>
      <w:pPr>
        <w:pStyle w:val="Compact"/>
        <w:numPr>
          <w:ilvl w:val="0"/>
          <w:numId w:val="1006"/>
        </w:numPr>
      </w:pPr>
      <w:r>
        <w:rPr>
          <w:rFonts w:hint="eastAsia"/>
        </w:rPr>
        <w:t xml:space="preserve">肥満領域に新規参入（ABBV-295、長時間作用型amylinアナログ）、Phase1進行中。Q4</w:t>
      </w:r>
      <w:r>
        <w:t xml:space="preserve"> 2025 EC, p.8</w:t>
      </w:r>
    </w:p>
    <w:p>
      <w:pPr>
        <w:pStyle w:val="Compact"/>
        <w:numPr>
          <w:ilvl w:val="0"/>
          <w:numId w:val="1006"/>
        </w:numPr>
      </w:pPr>
      <w:r>
        <w:rPr>
          <w:rFonts w:hint="eastAsia"/>
        </w:rPr>
        <w:t xml:space="preserve">2025年Adjusted</w:t>
      </w:r>
      <w:r>
        <w:t xml:space="preserve"> </w:t>
      </w:r>
      <w:r>
        <w:rPr>
          <w:rFonts w:hint="eastAsia"/>
        </w:rPr>
        <w:t xml:space="preserve">R&amp;D費$9B（前年比約$1B増）、パイプラインに90のプログラム。Q3</w:t>
      </w:r>
      <w:r>
        <w:t xml:space="preserve"> 2025 EC, p.2</w:t>
      </w:r>
    </w:p>
    <w:p>
      <w:pPr>
        <w:pStyle w:val="Compact"/>
        <w:numPr>
          <w:ilvl w:val="0"/>
          <w:numId w:val="1006"/>
        </w:numPr>
      </w:pPr>
      <w:r>
        <w:rPr>
          <w:rFonts w:hint="eastAsia"/>
        </w:rPr>
        <w:t xml:space="preserve">米国に今後10年間で$100B超のR&amp;D・設備投資をコミット。Q4</w:t>
      </w:r>
      <w:r>
        <w:t xml:space="preserve"> 2025 EC, p.3</w:t>
      </w:r>
    </w:p>
    <w:p>
      <w:pPr>
        <w:pStyle w:val="Compact"/>
        <w:numPr>
          <w:ilvl w:val="0"/>
          <w:numId w:val="1006"/>
        </w:numPr>
      </w:pPr>
      <w:r>
        <w:rPr>
          <w:rFonts w:hint="eastAsia"/>
        </w:rPr>
        <w:t xml:space="preserve">出典:</w:t>
      </w:r>
      <w:r>
        <w:t xml:space="preserve"> Q2 2025 EC (2025-07-31), p.2; Q3 2025 EC (2025-10-31), p.2; Q4 2025 EC (2026-02-04), p.2-3</w:t>
      </w:r>
    </w:p>
    <w:bookmarkEnd w:id="37"/>
    <w:bookmarkStart w:id="38" w:name="納得度-5"/>
    <w:p>
      <w:pPr>
        <w:pStyle w:val="Heading3"/>
      </w:pPr>
      <w:r>
        <w:rPr>
          <w:rFonts w:hint="eastAsia"/>
        </w:rPr>
        <w:t xml:space="preserve">納得度</w:t>
      </w:r>
    </w:p>
    <w:p>
      <w:pPr>
        <w:pStyle w:val="FirstParagraph"/>
      </w:pPr>
      <w:r>
        <w:t xml:space="preserve">□ 90%　□ 70%　□ 50%　□ 30%　□ 10%</w:t>
      </w:r>
    </w:p>
    <w:bookmarkEnd w:id="38"/>
    <w:bookmarkStart w:id="39" w:name="備考任意-5"/>
    <w:p>
      <w:pPr>
        <w:pStyle w:val="Heading3"/>
      </w:pPr>
      <w:r>
        <w:rPr>
          <w:rFonts w:hint="eastAsia"/>
        </w:rPr>
        <w:t xml:space="preserve">備考（任意）</w:t>
      </w:r>
    </w:p>
    <w:p>
      <w:r>
        <w:pict>
          <v:rect style="width:0;height:1.5pt" o:hralign="center" o:hrstd="t" o:hr="t"/>
        </w:pict>
      </w:r>
    </w:p>
    <w:bookmarkEnd w:id="39"/>
    <w:bookmarkEnd w:id="40"/>
    <w:bookmarkStart w:id="45" w:name="仮説-78"/>
    <w:p>
      <w:pPr>
        <w:pStyle w:val="Heading2"/>
      </w:pPr>
      <w:r>
        <w:rPr>
          <w:rFonts w:hint="eastAsia"/>
        </w:rPr>
        <w:t xml:space="preserve">仮説</w:t>
      </w:r>
      <w:r>
        <w:t xml:space="preserve"> 7/8</w:t>
      </w:r>
    </w:p>
    <w:p>
      <w:pPr>
        <w:pStyle w:val="FirstParagraph"/>
      </w:pPr>
      <w:r>
        <w:rPr>
          <w:rFonts w:hint="eastAsia"/>
          <w:b/>
          <w:bCs/>
        </w:rPr>
        <w:t xml:space="preserve">【リスク仮説】エステティクス事業の回復遅延が長期売上成長目標（$9B</w:t>
      </w:r>
      <w:r>
        <w:rPr>
          <w:b/>
          <w:bCs/>
        </w:rPr>
        <w:t xml:space="preserve"> by </w:t>
      </w:r>
      <w:r>
        <w:rPr>
          <w:rFonts w:hint="eastAsia"/>
          <w:b/>
          <w:bCs/>
        </w:rPr>
        <w:t xml:space="preserve">2029）を毀損するリスク</w:t>
      </w:r>
    </w:p>
    <w:bookmarkStart w:id="41" w:name="根拠情報-6"/>
    <w:p>
      <w:pPr>
        <w:pStyle w:val="Heading3"/>
      </w:pPr>
      <w:r>
        <w:rPr>
          <w:rFonts w:hint="eastAsia"/>
        </w:rPr>
        <w:t xml:space="preserve">根拠情報</w:t>
      </w:r>
    </w:p>
    <w:tbl>
      <w:tblPr>
        <w:tblStyle w:val="Table"/>
        <w:tblW w:type="pct" w:w="5000"/>
        <w:tblLayout w:type="fixed"/>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584"/>
        <w:gridCol w:w="3168"/>
        <w:gridCol w:w="3168"/>
      </w:tblGrid>
      <w:tr>
        <w:trPr>
          <w:tblHeader w:val="on"/>
        </w:trPr>
        <w:tc>
          <w:tcPr>
            <w:tcBorders>
              <w:top w:val="single" w:sz="4" w:space="0" w:color="000000"/>
              <w:left w:val="single" w:sz="4" w:space="0" w:color="000000"/>
              <w:right w:val="single" w:sz="4" w:space="0" w:color="000000"/>
              <w:bottom w:val="double" w:sz="4" w:space="0" w:color="000000"/>
            </w:tcBorders>
          </w:tcPr>
          <w:p>
            <w:pPr>
              <w:pStyle w:val="Compact"/>
            </w:pPr>
            <w:r>
              <w:rPr>
                <w:rFonts w:ascii="Times New Roman" w:hAnsi="Times New Roman" w:eastAsia="游明朝"/>
                <w:sz w:val="18"/>
              </w:rPr>
              <w:t xml:space="preserve">#</w:t>
            </w:r>
          </w:p>
        </w:tc>
        <w:tc>
          <w:tcPr>
            <w:tcBorders>
              <w:top w:val="single" w:sz="4" w:space="0" w:color="000000"/>
              <w:left w:val="single" w:sz="4" w:space="0" w:color="000000"/>
              <w:right w:val="single" w:sz="4" w:space="0" w:color="000000"/>
              <w:bottom w:val="double" w:sz="4" w:space="0" w:color="000000"/>
            </w:tcBorders>
          </w:tcPr>
          <w:p>
            <w:pPr>
              <w:pStyle w:val="Compact"/>
            </w:pPr>
            <w:r>
              <w:rPr>
                <w:rFonts w:hint="eastAsia" w:ascii="Times New Roman" w:hAnsi="Times New Roman" w:eastAsia="游明朝"/>
                <w:sz w:val="18"/>
              </w:rPr>
              <w:t xml:space="preserve">情報</w:t>
            </w:r>
          </w:p>
        </w:tc>
        <w:tc>
          <w:tcPr>
            <w:tcBorders>
              <w:top w:val="single" w:sz="4" w:space="0" w:color="000000"/>
              <w:left w:val="single" w:sz="4" w:space="0" w:color="000000"/>
              <w:right w:val="single" w:sz="4" w:space="0" w:color="000000"/>
              <w:bottom w:val="double" w:sz="4" w:space="0" w:color="000000"/>
            </w:tcBorders>
          </w:tcPr>
          <w:p>
            <w:pPr>
              <w:pStyle w:val="Compact"/>
            </w:pPr>
            <w:r>
              <w:rPr>
                <w:rFonts w:hint="eastAsia" w:ascii="Times New Roman" w:hAnsi="Times New Roman" w:eastAsia="游明朝"/>
                <w:sz w:val="18"/>
              </w:rPr>
              <w:t xml:space="preserve">出典</w:t>
            </w:r>
          </w:p>
        </w:tc>
      </w:tr>
      <w:tr>
        <w:tc>
          <w:tcPr/>
          <w:p>
            <w:pPr>
              <w:pStyle w:val="Compact"/>
            </w:pPr>
            <w:r>
              <w:rPr>
                <w:rFonts w:ascii="Times New Roman" w:hAnsi="Times New Roman" w:eastAsia="游明朝"/>
                <w:sz w:val="18"/>
              </w:rPr>
              <w:t xml:space="preserve">1</w:t>
            </w:r>
          </w:p>
        </w:tc>
        <w:tc>
          <w:tcPr/>
          <w:p>
            <w:pPr>
              <w:pStyle w:val="Compact"/>
            </w:pPr>
            <w:r>
              <w:rPr>
                <w:rFonts w:hint="eastAsia" w:ascii="Times New Roman" w:hAnsi="Times New Roman" w:eastAsia="游明朝"/>
                <w:sz w:val="18"/>
              </w:rPr>
              <w:t xml:space="preserve">2023年Q1-Q2で米国エステティクス市場がインフレ影響で低迷、Juvederm売上が大幅減（Q2</w:t>
            </w:r>
            <w:r>
              <w:rPr>
                <w:rFonts w:ascii="Times New Roman" w:hAnsi="Times New Roman" w:eastAsia="游明朝"/>
                <w:sz w:val="18"/>
              </w:rPr>
              <w:t xml:space="preserve"> 2023: </w:t>
            </w:r>
            <w:r>
              <w:rPr>
                <w:rFonts w:hint="eastAsia" w:ascii="Times New Roman" w:hAnsi="Times New Roman" w:eastAsia="游明朝"/>
                <w:sz w:val="18"/>
              </w:rPr>
              <w:t xml:space="preserve">-14.5%）</w:t>
            </w:r>
          </w:p>
        </w:tc>
        <w:tc>
          <w:tcPr/>
          <w:p>
            <w:pPr>
              <w:pStyle w:val="Compact"/>
            </w:pPr>
            <w:r>
              <w:rPr>
                <w:rFonts w:ascii="Times New Roman" w:hAnsi="Times New Roman" w:eastAsia="游明朝"/>
                <w:sz w:val="18"/>
              </w:rPr>
              <w:t xml:space="preserve">Q1 2023 EC, p.5; Q2 2023 EC, p.4-5</w:t>
            </w:r>
          </w:p>
        </w:tc>
      </w:tr>
      <w:tr>
        <w:tc>
          <w:tcPr/>
          <w:p>
            <w:pPr>
              <w:pStyle w:val="Compact"/>
            </w:pPr>
            <w:r>
              <w:rPr>
                <w:rFonts w:ascii="Times New Roman" w:hAnsi="Times New Roman" w:eastAsia="游明朝"/>
                <w:sz w:val="18"/>
              </w:rPr>
              <w:t xml:space="preserve">2</w:t>
            </w:r>
          </w:p>
        </w:tc>
        <w:tc>
          <w:tcPr/>
          <w:p>
            <w:pPr>
              <w:pStyle w:val="Compact"/>
            </w:pPr>
            <w:r>
              <w:rPr>
                <w:rFonts w:hint="eastAsia" w:ascii="Times New Roman" w:hAnsi="Times New Roman" w:eastAsia="游明朝"/>
                <w:sz w:val="18"/>
              </w:rPr>
              <w:t xml:space="preserve">経営陣は「2029年に$9B超」の長期見通しを繰り返し表明</w:t>
            </w:r>
          </w:p>
        </w:tc>
        <w:tc>
          <w:tcPr/>
          <w:p>
            <w:pPr>
              <w:pStyle w:val="Compact"/>
            </w:pPr>
            <w:r>
              <w:rPr>
                <w:rFonts w:ascii="Times New Roman" w:hAnsi="Times New Roman" w:eastAsia="游明朝"/>
                <w:sz w:val="18"/>
              </w:rPr>
              <w:t xml:space="preserve">Q1 2023 EC, p.5; Q4 2023 EC, p.5</w:t>
            </w:r>
          </w:p>
        </w:tc>
      </w:tr>
      <w:tr>
        <w:tc>
          <w:tcPr/>
          <w:p>
            <w:pPr>
              <w:pStyle w:val="Compact"/>
            </w:pPr>
            <w:r>
              <w:rPr>
                <w:rFonts w:ascii="Times New Roman" w:hAnsi="Times New Roman" w:eastAsia="游明朝"/>
                <w:sz w:val="18"/>
              </w:rPr>
              <w:t xml:space="preserve">3</w:t>
            </w:r>
          </w:p>
        </w:tc>
        <w:tc>
          <w:tcPr/>
          <w:p>
            <w:pPr>
              <w:pStyle w:val="Compact"/>
            </w:pPr>
            <w:r>
              <w:rPr>
                <w:rFonts w:hint="eastAsia" w:ascii="Times New Roman" w:hAnsi="Times New Roman" w:eastAsia="游明朝"/>
                <w:sz w:val="18"/>
              </w:rPr>
              <w:t xml:space="preserve">中国市場の景気減速がQ3</w:t>
            </w:r>
            <w:r>
              <w:rPr>
                <w:rFonts w:ascii="Times New Roman" w:hAnsi="Times New Roman" w:eastAsia="游明朝"/>
                <w:sz w:val="18"/>
              </w:rPr>
              <w:t xml:space="preserve"> </w:t>
            </w:r>
            <w:r>
              <w:rPr>
                <w:rFonts w:hint="eastAsia" w:ascii="Times New Roman" w:hAnsi="Times New Roman" w:eastAsia="游明朝"/>
                <w:sz w:val="18"/>
              </w:rPr>
              <w:t xml:space="preserve">2023以降エステティクスに影響</w:t>
            </w:r>
          </w:p>
        </w:tc>
        <w:tc>
          <w:tcPr/>
          <w:p>
            <w:pPr>
              <w:pStyle w:val="Compact"/>
            </w:pPr>
            <w:r>
              <w:rPr>
                <w:rFonts w:ascii="Times New Roman" w:hAnsi="Times New Roman" w:eastAsia="游明朝"/>
                <w:sz w:val="18"/>
              </w:rPr>
              <w:t xml:space="preserve">Q4 2023 EC, p.5</w:t>
            </w:r>
          </w:p>
        </w:tc>
      </w:tr>
      <w:tr>
        <w:tc>
          <w:tcPr/>
          <w:p>
            <w:pPr>
              <w:pStyle w:val="Compact"/>
            </w:pPr>
            <w:r>
              <w:rPr>
                <w:rFonts w:ascii="Times New Roman" w:hAnsi="Times New Roman" w:eastAsia="游明朝"/>
                <w:sz w:val="18"/>
              </w:rPr>
              <w:t xml:space="preserve">4</w:t>
            </w:r>
          </w:p>
        </w:tc>
        <w:tc>
          <w:tcPr/>
          <w:p>
            <w:pPr>
              <w:pStyle w:val="Compact"/>
            </w:pPr>
            <w:r>
              <w:rPr>
                <w:rFonts w:ascii="Times New Roman" w:hAnsi="Times New Roman" w:eastAsia="游明朝"/>
                <w:sz w:val="18"/>
              </w:rPr>
              <w:t xml:space="preserve">FY2023 10-K: </w:t>
            </w:r>
            <w:r>
              <w:rPr>
                <w:rFonts w:hint="eastAsia" w:ascii="Times New Roman" w:hAnsi="Times New Roman" w:eastAsia="游明朝"/>
                <w:sz w:val="18"/>
              </w:rPr>
              <w:t xml:space="preserve">総売上$54.3B（前年比▲6.4%）、Humira売上$14.4B（▲32%）。高レバレッジ構造（負のStockholders’</w:t>
            </w:r>
            <w:r>
              <w:rPr>
                <w:rFonts w:ascii="Times New Roman" w:hAnsi="Times New Roman" w:eastAsia="游明朝"/>
                <w:sz w:val="18"/>
              </w:rPr>
              <w:t xml:space="preserve"> </w:t>
            </w:r>
            <w:r>
              <w:rPr>
                <w:rFonts w:hint="eastAsia" w:ascii="Times New Roman" w:hAnsi="Times New Roman" w:eastAsia="游明朝"/>
                <w:sz w:val="18"/>
              </w:rPr>
              <w:t xml:space="preserve">Equity）が継続</w:t>
            </w:r>
          </w:p>
        </w:tc>
        <w:tc>
          <w:tcPr/>
          <w:p>
            <w:pPr>
              <w:pStyle w:val="Compact"/>
            </w:pPr>
            <w:r>
              <w:rPr>
                <w:rFonts w:ascii="Times New Roman" w:hAnsi="Times New Roman" w:eastAsia="游明朝"/>
                <w:sz w:val="18"/>
              </w:rPr>
              <w:t xml:space="preserve">SEC EDGAR 10-K FY2023</w:t>
            </w:r>
          </w:p>
        </w:tc>
      </w:tr>
    </w:tbl>
    <w:bookmarkEnd w:id="41"/>
    <w:bookmarkStart w:id="42" w:name="更新情報直近1年-6"/>
    <w:p>
      <w:pPr>
        <w:pStyle w:val="Heading3"/>
      </w:pPr>
      <w:r>
        <w:rPr>
          <w:rFonts w:hint="eastAsia"/>
        </w:rPr>
        <w:t xml:space="preserve">更新情報（直近1年）</w:t>
      </w:r>
    </w:p>
    <w:p>
      <w:pPr>
        <w:pStyle w:val="FirstParagraph"/>
      </w:pPr>
      <w:r>
        <w:rPr>
          <w:rFonts w:hint="eastAsia"/>
          <w:b/>
          <w:bCs/>
        </w:rPr>
        <w:t xml:space="preserve">変化:</w:t>
      </w:r>
      <w:r>
        <w:rPr>
          <w:b/>
          <w:bCs/>
        </w:rPr>
        <w:t xml:space="preserve"> </w:t>
      </w:r>
      <w:r>
        <w:rPr>
          <w:rFonts w:hint="eastAsia"/>
          <w:b/>
          <w:bCs/>
        </w:rPr>
        <w:t xml:space="preserve">リスク顕在化</w:t>
      </w:r>
    </w:p>
    <w:p>
      <w:pPr>
        <w:pStyle w:val="BodyText"/>
      </w:pPr>
      <w:r>
        <w:rPr>
          <w:rFonts w:hint="eastAsia"/>
          <w:b/>
          <w:bCs/>
        </w:rPr>
        <w:t xml:space="preserve">初期仮説への影響:</w:t>
      </w:r>
      <w:r>
        <w:t xml:space="preserve"> </w:t>
      </w:r>
      <w:r>
        <w:rPr>
          <w:rFonts w:hint="eastAsia"/>
        </w:rPr>
        <w:t xml:space="preserve">初期仮説構築時点では経営陣が「$9B</w:t>
      </w:r>
      <w:r>
        <w:t xml:space="preserve"> by </w:t>
      </w:r>
      <w:r>
        <w:rPr>
          <w:rFonts w:hint="eastAsia"/>
        </w:rPr>
        <w:t xml:space="preserve">2029」を繰り返し表明していたが、直近1年で実質的に下方修正（「高一桁CAGR</w:t>
      </w:r>
      <w:r>
        <w:t xml:space="preserve"> through </w:t>
      </w:r>
      <w:r>
        <w:rPr>
          <w:rFonts w:hint="eastAsia"/>
        </w:rPr>
        <w:t xml:space="preserve">2029」に変更）。2025年通年$4.9Bから$9Bへの到達には年+13%が必要だが、Botox</w:t>
      </w:r>
      <w:r>
        <w:t xml:space="preserve"> </w:t>
      </w:r>
      <w:r>
        <w:rPr>
          <w:rFonts w:hint="eastAsia"/>
        </w:rPr>
        <w:t xml:space="preserve">Cosmetic・Juvedermともに前年割れが続く。このリスクは当初の想定より深刻化しており、全社売上成長の足を引っ張る可能性がある。ただしTrenibotE（2026年承認見込み）が新規患者開拓のカタリストとなりうる点は新材料。</w:t>
      </w:r>
    </w:p>
    <w:p>
      <w:pPr>
        <w:pStyle w:val="Compact"/>
        <w:numPr>
          <w:ilvl w:val="0"/>
          <w:numId w:val="1007"/>
        </w:numPr>
      </w:pPr>
      <w:r>
        <w:rPr>
          <w:rFonts w:hint="eastAsia"/>
        </w:rPr>
        <w:t xml:space="preserve">2025年通年エステティクス売上$4.9B（前年比下落）、長期ガイダンスを「$9B</w:t>
      </w:r>
      <w:r>
        <w:t xml:space="preserve"> by </w:t>
      </w:r>
      <w:r>
        <w:rPr>
          <w:rFonts w:hint="eastAsia"/>
        </w:rPr>
        <w:t xml:space="preserve">2029」から「高一桁CAGR</w:t>
      </w:r>
      <w:r>
        <w:t xml:space="preserve"> through </w:t>
      </w:r>
      <w:r>
        <w:rPr>
          <w:rFonts w:hint="eastAsia"/>
        </w:rPr>
        <w:t xml:space="preserve">2029」に実質的に下方修正。Q4</w:t>
      </w:r>
      <w:r>
        <w:t xml:space="preserve"> 2024 EC, p.3</w:t>
      </w:r>
    </w:p>
    <w:p>
      <w:pPr>
        <w:pStyle w:val="Compact"/>
        <w:numPr>
          <w:ilvl w:val="0"/>
          <w:numId w:val="1007"/>
        </w:numPr>
      </w:pPr>
      <w:r>
        <w:t xml:space="preserve">Q1 2025でBotox Cosmetic -10.7%、Juvederm </w:t>
      </w:r>
      <w:r>
        <w:rPr>
          <w:rFonts w:hint="eastAsia"/>
        </w:rPr>
        <w:t xml:space="preserve">-20%（operational）。Q1</w:t>
      </w:r>
      <w:r>
        <w:t xml:space="preserve"> 2025 EC, p.3</w:t>
      </w:r>
    </w:p>
    <w:p>
      <w:pPr>
        <w:pStyle w:val="Compact"/>
        <w:numPr>
          <w:ilvl w:val="0"/>
          <w:numId w:val="1007"/>
        </w:numPr>
      </w:pPr>
      <w:r>
        <w:rPr>
          <w:rFonts w:hint="eastAsia"/>
        </w:rPr>
        <w:t xml:space="preserve">米国消費者センチメント低迷が続き、カテゴリ成長が従前の想定を下回る。Q3</w:t>
      </w:r>
      <w:r>
        <w:t xml:space="preserve"> 2025 EC, p.4</w:t>
      </w:r>
    </w:p>
    <w:p>
      <w:pPr>
        <w:pStyle w:val="Compact"/>
        <w:numPr>
          <w:ilvl w:val="0"/>
          <w:numId w:val="1007"/>
        </w:numPr>
      </w:pPr>
      <w:r>
        <w:t xml:space="preserve">Q3 </w:t>
      </w:r>
      <w:r>
        <w:rPr>
          <w:rFonts w:hint="eastAsia"/>
        </w:rPr>
        <w:t xml:space="preserve">2025でさらに通年ガイダンスを$200M引き下げ。Q3</w:t>
      </w:r>
      <w:r>
        <w:t xml:space="preserve"> 2025 EC, p.8</w:t>
      </w:r>
    </w:p>
    <w:p>
      <w:pPr>
        <w:pStyle w:val="Compact"/>
        <w:numPr>
          <w:ilvl w:val="0"/>
          <w:numId w:val="1007"/>
        </w:numPr>
      </w:pPr>
      <w:r>
        <w:rPr>
          <w:rFonts w:hint="eastAsia"/>
        </w:rPr>
        <w:t xml:space="preserve">2026年もカテゴリ成長は課題が続く見通し。Q4</w:t>
      </w:r>
      <w:r>
        <w:t xml:space="preserve"> 2025 EC, p.5</w:t>
      </w:r>
    </w:p>
    <w:p>
      <w:pPr>
        <w:pStyle w:val="Compact"/>
        <w:numPr>
          <w:ilvl w:val="0"/>
          <w:numId w:val="1007"/>
        </w:numPr>
      </w:pPr>
      <w:r>
        <w:rPr>
          <w:rFonts w:hint="eastAsia"/>
        </w:rPr>
        <w:t xml:space="preserve">ただし、TrenibotE（速効性短時間作用型トキシン）が2026年米国承認見込みで、新規患者開拓のカタリストに。Q4</w:t>
      </w:r>
      <w:r>
        <w:t xml:space="preserve"> 2025 EC, p.5</w:t>
      </w:r>
    </w:p>
    <w:p>
      <w:pPr>
        <w:pStyle w:val="Compact"/>
        <w:numPr>
          <w:ilvl w:val="0"/>
          <w:numId w:val="1007"/>
        </w:numPr>
      </w:pPr>
      <w:r>
        <w:rPr>
          <w:rFonts w:hint="eastAsia"/>
        </w:rPr>
        <w:t xml:space="preserve">出典:</w:t>
      </w:r>
      <w:r>
        <w:t xml:space="preserve"> Q1 2025 EC (2025-04-25), p.3; Q3 2025 EC (2025-10-31), p.4, 8; Q4 2025 EC (2026-02-04), p.5</w:t>
      </w:r>
    </w:p>
    <w:bookmarkEnd w:id="42"/>
    <w:bookmarkStart w:id="43" w:name="納得度-6"/>
    <w:p>
      <w:pPr>
        <w:pStyle w:val="Heading3"/>
      </w:pPr>
      <w:r>
        <w:rPr>
          <w:rFonts w:hint="eastAsia"/>
        </w:rPr>
        <w:t xml:space="preserve">納得度</w:t>
      </w:r>
    </w:p>
    <w:p>
      <w:pPr>
        <w:pStyle w:val="FirstParagraph"/>
      </w:pPr>
      <w:r>
        <w:t xml:space="preserve">□ 90%　□ 70%　□ 50%　□ 30%　□ 10%</w:t>
      </w:r>
    </w:p>
    <w:bookmarkEnd w:id="43"/>
    <w:bookmarkStart w:id="44" w:name="備考任意-6"/>
    <w:p>
      <w:pPr>
        <w:pStyle w:val="Heading3"/>
      </w:pPr>
      <w:r>
        <w:rPr>
          <w:rFonts w:hint="eastAsia"/>
        </w:rPr>
        <w:t xml:space="preserve">備考（任意）</w:t>
      </w:r>
    </w:p>
    <w:p>
      <w:r>
        <w:pict>
          <v:rect style="width:0;height:1.5pt" o:hralign="center" o:hrstd="t" o:hr="t"/>
        </w:pict>
      </w:r>
    </w:p>
    <w:bookmarkEnd w:id="44"/>
    <w:bookmarkEnd w:id="45"/>
    <w:bookmarkStart w:id="50" w:name="仮説-88"/>
    <w:p>
      <w:pPr>
        <w:pStyle w:val="Heading2"/>
      </w:pPr>
      <w:r>
        <w:rPr>
          <w:rFonts w:hint="eastAsia"/>
        </w:rPr>
        <w:t xml:space="preserve">仮説</w:t>
      </w:r>
      <w:r>
        <w:t xml:space="preserve"> 8/8</w:t>
      </w:r>
    </w:p>
    <w:p>
      <w:pPr>
        <w:pStyle w:val="FirstParagraph"/>
      </w:pPr>
      <w:r>
        <w:rPr>
          <w:rFonts w:hint="eastAsia"/>
          <w:b/>
          <w:bCs/>
        </w:rPr>
        <w:t xml:space="preserve">【リスク仮説】Humiraの減収ペースが想定を上回り、成長プラットフォームの吸収が追いつかないリスク</w:t>
      </w:r>
    </w:p>
    <w:bookmarkStart w:id="46" w:name="根拠情報-7"/>
    <w:p>
      <w:pPr>
        <w:pStyle w:val="Heading3"/>
      </w:pPr>
      <w:r>
        <w:rPr>
          <w:rFonts w:hint="eastAsia"/>
        </w:rPr>
        <w:t xml:space="preserve">根拠情報</w:t>
      </w:r>
    </w:p>
    <w:tbl>
      <w:tblPr>
        <w:tblStyle w:val="Table"/>
        <w:tblW w:type="pct" w:w="5000"/>
        <w:tblLayout w:type="fixed"/>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584"/>
        <w:gridCol w:w="3168"/>
        <w:gridCol w:w="3168"/>
      </w:tblGrid>
      <w:tr>
        <w:trPr>
          <w:tblHeader w:val="on"/>
        </w:trPr>
        <w:tc>
          <w:tcPr>
            <w:tcBorders>
              <w:top w:val="single" w:sz="4" w:space="0" w:color="000000"/>
              <w:left w:val="single" w:sz="4" w:space="0" w:color="000000"/>
              <w:right w:val="single" w:sz="4" w:space="0" w:color="000000"/>
              <w:bottom w:val="double" w:sz="4" w:space="0" w:color="000000"/>
            </w:tcBorders>
          </w:tcPr>
          <w:p>
            <w:pPr>
              <w:pStyle w:val="Compact"/>
            </w:pPr>
            <w:r>
              <w:rPr>
                <w:rFonts w:ascii="Times New Roman" w:hAnsi="Times New Roman" w:eastAsia="游明朝"/>
                <w:sz w:val="18"/>
              </w:rPr>
              <w:t xml:space="preserve">#</w:t>
            </w:r>
          </w:p>
        </w:tc>
        <w:tc>
          <w:tcPr>
            <w:tcBorders>
              <w:top w:val="single" w:sz="4" w:space="0" w:color="000000"/>
              <w:left w:val="single" w:sz="4" w:space="0" w:color="000000"/>
              <w:right w:val="single" w:sz="4" w:space="0" w:color="000000"/>
              <w:bottom w:val="double" w:sz="4" w:space="0" w:color="000000"/>
            </w:tcBorders>
          </w:tcPr>
          <w:p>
            <w:pPr>
              <w:pStyle w:val="Compact"/>
            </w:pPr>
            <w:r>
              <w:rPr>
                <w:rFonts w:hint="eastAsia" w:ascii="Times New Roman" w:hAnsi="Times New Roman" w:eastAsia="游明朝"/>
                <w:sz w:val="18"/>
              </w:rPr>
              <w:t xml:space="preserve">情報</w:t>
            </w:r>
          </w:p>
        </w:tc>
        <w:tc>
          <w:tcPr>
            <w:tcBorders>
              <w:top w:val="single" w:sz="4" w:space="0" w:color="000000"/>
              <w:left w:val="single" w:sz="4" w:space="0" w:color="000000"/>
              <w:right w:val="single" w:sz="4" w:space="0" w:color="000000"/>
              <w:bottom w:val="double" w:sz="4" w:space="0" w:color="000000"/>
            </w:tcBorders>
          </w:tcPr>
          <w:p>
            <w:pPr>
              <w:pStyle w:val="Compact"/>
            </w:pPr>
            <w:r>
              <w:rPr>
                <w:rFonts w:hint="eastAsia" w:ascii="Times New Roman" w:hAnsi="Times New Roman" w:eastAsia="游明朝"/>
                <w:sz w:val="18"/>
              </w:rPr>
              <w:t xml:space="preserve">出典</w:t>
            </w:r>
          </w:p>
        </w:tc>
      </w:tr>
      <w:tr>
        <w:tc>
          <w:tcPr/>
          <w:p>
            <w:pPr>
              <w:pStyle w:val="Compact"/>
            </w:pPr>
            <w:r>
              <w:rPr>
                <w:rFonts w:ascii="Times New Roman" w:hAnsi="Times New Roman" w:eastAsia="游明朝"/>
                <w:sz w:val="18"/>
              </w:rPr>
              <w:t xml:space="preserve">1</w:t>
            </w:r>
          </w:p>
        </w:tc>
        <w:tc>
          <w:tcPr/>
          <w:p>
            <w:pPr>
              <w:pStyle w:val="Compact"/>
            </w:pPr>
            <w:r>
              <w:rPr>
                <w:rFonts w:hint="eastAsia" w:ascii="Times New Roman" w:hAnsi="Times New Roman" w:eastAsia="游明朝"/>
                <w:sz w:val="18"/>
              </w:rPr>
              <w:t xml:space="preserve">米国Humira売上が2023年に35%、2024年に約48%減少（operational）とバイオシミラー侵食が進行</w:t>
            </w:r>
          </w:p>
        </w:tc>
        <w:tc>
          <w:tcPr/>
          <w:p>
            <w:pPr>
              <w:pStyle w:val="Compact"/>
            </w:pPr>
            <w:r>
              <w:rPr>
                <w:rFonts w:ascii="Times New Roman" w:hAnsi="Times New Roman" w:eastAsia="游明朝"/>
                <w:sz w:val="18"/>
              </w:rPr>
              <w:t xml:space="preserve">Q2 2023 EC, p.8-9; Q4 2024 EC, p.3</w:t>
            </w:r>
          </w:p>
        </w:tc>
      </w:tr>
      <w:tr>
        <w:tc>
          <w:tcPr/>
          <w:p>
            <w:pPr>
              <w:pStyle w:val="Compact"/>
            </w:pPr>
            <w:r>
              <w:rPr>
                <w:rFonts w:ascii="Times New Roman" w:hAnsi="Times New Roman" w:eastAsia="游明朝"/>
                <w:sz w:val="18"/>
              </w:rPr>
              <w:t xml:space="preserve">2</w:t>
            </w:r>
          </w:p>
        </w:tc>
        <w:tc>
          <w:tcPr/>
          <w:p>
            <w:pPr>
              <w:pStyle w:val="Compact"/>
            </w:pPr>
            <w:r>
              <w:rPr>
                <w:rFonts w:hint="eastAsia" w:ascii="Times New Roman" w:hAnsi="Times New Roman" w:eastAsia="游明朝"/>
                <w:sz w:val="18"/>
              </w:rPr>
              <w:t xml:space="preserve">2024年だけで米国Humira侵食額が約$5B</w:t>
            </w:r>
          </w:p>
        </w:tc>
        <w:tc>
          <w:tcPr/>
          <w:p>
            <w:pPr>
              <w:pStyle w:val="Compact"/>
            </w:pPr>
            <w:r>
              <w:rPr>
                <w:rFonts w:ascii="Times New Roman" w:hAnsi="Times New Roman" w:eastAsia="游明朝"/>
                <w:sz w:val="18"/>
              </w:rPr>
              <w:t xml:space="preserve">Q4 2024 EC, p.2</w:t>
            </w:r>
          </w:p>
        </w:tc>
      </w:tr>
      <w:tr>
        <w:tc>
          <w:tcPr/>
          <w:p>
            <w:pPr>
              <w:pStyle w:val="Compact"/>
            </w:pPr>
            <w:r>
              <w:rPr>
                <w:rFonts w:ascii="Times New Roman" w:hAnsi="Times New Roman" w:eastAsia="游明朝"/>
                <w:sz w:val="18"/>
              </w:rPr>
              <w:t xml:space="preserve">3</w:t>
            </w:r>
          </w:p>
        </w:tc>
        <w:tc>
          <w:tcPr/>
          <w:p>
            <w:pPr>
              <w:pStyle w:val="Compact"/>
            </w:pPr>
            <w:r>
              <w:rPr>
                <w:rFonts w:hint="eastAsia" w:ascii="Times New Roman" w:hAnsi="Times New Roman" w:eastAsia="游明朝"/>
                <w:sz w:val="18"/>
              </w:rPr>
              <w:t xml:space="preserve">バイオシミラーが8品以上参入、一部がlow-WAC戦略を採用しvolume侵食が加速</w:t>
            </w:r>
          </w:p>
        </w:tc>
        <w:tc>
          <w:tcPr/>
          <w:p>
            <w:pPr>
              <w:pStyle w:val="Compact"/>
            </w:pPr>
            <w:r>
              <w:rPr>
                <w:rFonts w:ascii="Times New Roman" w:hAnsi="Times New Roman" w:eastAsia="游明朝"/>
                <w:sz w:val="18"/>
              </w:rPr>
              <w:t xml:space="preserve">Q2 2023 EC, p.9</w:t>
            </w:r>
          </w:p>
        </w:tc>
      </w:tr>
      <w:tr>
        <w:tc>
          <w:tcPr/>
          <w:p>
            <w:pPr>
              <w:pStyle w:val="Compact"/>
            </w:pPr>
            <w:r>
              <w:rPr>
                <w:rFonts w:ascii="Times New Roman" w:hAnsi="Times New Roman" w:eastAsia="游明朝"/>
                <w:sz w:val="18"/>
              </w:rPr>
              <w:t xml:space="preserve">4</w:t>
            </w:r>
          </w:p>
        </w:tc>
        <w:tc>
          <w:tcPr/>
          <w:p>
            <w:pPr>
              <w:pStyle w:val="Compact"/>
            </w:pPr>
            <w:r>
              <w:rPr>
                <w:rFonts w:hint="eastAsia" w:ascii="Times New Roman" w:hAnsi="Times New Roman" w:eastAsia="游明朝"/>
                <w:sz w:val="18"/>
              </w:rPr>
              <w:t xml:space="preserve">2024-2025年の2年間パリティアクセス契約が存在するが、その後はさらなるvolume低下の可能性</w:t>
            </w:r>
          </w:p>
        </w:tc>
        <w:tc>
          <w:tcPr/>
          <w:p>
            <w:pPr>
              <w:pStyle w:val="Compact"/>
            </w:pPr>
            <w:r>
              <w:rPr>
                <w:rFonts w:ascii="Times New Roman" w:hAnsi="Times New Roman" w:eastAsia="游明朝"/>
                <w:sz w:val="18"/>
              </w:rPr>
              <w:t xml:space="preserve">Q2 2023 EC, p.10</w:t>
            </w:r>
          </w:p>
        </w:tc>
      </w:tr>
      <w:tr>
        <w:tc>
          <w:tcPr/>
          <w:p>
            <w:pPr>
              <w:pStyle w:val="Compact"/>
            </w:pPr>
            <w:r>
              <w:rPr>
                <w:rFonts w:ascii="Times New Roman" w:hAnsi="Times New Roman" w:eastAsia="游明朝"/>
                <w:sz w:val="18"/>
              </w:rPr>
              <w:t xml:space="preserve">5</w:t>
            </w:r>
          </w:p>
        </w:tc>
        <w:tc>
          <w:tcPr/>
          <w:p>
            <w:pPr>
              <w:pStyle w:val="Compact"/>
            </w:pPr>
            <w:r>
              <w:rPr>
                <w:rFonts w:hint="eastAsia" w:ascii="Times New Roman" w:hAnsi="Times New Roman" w:eastAsia="游明朝"/>
                <w:sz w:val="18"/>
              </w:rPr>
              <w:t xml:space="preserve">経営陣は「2025年にrobust</w:t>
            </w:r>
            <w:r>
              <w:rPr>
                <w:rFonts w:ascii="Times New Roman" w:hAnsi="Times New Roman" w:eastAsia="游明朝"/>
                <w:sz w:val="18"/>
              </w:rPr>
              <w:t xml:space="preserve"> </w:t>
            </w:r>
            <w:r>
              <w:rPr>
                <w:rFonts w:hint="eastAsia" w:ascii="Times New Roman" w:hAnsi="Times New Roman" w:eastAsia="游明朝"/>
                <w:sz w:val="18"/>
              </w:rPr>
              <w:t xml:space="preserve">growth回復」「高一桁CAGR</w:t>
            </w:r>
            <w:r>
              <w:rPr>
                <w:rFonts w:ascii="Times New Roman" w:hAnsi="Times New Roman" w:eastAsia="游明朝"/>
                <w:sz w:val="18"/>
              </w:rPr>
              <w:t xml:space="preserve"> through </w:t>
            </w:r>
            <w:r>
              <w:rPr>
                <w:rFonts w:hint="eastAsia" w:ascii="Times New Roman" w:hAnsi="Times New Roman" w:eastAsia="游明朝"/>
                <w:sz w:val="18"/>
              </w:rPr>
              <w:t xml:space="preserve">2029」と繰り返し表明</w:t>
            </w:r>
          </w:p>
        </w:tc>
        <w:tc>
          <w:tcPr/>
          <w:p>
            <w:pPr>
              <w:pStyle w:val="Compact"/>
            </w:pPr>
            <w:r>
              <w:rPr>
                <w:rFonts w:ascii="Times New Roman" w:hAnsi="Times New Roman" w:eastAsia="游明朝"/>
                <w:sz w:val="18"/>
              </w:rPr>
              <w:t xml:space="preserve">Q2 2023 EC, p.2; Q4 2024 EC, p.2</w:t>
            </w:r>
          </w:p>
        </w:tc>
      </w:tr>
    </w:tbl>
    <w:bookmarkEnd w:id="46"/>
    <w:bookmarkStart w:id="47" w:name="更新情報直近1年-7"/>
    <w:p>
      <w:pPr>
        <w:pStyle w:val="Heading3"/>
      </w:pPr>
      <w:r>
        <w:rPr>
          <w:rFonts w:hint="eastAsia"/>
        </w:rPr>
        <w:t xml:space="preserve">更新情報（直近1年）</w:t>
      </w:r>
    </w:p>
    <w:p>
      <w:pPr>
        <w:pStyle w:val="FirstParagraph"/>
      </w:pPr>
      <w:r>
        <w:rPr>
          <w:rFonts w:hint="eastAsia"/>
          <w:b/>
          <w:bCs/>
        </w:rPr>
        <w:t xml:space="preserve">変化:</w:t>
      </w:r>
      <w:r>
        <w:rPr>
          <w:b/>
          <w:bCs/>
        </w:rPr>
        <w:t xml:space="preserve"> </w:t>
      </w:r>
      <w:r>
        <w:rPr>
          <w:rFonts w:hint="eastAsia"/>
          <w:b/>
          <w:bCs/>
        </w:rPr>
        <w:t xml:space="preserve">リスク低減</w:t>
      </w:r>
    </w:p>
    <w:p>
      <w:pPr>
        <w:pStyle w:val="BodyText"/>
      </w:pPr>
      <w:r>
        <w:rPr>
          <w:rFonts w:hint="eastAsia"/>
          <w:b/>
          <w:bCs/>
        </w:rPr>
        <w:t xml:space="preserve">初期仮説への影響:</w:t>
      </w:r>
      <w:r>
        <w:t xml:space="preserve"> </w:t>
      </w:r>
      <w:r>
        <w:rPr>
          <w:rFonts w:hint="eastAsia"/>
        </w:rPr>
        <w:t xml:space="preserve">初期仮説構築時点ではHumira売上が年▲35-48%で減少中で、ex-Humiraプラットフォームが吸収できるか未確定だった。直近1年でex-Humiraが+20%超成長し、Humira</w:t>
      </w:r>
      <w:r>
        <w:t xml:space="preserve"> </w:t>
      </w:r>
      <w:r>
        <w:rPr>
          <w:rFonts w:hint="eastAsia"/>
        </w:rPr>
        <w:t xml:space="preserve">LOE以降に$16B近い売上を失いながらも全社売上が過去最高$61.2Bを達成。「成長プラットフォームの吸収が追いつかない」リスクは事実上解消された。ただしHumira残存売上の侵食は2026年以降も継続し、IRAによるImbruvica価格影響も加わるため、完全な払拭ではない。</w:t>
      </w:r>
    </w:p>
    <w:p>
      <w:pPr>
        <w:pStyle w:val="Compact"/>
        <w:numPr>
          <w:ilvl w:val="0"/>
          <w:numId w:val="1008"/>
        </w:numPr>
      </w:pPr>
      <w:r>
        <w:t xml:space="preserve">Q1 </w:t>
      </w:r>
      <w:r>
        <w:rPr>
          <w:rFonts w:hint="eastAsia"/>
        </w:rPr>
        <w:t xml:space="preserve">2025でHumira売上が想定以上に減少（$1.1B、operational</w:t>
      </w:r>
      <w:r>
        <w:t xml:space="preserve"> </w:t>
      </w:r>
      <w:r>
        <w:rPr>
          <w:rFonts w:hint="eastAsia"/>
        </w:rPr>
        <w:t xml:space="preserve">-49.5%）、通年ガイダンス引き下げ。Q1</w:t>
      </w:r>
      <w:r>
        <w:t xml:space="preserve"> 2025 EC, p.3</w:t>
      </w:r>
    </w:p>
    <w:p>
      <w:pPr>
        <w:pStyle w:val="Compact"/>
        <w:numPr>
          <w:ilvl w:val="0"/>
          <w:numId w:val="1008"/>
        </w:numPr>
      </w:pPr>
      <w:r>
        <w:rPr>
          <w:rFonts w:hint="eastAsia"/>
        </w:rPr>
        <w:t xml:space="preserve">しかし、ex-Humiraプラットフォームが2025年通年+20%超成長でHumira減収を大幅に上回る。Q3</w:t>
      </w:r>
      <w:r>
        <w:t xml:space="preserve"> 2025 EC, p.7</w:t>
      </w:r>
    </w:p>
    <w:p>
      <w:pPr>
        <w:pStyle w:val="Compact"/>
        <w:numPr>
          <w:ilvl w:val="0"/>
          <w:numId w:val="1008"/>
        </w:numPr>
      </w:pPr>
      <w:r>
        <w:rPr>
          <w:rFonts w:hint="eastAsia"/>
        </w:rPr>
        <w:t xml:space="preserve">2025年通年売上$61.2B（operational</w:t>
      </w:r>
      <w:r>
        <w:t xml:space="preserve"> </w:t>
      </w:r>
      <w:r>
        <w:rPr>
          <w:rFonts w:hint="eastAsia"/>
        </w:rPr>
        <w:t xml:space="preserve">+8.6%）で過去最高を更新、Humira</w:t>
      </w:r>
      <w:r>
        <w:t xml:space="preserve"> </w:t>
      </w:r>
      <w:r>
        <w:rPr>
          <w:rFonts w:hint="eastAsia"/>
        </w:rPr>
        <w:t xml:space="preserve">LOE以降$16B近く失いながらも前ピーク売上を$3B超上回る。Q4</w:t>
      </w:r>
      <w:r>
        <w:t xml:space="preserve"> 2025 EC, p.2</w:t>
      </w:r>
    </w:p>
    <w:p>
      <w:pPr>
        <w:pStyle w:val="Compact"/>
        <w:numPr>
          <w:ilvl w:val="0"/>
          <w:numId w:val="1008"/>
        </w:numPr>
      </w:pPr>
      <w:r>
        <w:rPr>
          <w:rFonts w:hint="eastAsia"/>
        </w:rPr>
        <w:t xml:space="preserve">2026年にはex-Humiraプラットフォームがさらに成長し、9.5%のトップライン成長を予想。Q4</w:t>
      </w:r>
      <w:r>
        <w:t xml:space="preserve"> 2025 EC, p.2</w:t>
      </w:r>
    </w:p>
    <w:p>
      <w:pPr>
        <w:pStyle w:val="Compact"/>
        <w:numPr>
          <w:ilvl w:val="0"/>
          <w:numId w:val="1008"/>
        </w:numPr>
      </w:pPr>
      <w:r>
        <w:rPr>
          <w:rFonts w:hint="eastAsia"/>
        </w:rPr>
        <w:t xml:space="preserve">Humiraアクセスは2026年もexclusionary</w:t>
      </w:r>
      <w:r>
        <w:t xml:space="preserve"> </w:t>
      </w:r>
      <w:r>
        <w:rPr>
          <w:rFonts w:hint="eastAsia"/>
        </w:rPr>
        <w:t xml:space="preserve">contractsの増加で減少継続するが、volume</w:t>
      </w:r>
      <w:r>
        <w:t xml:space="preserve"> </w:t>
      </w:r>
      <w:r>
        <w:rPr>
          <w:rFonts w:hint="eastAsia"/>
        </w:rPr>
        <w:t xml:space="preserve">erosionの一部は価格上昇で相殺。Q3</w:t>
      </w:r>
      <w:r>
        <w:t xml:space="preserve"> 2025 EC, p.4</w:t>
      </w:r>
    </w:p>
    <w:p>
      <w:pPr>
        <w:pStyle w:val="Compact"/>
        <w:numPr>
          <w:ilvl w:val="0"/>
          <w:numId w:val="1008"/>
        </w:numPr>
      </w:pPr>
      <w:r>
        <w:rPr>
          <w:rFonts w:hint="eastAsia"/>
        </w:rPr>
        <w:t xml:space="preserve">出典:</w:t>
      </w:r>
      <w:r>
        <w:t xml:space="preserve"> Q1 2025 EC (2025-04-25), p.3; Q3 2025 EC (2025-10-31), p.4, 7; Q4 2025 EC (2026-02-04), p.2</w:t>
      </w:r>
    </w:p>
    <w:bookmarkEnd w:id="47"/>
    <w:bookmarkStart w:id="48" w:name="納得度-7"/>
    <w:p>
      <w:pPr>
        <w:pStyle w:val="Heading3"/>
      </w:pPr>
      <w:r>
        <w:rPr>
          <w:rFonts w:hint="eastAsia"/>
        </w:rPr>
        <w:t xml:space="preserve">納得度</w:t>
      </w:r>
    </w:p>
    <w:p>
      <w:pPr>
        <w:pStyle w:val="FirstParagraph"/>
      </w:pPr>
      <w:r>
        <w:t xml:space="preserve">□ 90%　□ 70%　□ 50%　□ 30%　□ 10%</w:t>
      </w:r>
    </w:p>
    <w:bookmarkEnd w:id="48"/>
    <w:bookmarkStart w:id="49" w:name="備考任意-7"/>
    <w:p>
      <w:pPr>
        <w:pStyle w:val="Heading3"/>
      </w:pPr>
      <w:r>
        <w:rPr>
          <w:rFonts w:hint="eastAsia"/>
        </w:rPr>
        <w:t xml:space="preserve">備考（任意）</w:t>
      </w:r>
    </w:p>
    <w:p>
      <w:r>
        <w:pict>
          <v:rect style="width:0;height:1.5pt" o:hralign="center" o:hrstd="t" o:hr="t"/>
        </w:pict>
      </w:r>
    </w:p>
    <w:bookmarkEnd w:id="49"/>
    <w:bookmarkEnd w:id="50"/>
    <w:bookmarkStart w:id="53" w:name="補足-sec-edgar-財務サマリー"/>
    <w:p>
      <w:pPr>
        <w:pStyle w:val="Heading2"/>
      </w:pPr>
      <w:r>
        <w:rPr>
          <w:rFonts w:hint="eastAsia"/>
        </w:rPr>
        <w:t xml:space="preserve">補足:</w:t>
      </w:r>
      <w:r>
        <w:t xml:space="preserve"> SEC EDGAR </w:t>
      </w:r>
      <w:r>
        <w:rPr>
          <w:rFonts w:hint="eastAsia"/>
        </w:rPr>
        <w:t xml:space="preserve">財務サマリー</w:t>
      </w:r>
    </w:p>
    <w:bookmarkStart w:id="51" w:name="初期仮説構築期間fy2023-10-k"/>
    <w:p>
      <w:pPr>
        <w:pStyle w:val="Heading3"/>
      </w:pPr>
      <w:r>
        <w:rPr>
          <w:rFonts w:hint="eastAsia"/>
        </w:rPr>
        <w:t xml:space="preserve">初期仮説構築期間（FY2023</w:t>
      </w:r>
      <w:r>
        <w:t xml:space="preserve"> </w:t>
      </w:r>
      <w:r>
        <w:rPr>
          <w:rFonts w:hint="eastAsia"/>
        </w:rPr>
        <w:t xml:space="preserve">10-K）</w:t>
      </w:r>
    </w:p>
    <w:tbl>
      <w:tblPr>
        <w:tblStyle w:val="Table"/>
        <w:tblW w:type="auto" w:w="0"/>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980"/>
        <w:gridCol w:w="1980"/>
        <w:gridCol w:w="1980"/>
        <w:gridCol w:w="1980"/>
      </w:tblGrid>
      <w:tr>
        <w:trPr>
          <w:tblHeader w:val="on"/>
        </w:trPr>
        <w:tc>
          <w:tcPr>
            <w:tcBorders>
              <w:top w:val="single" w:sz="4" w:space="0" w:color="000000"/>
              <w:left w:val="single" w:sz="4" w:space="0" w:color="000000"/>
              <w:right w:val="single" w:sz="4" w:space="0" w:color="000000"/>
              <w:bottom w:val="double" w:sz="4" w:space="0" w:color="000000"/>
            </w:tcBorders>
          </w:tcPr>
          <w:p>
            <w:pPr>
              <w:pStyle w:val="Compact"/>
            </w:pPr>
            <w:r>
              <w:rPr>
                <w:rFonts w:hint="eastAsia" w:ascii="Times New Roman" w:hAnsi="Times New Roman" w:eastAsia="游明朝"/>
                <w:sz w:val="18"/>
              </w:rPr>
              <w:t xml:space="preserve">項目</w:t>
            </w:r>
          </w:p>
        </w:tc>
        <w:tc>
          <w:tcPr>
            <w:tcBorders>
              <w:top w:val="single" w:sz="4" w:space="0" w:color="000000"/>
              <w:left w:val="single" w:sz="4" w:space="0" w:color="000000"/>
              <w:right w:val="single" w:sz="4" w:space="0" w:color="000000"/>
              <w:bottom w:val="double" w:sz="4" w:space="0" w:color="000000"/>
            </w:tcBorders>
          </w:tcPr>
          <w:p>
            <w:pPr>
              <w:pStyle w:val="Compact"/>
            </w:pPr>
            <w:r>
              <w:rPr>
                <w:rFonts w:ascii="Times New Roman" w:hAnsi="Times New Roman" w:eastAsia="游明朝"/>
                <w:sz w:val="18"/>
              </w:rPr>
              <w:t xml:space="preserve">FY2023</w:t>
            </w:r>
          </w:p>
        </w:tc>
        <w:tc>
          <w:tcPr>
            <w:tcBorders>
              <w:top w:val="single" w:sz="4" w:space="0" w:color="000000"/>
              <w:left w:val="single" w:sz="4" w:space="0" w:color="000000"/>
              <w:right w:val="single" w:sz="4" w:space="0" w:color="000000"/>
              <w:bottom w:val="double" w:sz="4" w:space="0" w:color="000000"/>
            </w:tcBorders>
          </w:tcPr>
          <w:p>
            <w:pPr>
              <w:pStyle w:val="Compact"/>
            </w:pPr>
            <w:r>
              <w:rPr>
                <w:rFonts w:ascii="Times New Roman" w:hAnsi="Times New Roman" w:eastAsia="游明朝"/>
                <w:sz w:val="18"/>
              </w:rPr>
              <w:t xml:space="preserve">FY2022</w:t>
            </w:r>
          </w:p>
        </w:tc>
        <w:tc>
          <w:tcPr>
            <w:tcBorders>
              <w:top w:val="single" w:sz="4" w:space="0" w:color="000000"/>
              <w:left w:val="single" w:sz="4" w:space="0" w:color="000000"/>
              <w:right w:val="single" w:sz="4" w:space="0" w:color="000000"/>
              <w:bottom w:val="double" w:sz="4" w:space="0" w:color="000000"/>
            </w:tcBorders>
          </w:tcPr>
          <w:p>
            <w:pPr>
              <w:pStyle w:val="Compact"/>
            </w:pPr>
            <w:r>
              <w:rPr>
                <w:rFonts w:hint="eastAsia" w:ascii="Times New Roman" w:hAnsi="Times New Roman" w:eastAsia="游明朝"/>
                <w:sz w:val="18"/>
              </w:rPr>
              <w:t xml:space="preserve">増減</w:t>
            </w:r>
          </w:p>
        </w:tc>
      </w:tr>
      <w:tr>
        <w:tc>
          <w:tcPr/>
          <w:p>
            <w:pPr>
              <w:pStyle w:val="Compact"/>
            </w:pPr>
            <w:r>
              <w:rPr>
                <w:rFonts w:hint="eastAsia" w:ascii="Times New Roman" w:hAnsi="Times New Roman" w:eastAsia="游明朝"/>
                <w:sz w:val="18"/>
              </w:rPr>
              <w:t xml:space="preserve">総売上</w:t>
            </w:r>
          </w:p>
        </w:tc>
        <w:tc>
          <w:tcPr/>
          <w:p>
            <w:pPr>
              <w:pStyle w:val="Compact"/>
            </w:pPr>
            <w:r>
              <w:rPr>
                <w:rFonts w:ascii="Times New Roman" w:hAnsi="Times New Roman" w:eastAsia="游明朝"/>
                <w:sz w:val="18"/>
              </w:rPr>
              <w:t xml:space="preserve">$54.3B</w:t>
            </w:r>
          </w:p>
        </w:tc>
        <w:tc>
          <w:tcPr/>
          <w:p>
            <w:pPr>
              <w:pStyle w:val="Compact"/>
            </w:pPr>
            <w:r>
              <w:rPr>
                <w:rFonts w:ascii="Times New Roman" w:hAnsi="Times New Roman" w:eastAsia="游明朝"/>
                <w:sz w:val="18"/>
              </w:rPr>
              <w:t xml:space="preserve">$58.1B</w:t>
            </w:r>
          </w:p>
        </w:tc>
        <w:tc>
          <w:tcPr/>
          <w:p>
            <w:pPr>
              <w:pStyle w:val="Compact"/>
            </w:pPr>
            <w:r>
              <w:rPr>
                <w:rFonts w:ascii="Times New Roman" w:hAnsi="Times New Roman" w:eastAsia="游明朝"/>
                <w:sz w:val="18"/>
              </w:rPr>
              <w:t xml:space="preserve">▲6.4%</w:t>
            </w:r>
          </w:p>
        </w:tc>
      </w:tr>
      <w:tr>
        <w:tc>
          <w:tcPr/>
          <w:p>
            <w:pPr>
              <w:pStyle w:val="Compact"/>
            </w:pPr>
            <w:r>
              <w:rPr>
                <w:rFonts w:hint="eastAsia" w:ascii="Times New Roman" w:hAnsi="Times New Roman" w:eastAsia="游明朝"/>
                <w:sz w:val="18"/>
              </w:rPr>
              <w:t xml:space="preserve">Humira売上</w:t>
            </w:r>
          </w:p>
        </w:tc>
        <w:tc>
          <w:tcPr/>
          <w:p>
            <w:pPr>
              <w:pStyle w:val="Compact"/>
            </w:pPr>
            <w:r>
              <w:rPr>
                <w:rFonts w:ascii="Times New Roman" w:hAnsi="Times New Roman" w:eastAsia="游明朝"/>
                <w:sz w:val="18"/>
              </w:rPr>
              <w:t xml:space="preserve">$14.4B</w:t>
            </w:r>
          </w:p>
        </w:tc>
        <w:tc>
          <w:tcPr/>
          <w:p>
            <w:pPr>
              <w:pStyle w:val="Compact"/>
            </w:pPr>
            <w:r>
              <w:rPr>
                <w:rFonts w:ascii="Times New Roman" w:hAnsi="Times New Roman" w:eastAsia="游明朝"/>
                <w:sz w:val="18"/>
              </w:rPr>
              <w:t xml:space="preserve">$21.2B</w:t>
            </w:r>
          </w:p>
        </w:tc>
        <w:tc>
          <w:tcPr/>
          <w:p>
            <w:pPr>
              <w:pStyle w:val="Compact"/>
            </w:pPr>
            <w:r>
              <w:rPr>
                <w:rFonts w:ascii="Times New Roman" w:hAnsi="Times New Roman" w:eastAsia="游明朝"/>
                <w:sz w:val="18"/>
              </w:rPr>
              <w:t xml:space="preserve">▲32%</w:t>
            </w:r>
          </w:p>
        </w:tc>
      </w:tr>
      <w:tr>
        <w:tc>
          <w:tcPr/>
          <w:p>
            <w:pPr>
              <w:pStyle w:val="Compact"/>
            </w:pPr>
            <w:r>
              <w:rPr>
                <w:rFonts w:hint="eastAsia" w:ascii="Times New Roman" w:hAnsi="Times New Roman" w:eastAsia="游明朝"/>
                <w:sz w:val="18"/>
              </w:rPr>
              <w:t xml:space="preserve">営業利益</w:t>
            </w:r>
          </w:p>
        </w:tc>
        <w:tc>
          <w:tcPr/>
          <w:p>
            <w:pPr>
              <w:pStyle w:val="Compact"/>
            </w:pPr>
            <w:r>
              <w:rPr>
                <w:rFonts w:ascii="Times New Roman" w:hAnsi="Times New Roman" w:eastAsia="游明朝"/>
                <w:sz w:val="18"/>
              </w:rPr>
              <w:t xml:space="preserve">$13.9B</w:t>
            </w:r>
          </w:p>
        </w:tc>
        <w:tc>
          <w:tcPr/>
          <w:p>
            <w:pPr>
              <w:pStyle w:val="Compact"/>
            </w:pPr>
            <w:r>
              <w:rPr>
                <w:rFonts w:ascii="Times New Roman" w:hAnsi="Times New Roman" w:eastAsia="游明朝"/>
                <w:sz w:val="18"/>
              </w:rPr>
              <w:t xml:space="preserve">$17.2B</w:t>
            </w:r>
          </w:p>
        </w:tc>
        <w:tc>
          <w:tcPr/>
          <w:p>
            <w:pPr>
              <w:pStyle w:val="Compact"/>
            </w:pPr>
            <w:r>
              <w:rPr>
                <w:rFonts w:ascii="Times New Roman" w:hAnsi="Times New Roman" w:eastAsia="游明朝"/>
                <w:sz w:val="18"/>
              </w:rPr>
              <w:t xml:space="preserve">▲19%</w:t>
            </w:r>
          </w:p>
        </w:tc>
      </w:tr>
      <w:tr>
        <w:tc>
          <w:tcPr/>
          <w:p>
            <w:pPr>
              <w:pStyle w:val="Compact"/>
            </w:pPr>
            <w:r>
              <w:rPr>
                <w:rFonts w:ascii="Times New Roman" w:hAnsi="Times New Roman" w:eastAsia="游明朝"/>
                <w:sz w:val="18"/>
              </w:rPr>
              <w:t xml:space="preserve">Adjusted EPS</w:t>
            </w:r>
          </w:p>
        </w:tc>
        <w:tc>
          <w:tcPr/>
          <w:p>
            <w:pPr>
              <w:pStyle w:val="Compact"/>
            </w:pPr>
            <w:r>
              <w:rPr>
                <w:rFonts w:ascii="Times New Roman" w:hAnsi="Times New Roman" w:eastAsia="游明朝"/>
                <w:sz w:val="18"/>
              </w:rPr>
              <w:t xml:space="preserve">$11.11</w:t>
            </w:r>
          </w:p>
        </w:tc>
        <w:tc>
          <w:tcPr/>
          <w:p>
            <w:pPr>
              <w:pStyle w:val="Compact"/>
            </w:pPr>
            <w:r>
              <w:rPr>
                <w:rFonts w:ascii="Times New Roman" w:hAnsi="Times New Roman" w:eastAsia="游明朝"/>
                <w:sz w:val="18"/>
              </w:rPr>
              <w:t xml:space="preserve">$13.77</w:t>
            </w:r>
          </w:p>
        </w:tc>
        <w:tc>
          <w:tcPr/>
          <w:p>
            <w:pPr>
              <w:pStyle w:val="Compact"/>
            </w:pPr>
            <w:r>
              <w:rPr>
                <w:rFonts w:ascii="Times New Roman" w:hAnsi="Times New Roman" w:eastAsia="游明朝"/>
                <w:sz w:val="18"/>
              </w:rPr>
              <w:t xml:space="preserve">▲19%</w:t>
            </w:r>
          </w:p>
        </w:tc>
      </w:tr>
    </w:tbl>
    <w:bookmarkEnd w:id="51"/>
    <w:bookmarkStart w:id="52" w:name="更新情報期間fy2025-10-k-filed-2026-02-20"/>
    <w:p>
      <w:pPr>
        <w:pStyle w:val="Heading3"/>
      </w:pPr>
      <w:r>
        <w:rPr>
          <w:rFonts w:hint="eastAsia"/>
        </w:rPr>
        <w:t xml:space="preserve">更新情報期間（FY2025</w:t>
      </w:r>
      <w:r>
        <w:t xml:space="preserve"> 10-K, filed </w:t>
      </w:r>
      <w:r>
        <w:rPr>
          <w:rFonts w:hint="eastAsia"/>
        </w:rPr>
        <w:t xml:space="preserve">2026-02-20）</w:t>
      </w:r>
    </w:p>
    <w:tbl>
      <w:tblPr>
        <w:tblStyle w:val="Table"/>
        <w:tblW w:type="auto" w:w="0"/>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980"/>
        <w:gridCol w:w="1980"/>
        <w:gridCol w:w="1980"/>
        <w:gridCol w:w="1980"/>
      </w:tblGrid>
      <w:tr>
        <w:trPr>
          <w:tblHeader w:val="on"/>
        </w:trPr>
        <w:tc>
          <w:tcPr>
            <w:tcBorders>
              <w:top w:val="single" w:sz="4" w:space="0" w:color="000000"/>
              <w:left w:val="single" w:sz="4" w:space="0" w:color="000000"/>
              <w:right w:val="single" w:sz="4" w:space="0" w:color="000000"/>
              <w:bottom w:val="double" w:sz="4" w:space="0" w:color="000000"/>
            </w:tcBorders>
          </w:tcPr>
          <w:p>
            <w:pPr>
              <w:pStyle w:val="Compact"/>
            </w:pPr>
            <w:r>
              <w:rPr>
                <w:rFonts w:hint="eastAsia" w:ascii="Times New Roman" w:hAnsi="Times New Roman" w:eastAsia="游明朝"/>
                <w:sz w:val="18"/>
              </w:rPr>
              <w:t xml:space="preserve">項目</w:t>
            </w:r>
          </w:p>
        </w:tc>
        <w:tc>
          <w:tcPr>
            <w:tcBorders>
              <w:top w:val="single" w:sz="4" w:space="0" w:color="000000"/>
              <w:left w:val="single" w:sz="4" w:space="0" w:color="000000"/>
              <w:right w:val="single" w:sz="4" w:space="0" w:color="000000"/>
              <w:bottom w:val="double" w:sz="4" w:space="0" w:color="000000"/>
            </w:tcBorders>
          </w:tcPr>
          <w:p>
            <w:pPr>
              <w:pStyle w:val="Compact"/>
            </w:pPr>
            <w:r>
              <w:rPr>
                <w:rFonts w:ascii="Times New Roman" w:hAnsi="Times New Roman" w:eastAsia="游明朝"/>
                <w:sz w:val="18"/>
              </w:rPr>
              <w:t xml:space="preserve">FY2025</w:t>
            </w:r>
          </w:p>
        </w:tc>
        <w:tc>
          <w:tcPr>
            <w:tcBorders>
              <w:top w:val="single" w:sz="4" w:space="0" w:color="000000"/>
              <w:left w:val="single" w:sz="4" w:space="0" w:color="000000"/>
              <w:right w:val="single" w:sz="4" w:space="0" w:color="000000"/>
              <w:bottom w:val="double" w:sz="4" w:space="0" w:color="000000"/>
            </w:tcBorders>
          </w:tcPr>
          <w:p>
            <w:pPr>
              <w:pStyle w:val="Compact"/>
            </w:pPr>
            <w:r>
              <w:rPr>
                <w:rFonts w:ascii="Times New Roman" w:hAnsi="Times New Roman" w:eastAsia="游明朝"/>
                <w:sz w:val="18"/>
              </w:rPr>
              <w:t xml:space="preserve">FY2024</w:t>
            </w:r>
          </w:p>
        </w:tc>
        <w:tc>
          <w:tcPr>
            <w:tcBorders>
              <w:top w:val="single" w:sz="4" w:space="0" w:color="000000"/>
              <w:left w:val="single" w:sz="4" w:space="0" w:color="000000"/>
              <w:right w:val="single" w:sz="4" w:space="0" w:color="000000"/>
              <w:bottom w:val="double" w:sz="4" w:space="0" w:color="000000"/>
            </w:tcBorders>
          </w:tcPr>
          <w:p>
            <w:pPr>
              <w:pStyle w:val="Compact"/>
            </w:pPr>
            <w:r>
              <w:rPr>
                <w:rFonts w:hint="eastAsia" w:ascii="Times New Roman" w:hAnsi="Times New Roman" w:eastAsia="游明朝"/>
                <w:sz w:val="18"/>
              </w:rPr>
              <w:t xml:space="preserve">増減</w:t>
            </w:r>
          </w:p>
        </w:tc>
      </w:tr>
      <w:tr>
        <w:tc>
          <w:tcPr/>
          <w:p>
            <w:pPr>
              <w:pStyle w:val="Compact"/>
            </w:pPr>
            <w:r>
              <w:rPr>
                <w:rFonts w:hint="eastAsia" w:ascii="Times New Roman" w:hAnsi="Times New Roman" w:eastAsia="游明朝"/>
                <w:sz w:val="18"/>
              </w:rPr>
              <w:t xml:space="preserve">総売上</w:t>
            </w:r>
          </w:p>
        </w:tc>
        <w:tc>
          <w:tcPr/>
          <w:p>
            <w:pPr>
              <w:pStyle w:val="Compact"/>
            </w:pPr>
            <w:r>
              <w:rPr>
                <w:rFonts w:ascii="Times New Roman" w:hAnsi="Times New Roman" w:eastAsia="游明朝"/>
                <w:sz w:val="18"/>
              </w:rPr>
              <w:t xml:space="preserve">$61.2B</w:t>
            </w:r>
          </w:p>
        </w:tc>
        <w:tc>
          <w:tcPr/>
          <w:p>
            <w:pPr>
              <w:pStyle w:val="Compact"/>
            </w:pPr>
            <w:r>
              <w:rPr>
                <w:rFonts w:ascii="Times New Roman" w:hAnsi="Times New Roman" w:eastAsia="游明朝"/>
                <w:sz w:val="18"/>
              </w:rPr>
              <w:t xml:space="preserve">$56.3B</w:t>
            </w:r>
          </w:p>
        </w:tc>
        <w:tc>
          <w:tcPr/>
          <w:p>
            <w:pPr>
              <w:pStyle w:val="Compact"/>
            </w:pPr>
            <w:r>
              <w:rPr>
                <w:rFonts w:ascii="Times New Roman" w:hAnsi="Times New Roman" w:eastAsia="游明朝"/>
                <w:sz w:val="18"/>
              </w:rPr>
              <w:t xml:space="preserve">+8.6%</w:t>
            </w:r>
          </w:p>
        </w:tc>
      </w:tr>
      <w:tr>
        <w:tc>
          <w:tcPr/>
          <w:p>
            <w:pPr>
              <w:pStyle w:val="Compact"/>
            </w:pPr>
            <w:r>
              <w:rPr>
                <w:rFonts w:hint="eastAsia" w:ascii="Times New Roman" w:hAnsi="Times New Roman" w:eastAsia="游明朝"/>
                <w:sz w:val="18"/>
              </w:rPr>
              <w:t xml:space="preserve">営業利益</w:t>
            </w:r>
          </w:p>
        </w:tc>
        <w:tc>
          <w:tcPr/>
          <w:p>
            <w:pPr>
              <w:pStyle w:val="Compact"/>
            </w:pPr>
            <w:r>
              <w:rPr>
                <w:rFonts w:ascii="Times New Roman" w:hAnsi="Times New Roman" w:eastAsia="游明朝"/>
                <w:sz w:val="18"/>
              </w:rPr>
              <w:t xml:space="preserve">$15.1B</w:t>
            </w:r>
          </w:p>
        </w:tc>
        <w:tc>
          <w:tcPr/>
          <w:p>
            <w:pPr>
              <w:pStyle w:val="Compact"/>
            </w:pPr>
            <w:r>
              <w:rPr>
                <w:rFonts w:ascii="Times New Roman" w:hAnsi="Times New Roman" w:eastAsia="游明朝"/>
                <w:sz w:val="18"/>
              </w:rPr>
              <w:t xml:space="preserve">$11.6B</w:t>
            </w:r>
          </w:p>
        </w:tc>
        <w:tc>
          <w:tcPr/>
          <w:p>
            <w:pPr>
              <w:pStyle w:val="Compact"/>
            </w:pPr>
            <w:r>
              <w:rPr>
                <w:rFonts w:ascii="Times New Roman" w:hAnsi="Times New Roman" w:eastAsia="游明朝"/>
                <w:sz w:val="18"/>
              </w:rPr>
              <w:t xml:space="preserve">+30%</w:t>
            </w:r>
          </w:p>
        </w:tc>
      </w:tr>
      <w:tr>
        <w:tc>
          <w:tcPr/>
          <w:p>
            <w:pPr>
              <w:pStyle w:val="Compact"/>
            </w:pPr>
            <w:r>
              <w:rPr>
                <w:rFonts w:hint="eastAsia" w:ascii="Times New Roman" w:hAnsi="Times New Roman" w:eastAsia="游明朝"/>
                <w:sz w:val="18"/>
              </w:rPr>
              <w:t xml:space="preserve">営業CF</w:t>
            </w:r>
          </w:p>
        </w:tc>
        <w:tc>
          <w:tcPr/>
          <w:p>
            <w:pPr>
              <w:pStyle w:val="Compact"/>
            </w:pPr>
            <w:r>
              <w:rPr>
                <w:rFonts w:ascii="Times New Roman" w:hAnsi="Times New Roman" w:eastAsia="游明朝"/>
                <w:sz w:val="18"/>
              </w:rPr>
              <w:t xml:space="preserve">$19.0B</w:t>
            </w:r>
          </w:p>
        </w:tc>
        <w:tc>
          <w:tcPr/>
          <w:p>
            <w:pPr>
              <w:pStyle w:val="Compact"/>
            </w:pPr>
            <w:r>
              <w:rPr>
                <w:rFonts w:ascii="Times New Roman" w:hAnsi="Times New Roman" w:eastAsia="游明朝"/>
                <w:sz w:val="18"/>
              </w:rPr>
              <w:t xml:space="preserve">—</w:t>
            </w:r>
          </w:p>
        </w:tc>
        <w:tc>
          <w:tcPr/>
          <w:p>
            <w:pPr>
              <w:pStyle w:val="Compact"/>
            </w:pPr>
            <w:r>
              <w:rPr>
                <w:rFonts w:ascii="Times New Roman" w:hAnsi="Times New Roman" w:eastAsia="游明朝"/>
                <w:sz w:val="18"/>
              </w:rPr>
              <w:t xml:space="preserve">—</w:t>
            </w:r>
          </w:p>
        </w:tc>
      </w:tr>
      <w:tr>
        <w:tc>
          <w:tcPr/>
          <w:p>
            <w:pPr>
              <w:pStyle w:val="Compact"/>
            </w:pPr>
            <w:r>
              <w:rPr>
                <w:rFonts w:ascii="Times New Roman" w:hAnsi="Times New Roman" w:eastAsia="游明朝"/>
                <w:sz w:val="18"/>
              </w:rPr>
              <w:t xml:space="preserve">Adjusted EPS</w:t>
            </w:r>
          </w:p>
        </w:tc>
        <w:tc>
          <w:tcPr/>
          <w:p>
            <w:pPr>
              <w:pStyle w:val="Compact"/>
            </w:pPr>
            <w:r>
              <w:rPr>
                <w:rFonts w:ascii="Times New Roman" w:hAnsi="Times New Roman" w:eastAsia="游明朝"/>
                <w:sz w:val="18"/>
              </w:rPr>
              <w:t xml:space="preserve">$10.00</w:t>
            </w:r>
          </w:p>
        </w:tc>
        <w:tc>
          <w:tcPr/>
          <w:p>
            <w:pPr>
              <w:pStyle w:val="Compact"/>
            </w:pPr>
            <w:r>
              <w:rPr>
                <w:rFonts w:ascii="Times New Roman" w:hAnsi="Times New Roman" w:eastAsia="游明朝"/>
                <w:sz w:val="18"/>
              </w:rPr>
              <w:t xml:space="preserve">$10.12</w:t>
            </w:r>
          </w:p>
        </w:tc>
        <w:tc>
          <w:tcPr/>
          <w:p>
            <w:pPr>
              <w:pStyle w:val="Compact"/>
            </w:pPr>
            <w:r>
              <w:rPr>
                <w:rFonts w:ascii="Times New Roman" w:hAnsi="Times New Roman" w:eastAsia="游明朝"/>
                <w:sz w:val="18"/>
              </w:rPr>
              <w:t xml:space="preserve">▲1%</w:t>
            </w:r>
          </w:p>
        </w:tc>
      </w:tr>
    </w:tbl>
    <w:p>
      <w:pPr>
        <w:pStyle w:val="BodyText"/>
      </w:pPr>
      <w:r>
        <w:rPr>
          <w:rFonts w:hint="eastAsia"/>
        </w:rPr>
        <w:t xml:space="preserve">注:</w:t>
      </w:r>
      <w:r>
        <w:t xml:space="preserve"> </w:t>
      </w:r>
      <w:r>
        <w:rPr>
          <w:rFonts w:hint="eastAsia"/>
        </w:rPr>
        <w:t xml:space="preserve">GAAP純利益は買収IPR&amp;D費用・のれん償却等で大幅に圧縮されており、Adjusted</w:t>
      </w:r>
      <w:r>
        <w:t xml:space="preserve"> </w:t>
      </w:r>
      <w:r>
        <w:rPr>
          <w:rFonts w:hint="eastAsia"/>
        </w:rPr>
        <w:t xml:space="preserve">EPSベースが実態に近い。</w:t>
      </w:r>
    </w:p>
    <w:bookmarkEnd w:id="52"/>
    <w:bookmarkEnd w:id="53"/>
    <w:bookmarkEnd w:id="54"/>
    <w:sectPr>
      <w:footnotePr>
        <w:numRestart w:val="eachSect"/>
      </w:footnotePr>
      <w:pgMar w:bottom="850" w:left="850" w:right="850" w:top="85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asciiTheme="minorHAnsi" w:cstheme="minorBidi" w:eastAsia="游明朝" w:eastAsiaTheme="minorEastAsia" w:hAnsi="Times New Roman" w:hAnsiTheme="minorHAnsi"/>
        <w:sz w:val="21"/>
        <w:szCs w:val="21"/>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Times New Roman" w:eastAsia="游明朝" w:hAnsi="Times New Roman"/>
      <w:sz w:val="21"/>
    </w:rPr>
  </w:style>
  <w:style w:styleId="BodyText" w:type="paragraph">
    <w:name w:val="Body Text"/>
    <w:basedOn w:val="Normal"/>
    <w:link w:val="BodyTextChar"/>
    <w:qFormat/>
    <w:pPr>
      <w:spacing w:after="180" w:before="180"/>
    </w:pPr>
    <w:rPr>
      <w:rFonts w:ascii="Times New Roman" w:eastAsia="游明朝" w:hAnsi="Times New Roman"/>
      <w:sz w:val="21"/>
    </w:rPr>
  </w:style>
  <w:style w:customStyle="1" w:styleId="FirstParagraph" w:type="paragraph">
    <w:name w:val="First Paragraph"/>
    <w:basedOn w:val="BodyText"/>
    <w:next w:val="BodyText"/>
    <w:qFormat/>
    <w:rPr>
      <w:rFonts w:ascii="Times New Roman" w:eastAsia="游明朝" w:hAnsi="Times New Roman"/>
      <w:sz w:val="21"/>
    </w:rPr>
  </w:style>
  <w:style w:customStyle="1" w:styleId="Compact" w:type="paragraph">
    <w:name w:val="Compact"/>
    <w:basedOn w:val="BodyText"/>
    <w:qFormat/>
    <w:pPr>
      <w:spacing w:after="36" w:before="36"/>
    </w:pPr>
    <w:rPr>
      <w:rFonts w:ascii="Times New Roman" w:eastAsia="游明朝" w:hAnsi="Times New Roman"/>
      <w:sz w:val="21"/>
    </w:r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imes New Roman" w:asciiTheme="majorHAnsi" w:cstheme="majorBidi" w:eastAsia="游明朝" w:eastAsiaTheme="majorEastAsia" w:hAnsi="Times New Roman" w:hAnsiTheme="majorHAnsi"/>
      <w:b/>
      <w:color w:themeColor="accent1" w:themeShade="BF" w:val="0F4761"/>
      <w:sz w:val="32"/>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imes New Roman" w:asciiTheme="majorHAnsi" w:cstheme="majorBidi" w:eastAsia="游明朝" w:eastAsiaTheme="majorEastAsia" w:hAnsi="Times New Roman" w:hAnsiTheme="majorHAnsi"/>
      <w:b/>
      <w:color w:themeColor="accent1" w:themeShade="BF" w:val="0F4761"/>
      <w:sz w:val="28"/>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ascii="Times New Roman" w:cstheme="majorBidi" w:eastAsia="游明朝" w:eastAsiaTheme="majorEastAsia" w:hAnsi="Times New Roman"/>
      <w:b/>
      <w:color w:themeColor="accent1" w:themeShade="BF" w:val="0F4761"/>
      <w:sz w:val="24"/>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ascii="Times New Roman" w:cstheme="majorBidi" w:eastAsia="游明朝" w:eastAsiaTheme="majorEastAsia" w:hAnsi="Times New Roman"/>
      <w:b/>
      <w:i/>
      <w:iCs/>
      <w:color w:themeColor="accent1" w:themeShade="BF" w:val="0F4761"/>
      <w:sz w:val="22"/>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ascii="Times New Roman" w:cstheme="majorBidi" w:eastAsia="游明朝" w:eastAsiaTheme="majorEastAsia" w:hAnsi="Times New Roman"/>
      <w:b/>
      <w:color w:themeColor="accent1" w:themeShade="BF" w:val="0F4761"/>
      <w:sz w:val="2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rPr>
      <w:rFonts w:ascii="Times New Roman" w:eastAsia="游明朝" w:hAnsi="Times New Roman"/>
      <w:sz w:val="21"/>
    </w:r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eastAsia="游明朝" w:hAnsi="Consolas"/>
      <w:sz w:val="18"/>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2026-04-10T01:22:43Z</dcterms:created>
  <dcterms:modified xsi:type="dcterms:W3CDTF">2026-04-10T01:22:43Z</dcterms:modified>
</cp:coreProperties>
</file>

<file path=docProps/custom.xml><?xml version="1.0" encoding="utf-8"?>
<Properties xmlns="http://schemas.openxmlformats.org/officeDocument/2006/custom-properties" xmlns:vt="http://schemas.openxmlformats.org/officeDocument/2006/docPropsVTypes"/>
</file>