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ash-us-doordash-投資仮説qa"/>
    <w:p>
      <w:pPr>
        <w:pStyle w:val="Heading1"/>
      </w:pPr>
      <w:r>
        <w:t xml:space="preserve">DASH US (DoorDash) — </w:t>
      </w:r>
      <w:r>
        <w:rPr>
          <w:rFonts w:hint="eastAsia"/>
        </w:rPr>
        <w:t xml:space="preserve">投資仮説Q&amp;A</w:t>
      </w:r>
    </w:p>
    <w:p>
      <w:pPr>
        <w:pStyle w:val="FirstParagraph"/>
      </w:pPr>
      <w:r>
        <w:rPr>
          <w:rFonts w:hint="eastAsia"/>
        </w:rPr>
        <w:t xml:space="preserve">基準日:</w:t>
      </w:r>
      <w:r>
        <w:t xml:space="preserve"> 2026-04-10</w:t>
      </w:r>
    </w:p>
    <w:bookmarkStart w:id="9" w:name="このqaの目的と回答方法"/>
    <w:p>
      <w:pPr>
        <w:pStyle w:val="Heading2"/>
      </w:pPr>
      <w:r>
        <w:rPr>
          <w:rFonts w:hint="eastAsia"/>
        </w:rPr>
        <w:t xml:space="preserve">このQ&amp;Aの目的と回答方法</w:t>
      </w:r>
    </w:p>
    <w:p>
      <w:pPr>
        <w:pStyle w:val="FirstParagraph"/>
      </w:pPr>
      <w:r>
        <w:rPr>
          <w:rFonts w:hint="eastAsia"/>
          <w:b/>
          <w:bCs/>
        </w:rPr>
        <w:t xml:space="preserve">目的</w:t>
      </w:r>
      <w:r>
        <w:t xml:space="preserve">: </w:t>
      </w:r>
      <w:r>
        <w:rPr>
          <w:rFonts w:hint="eastAsia"/>
        </w:rPr>
        <w:t xml:space="preserve">AIが生成した8つの投資仮説候補に対して、アナリストの「納得度」を収集し、情報の取捨選択基準を抽出する。</w:t>
      </w:r>
    </w:p>
    <w:p>
      <w:pPr>
        <w:pStyle w:val="BodyText"/>
      </w:pPr>
      <w:r>
        <w:rPr>
          <w:rFonts w:hint="eastAsia"/>
          <w:b/>
          <w:bCs/>
        </w:rPr>
        <w:t xml:space="preserve">問い</w:t>
      </w:r>
      <w:r>
        <w:t xml:space="preserve">: </w:t>
      </w:r>
      <w:r>
        <w:rPr>
          <w:rFonts w:hint="eastAsia"/>
        </w:rPr>
        <w:t xml:space="preserve">以下の情報と投資仮説を踏まえて、</w:t>
      </w:r>
      <w:r>
        <w:rPr>
          <w:rFonts w:hint="eastAsia"/>
          <w:b/>
          <w:bCs/>
        </w:rPr>
        <w:t xml:space="preserve">あなたはこの銘柄をBUYしますか？</w:t>
      </w:r>
    </w:p>
    <w:p>
      <w:pPr>
        <w:pStyle w:val="BodyText"/>
      </w:pPr>
      <w:r>
        <w:rPr>
          <w:rFonts w:hint="eastAsia"/>
          <w:b/>
          <w:bCs/>
        </w:rPr>
        <w:t xml:space="preserve">総合判断</w:t>
      </w:r>
      <w:r>
        <w:t xml:space="preserve">:</w:t>
      </w:r>
      <w:r>
        <w:t xml:space="preserve"> </w:t>
      </w:r>
      <w:r>
        <w:t xml:space="preserve">□ BUY　□ SELL　□ </w:t>
      </w:r>
      <w:r>
        <w:rPr>
          <w:rFonts w:hint="eastAsia"/>
        </w:rPr>
        <w:t xml:space="preserve">判断保留</w:t>
      </w:r>
    </w:p>
    <w:p>
      <w:pPr>
        <w:pStyle w:val="BodyText"/>
      </w:pPr>
      <w:r>
        <w:rPr>
          <w:rFonts w:hint="eastAsia"/>
          <w:b/>
          <w:bCs/>
        </w:rPr>
        <w:t xml:space="preserve">理由（任意）</w:t>
      </w:r>
      <w:r>
        <w:t xml:space="preserve">:</w:t>
      </w:r>
    </w:p>
    <w:p>
      <w:r>
        <w:pict>
          <v:rect style="width:0;height:1.5pt" o:hralign="center" o:hrstd="t" o:hr="t"/>
        </w:pict>
      </w:r>
    </w:p>
    <w:p>
      <w:pPr>
        <w:pStyle w:val="FirstParagraph"/>
      </w:pPr>
      <w:r>
        <w:rPr>
          <w:rFonts w:hint="eastAsia"/>
          <w:b/>
          <w:bCs/>
        </w:rPr>
        <w:t xml:space="preserve">各仮説の回答方法</w:t>
      </w:r>
      <w:r>
        <w:t xml:space="preserve">: </w:t>
      </w:r>
      <w:r>
        <w:rPr>
          <w:rFonts w:hint="eastAsia"/>
        </w:rPr>
        <w:t xml:space="preserve">各仮説について「この仮説がBUY判断にどの程度寄与するか」の納得度を選んでください。</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25"/>
        <w:gridCol w:w="3394"/>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納得度</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意味</w:t>
            </w:r>
          </w:p>
        </w:tc>
      </w:tr>
      <w:tr>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この仮説は極めて重要。BUY判断の核心的な前提となる</w:t>
            </w:r>
          </w:p>
        </w:tc>
      </w:tr>
      <w:tr>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重要な補強材料。これ単独ではBUYの決め手にならないが、判断を強く支持する</w:t>
            </w:r>
          </w:p>
        </w:tc>
      </w:tr>
      <w:tr>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認識はしているが、判断への影響は中立的</w:t>
            </w:r>
          </w:p>
        </w:tc>
      </w:tr>
      <w:tr>
        <w:tc>
          <w:tcPr/>
          <w:p>
            <w:pPr>
              <w:pStyle w:val="Compact"/>
            </w:pPr>
            <w:r>
              <w:rPr>
                <w:rFonts w:ascii="Times New Roman" w:hAnsi="Times New Roman" w:eastAsia="游明朝"/>
                <w:sz w:val="18"/>
              </w:rPr>
              <w:t xml:space="preserve">30%</w:t>
            </w:r>
          </w:p>
        </w:tc>
        <w:tc>
          <w:tcPr/>
          <w:p>
            <w:pPr>
              <w:pStyle w:val="Compact"/>
            </w:pPr>
            <w:r>
              <w:rPr>
                <w:rFonts w:hint="eastAsia" w:ascii="Times New Roman" w:hAnsi="Times New Roman" w:eastAsia="游明朝"/>
                <w:sz w:val="18"/>
              </w:rPr>
              <w:t xml:space="preserve">やや懐疑的。前提が甘い、または不確実性が高い</w:t>
            </w:r>
          </w:p>
        </w:tc>
      </w:tr>
      <w:tr>
        <w:tc>
          <w:tcPr/>
          <w:p>
            <w:pPr>
              <w:pStyle w:val="Compact"/>
            </w:pPr>
            <w:r>
              <w:rPr>
                <w:rFonts w:ascii="Times New Roman" w:hAnsi="Times New Roman" w:eastAsia="游明朝"/>
                <w:sz w:val="18"/>
              </w:rPr>
              <w:t xml:space="preserve">10%</w:t>
            </w:r>
          </w:p>
        </w:tc>
        <w:tc>
          <w:tcPr/>
          <w:p>
            <w:pPr>
              <w:pStyle w:val="Compact"/>
            </w:pPr>
            <w:r>
              <w:rPr>
                <w:rFonts w:hint="eastAsia" w:ascii="Times New Roman" w:hAnsi="Times New Roman" w:eastAsia="游明朝"/>
                <w:sz w:val="18"/>
              </w:rPr>
              <w:t xml:space="preserve">この仮説は投資判断にほぼ無関係、または前提が間違っている</w:t>
            </w:r>
          </w:p>
        </w:tc>
      </w:tr>
    </w:tbl>
    <w:p>
      <w:pPr>
        <w:pStyle w:val="BodyText"/>
      </w:pPr>
      <w:r>
        <w:rPr>
          <w:rFonts w:hint="eastAsia"/>
        </w:rPr>
        <w:t xml:space="preserve">※リスク仮説（仮説7,</w:t>
      </w:r>
      <w:r>
        <w:t xml:space="preserve"> </w:t>
      </w:r>
      <w:r>
        <w:rPr>
          <w:rFonts w:hint="eastAsia"/>
        </w:rPr>
        <w:t xml:space="preserve">8）の場合:</w:t>
      </w:r>
      <w:r>
        <w:t xml:space="preserve"> </w:t>
      </w:r>
      <w:r>
        <w:rPr>
          <w:rFonts w:hint="eastAsia"/>
        </w:rPr>
        <w:t xml:space="preserve">「このリスクがBUY判断をどの程度毀損するか」を評価してください。90%=深刻なリスク、10%=無視できるリスク。</w:t>
      </w:r>
    </w:p>
    <w:p>
      <w:r>
        <w:pict>
          <v:rect style="width:0;height:1.5pt" o:hralign="center" o:hrstd="t" o:hr="t"/>
        </w:pict>
      </w:r>
    </w:p>
    <w:bookmarkEnd w:id="9"/>
    <w:bookmarkStart w:id="10" w:name="ソース情報"/>
    <w:p>
      <w:pPr>
        <w:pStyle w:val="Heading2"/>
      </w:pPr>
      <w:r>
        <w:rPr>
          <w:rFonts w:hint="eastAsia"/>
        </w:rPr>
        <w:t xml:space="preserve">ソース情報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76"/>
        <w:gridCol w:w="3168"/>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区分</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ソース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期間</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2023 (2023-05-04) 〜 Q4 2024 (2025-02-11)</w:t>
            </w:r>
          </w:p>
        </w:tc>
      </w:tr>
      <w:tr>
        <w:tc>
          <w:tcPr/>
          <w:p>
            <w:pPr>
              <w:pStyle w:val="Compact"/>
            </w:pPr>
            <w:r>
              <w:rPr>
                <w:rFonts w:hint="eastAsia" w:ascii="Times New Roman" w:hAnsi="Times New Roman" w:eastAsia="游明朝"/>
                <w:sz w:val="18"/>
              </w:rPr>
              <w:t xml:space="preserve">初期仮説構築</w:t>
            </w:r>
          </w:p>
        </w:tc>
        <w:tc>
          <w:tcPr/>
          <w:p>
            <w:pPr>
              <w:pStyle w:val="Compact"/>
            </w:pPr>
            <w:r>
              <w:rPr>
                <w:rFonts w:ascii="Times New Roman" w:hAnsi="Times New Roman" w:eastAsia="游明朝"/>
                <w:sz w:val="18"/>
              </w:rPr>
              <w:t xml:space="preserve">SEC EDGAR (10-K)</w:t>
            </w:r>
          </w:p>
        </w:tc>
        <w:tc>
          <w:tcPr/>
          <w:p>
            <w:pPr>
              <w:pStyle w:val="Compact"/>
            </w:pPr>
            <w:r>
              <w:rPr>
                <w:rFonts w:ascii="Times New Roman" w:hAnsi="Times New Roman" w:eastAsia="游明朝"/>
                <w:sz w:val="18"/>
              </w:rPr>
              <w:t xml:space="preserve">FY2022 〜 FY2024</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Earnings Call Transcript</w:t>
            </w:r>
          </w:p>
        </w:tc>
        <w:tc>
          <w:tcPr/>
          <w:p>
            <w:pPr>
              <w:pStyle w:val="Compact"/>
            </w:pPr>
            <w:r>
              <w:rPr>
                <w:rFonts w:ascii="Times New Roman" w:hAnsi="Times New Roman" w:eastAsia="游明朝"/>
                <w:sz w:val="18"/>
              </w:rPr>
              <w:t xml:space="preserve">Q1 2025 (2025-05-06) 〜 Q4 2025 (2026-02-18)</w:t>
            </w:r>
          </w:p>
        </w:tc>
      </w:tr>
      <w:tr>
        <w:tc>
          <w:tcPr/>
          <w:p>
            <w:pPr>
              <w:pStyle w:val="Compact"/>
            </w:pPr>
            <w:r>
              <w:rPr>
                <w:rFonts w:hint="eastAsia" w:ascii="Times New Roman" w:hAnsi="Times New Roman" w:eastAsia="游明朝"/>
                <w:sz w:val="18"/>
              </w:rPr>
              <w:t xml:space="preserve">更新情報</w:t>
            </w:r>
          </w:p>
        </w:tc>
        <w:tc>
          <w:tcPr/>
          <w:p>
            <w:pPr>
              <w:pStyle w:val="Compact"/>
            </w:pPr>
            <w:r>
              <w:rPr>
                <w:rFonts w:ascii="Times New Roman" w:hAnsi="Times New Roman" w:eastAsia="游明朝"/>
                <w:sz w:val="18"/>
              </w:rPr>
              <w:t xml:space="preserve">SEC EDGAR (10-K)</w:t>
            </w:r>
          </w:p>
        </w:tc>
        <w:tc>
          <w:tcPr/>
          <w:p>
            <w:pPr>
              <w:pStyle w:val="Compact"/>
            </w:pPr>
            <w:r>
              <w:rPr>
                <w:rFonts w:ascii="Times New Roman" w:hAnsi="Times New Roman" w:eastAsia="游明朝"/>
                <w:sz w:val="18"/>
              </w:rPr>
              <w:t xml:space="preserve">FY2025</w:t>
            </w:r>
          </w:p>
        </w:tc>
      </w:tr>
    </w:tbl>
    <w:p>
      <w:pPr>
        <w:pStyle w:val="BodyText"/>
      </w:pPr>
      <w:r>
        <w:rPr>
          <w:rFonts w:hint="eastAsia"/>
          <w:b/>
          <w:bCs/>
        </w:rPr>
        <w:t xml:space="preserve">注</w:t>
      </w:r>
      <w:r>
        <w:t xml:space="preserve">: </w:t>
      </w:r>
      <w:r>
        <w:rPr>
          <w:rFonts w:hint="eastAsia"/>
        </w:rPr>
        <w:t xml:space="preserve">価格/バリュエーション（ITG,</w:t>
      </w:r>
      <w:r>
        <w:t xml:space="preserve"> PER, </w:t>
      </w:r>
      <w:r>
        <w:rPr>
          <w:rFonts w:hint="eastAsia"/>
        </w:rPr>
        <w:t xml:space="preserve">相対PE等）に関する仮説は、現時点でデータソースが不足しているため含まれていません。今後データを拡充して対応予定です。</w:t>
      </w:r>
    </w:p>
    <w:p>
      <w:r>
        <w:pict>
          <v:rect style="width:0;height:1.5pt" o:hralign="center" o:hrstd="t" o:hr="t"/>
        </w:pict>
      </w:r>
    </w:p>
    <w:bookmarkEnd w:id="10"/>
    <w:bookmarkStart w:id="15" w:name="仮説-18"/>
    <w:p>
      <w:pPr>
        <w:pStyle w:val="Heading2"/>
      </w:pPr>
      <w:r>
        <w:rPr>
          <w:rFonts w:hint="eastAsia"/>
        </w:rPr>
        <w:t xml:space="preserve">仮説</w:t>
      </w:r>
      <w:r>
        <w:t xml:space="preserve"> 1/8</w:t>
      </w:r>
    </w:p>
    <w:p>
      <w:pPr>
        <w:pStyle w:val="FirstParagraph"/>
      </w:pPr>
      <w:r>
        <w:rPr>
          <w:rFonts w:hint="eastAsia"/>
          <w:b/>
          <w:bCs/>
        </w:rPr>
        <w:t xml:space="preserve">米国レストランデリバリー事業が業界浸透率の拡大（現在一桁%→二桁%）を通じて、年率10%超のGOV成長を中長期的に持続する</w:t>
      </w:r>
    </w:p>
    <w:bookmarkStart w:id="11" w:name="根拠情報"/>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米国レストラン業界全体の売上に対するDoorDashの浸透率はまだ一桁%にとどまる</w:t>
            </w:r>
          </w:p>
        </w:tc>
        <w:tc>
          <w:tcPr/>
          <w:p>
            <w:pPr>
              <w:pStyle w:val="Compact"/>
            </w:pPr>
            <w:r>
              <w:rPr>
                <w:rFonts w:ascii="Times New Roman" w:hAnsi="Times New Roman" w:eastAsia="游明朝"/>
                <w:sz w:val="18"/>
              </w:rPr>
              <w:t xml:space="preserve">Q3 2023 EC, p.3; Q4 2024 EC, p.2</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MAUが3,700万人（FY2023）に達するも、年間利用者はその数倍存在し、月間利用への転換余地が大きい</w:t>
            </w:r>
          </w:p>
        </w:tc>
        <w:tc>
          <w:tcPr/>
          <w:p>
            <w:pPr>
              <w:pStyle w:val="Compact"/>
            </w:pPr>
            <w:r>
              <w:rPr>
                <w:rFonts w:ascii="Times New Roman" w:hAnsi="Times New Roman" w:eastAsia="游明朝"/>
                <w:sz w:val="18"/>
              </w:rPr>
              <w:t xml:space="preserve">Q4 2023 EC, p.3; Q2 2024 EC, p.3</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注文頻度がパンデミック期を含む全コホートで過去最高を更新し続けている</w:t>
            </w:r>
          </w:p>
        </w:tc>
        <w:tc>
          <w:tcPr/>
          <w:p>
            <w:pPr>
              <w:pStyle w:val="Compact"/>
            </w:pPr>
            <w:r>
              <w:rPr>
                <w:rFonts w:ascii="Times New Roman" w:hAnsi="Times New Roman" w:eastAsia="游明朝"/>
                <w:sz w:val="18"/>
              </w:rPr>
              <w:t xml:space="preserve">Q2 2023 EC, p.6-7; Q3 2024 EC, p.4</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新規顧客の50%超がDoorDashを最初のプラットフォームとして選択（業界内シェア1位）</w:t>
            </w:r>
          </w:p>
        </w:tc>
        <w:tc>
          <w:tcPr/>
          <w:p>
            <w:pPr>
              <w:pStyle w:val="Compact"/>
            </w:pPr>
            <w:r>
              <w:rPr>
                <w:rFonts w:ascii="Times New Roman" w:hAnsi="Times New Roman" w:eastAsia="游明朝"/>
                <w:sz w:val="18"/>
              </w:rPr>
              <w:t xml:space="preserve">Q2 2024 EC, p.3; Q4 2024 EC, p.2</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DashPass会員数が四半期ごとに過去最高を更新、会員の注文頻度は非会員を大幅に上回る</w:t>
            </w:r>
          </w:p>
        </w:tc>
        <w:tc>
          <w:tcPr/>
          <w:p>
            <w:pPr>
              <w:pStyle w:val="Compact"/>
            </w:pPr>
            <w:r>
              <w:rPr>
                <w:rFonts w:ascii="Times New Roman" w:hAnsi="Times New Roman" w:eastAsia="游明朝"/>
                <w:sz w:val="18"/>
              </w:rPr>
              <w:t xml:space="preserve">Q2 2024 EC, p.3; Q4 2023 EC, p.6</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コアレストラン事業の貢献利益率が継続的に改善し、年$2.4B超（2022年Q3時点の年率）に到達</w:t>
            </w:r>
          </w:p>
        </w:tc>
        <w:tc>
          <w:tcPr/>
          <w:p>
            <w:pPr>
              <w:pStyle w:val="Compact"/>
            </w:pPr>
            <w:r>
              <w:rPr>
                <w:rFonts w:ascii="Times New Roman" w:hAnsi="Times New Roman" w:eastAsia="游明朝"/>
                <w:sz w:val="18"/>
              </w:rPr>
              <w:t xml:space="preserve">Q2 2023 EC, p.7</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過去60年間で米国レストラン業界の売上が減少したのは2年のみ。食品は最も頻度が高く景気耐性のあるカテゴリ</w:t>
            </w:r>
          </w:p>
        </w:tc>
        <w:tc>
          <w:tcPr/>
          <w:p>
            <w:pPr>
              <w:pStyle w:val="Compact"/>
            </w:pPr>
            <w:r>
              <w:rPr>
                <w:rFonts w:ascii="Times New Roman" w:hAnsi="Times New Roman" w:eastAsia="游明朝"/>
                <w:sz w:val="18"/>
              </w:rPr>
              <w:t xml:space="preserve">Q3 2023 EC, p.10</w:t>
            </w:r>
          </w:p>
        </w:tc>
      </w:tr>
    </w:tbl>
    <w:bookmarkEnd w:id="11"/>
    <w:bookmarkStart w:id="12" w:name="更新情報直近1年"/>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初期仮説構築時点ではGOV成長率に減速懸念があったが、直近1年でQ2</w:t>
      </w:r>
      <w:r>
        <w:t xml:space="preserve"> 2025にU.S. </w:t>
      </w:r>
      <w:r>
        <w:rPr>
          <w:rFonts w:hint="eastAsia"/>
        </w:rPr>
        <w:t xml:space="preserve">Marketplace受注が前年比で加速するという想定外の展開を見せた。2025年はDoorDash設立後12年で最も高い成長を記録した2四半期を含み、アクティブ顧客数は1億人超、1日あたり注文数700万件に到達。「一桁%浸透率」からの成長余地は初期仮説時点より一層明確になっており、単なるパンデミック恩恵ではなく構造的な行動変容であることが確認された。</w:t>
      </w:r>
    </w:p>
    <w:p>
      <w:pPr>
        <w:pStyle w:val="Compact"/>
        <w:numPr>
          <w:ilvl w:val="0"/>
          <w:numId w:val="1001"/>
        </w:numPr>
      </w:pPr>
      <w:r>
        <w:t xml:space="preserve">Q2 </w:t>
      </w:r>
      <w:r>
        <w:rPr>
          <w:rFonts w:hint="eastAsia"/>
        </w:rPr>
        <w:t xml:space="preserve">2025で米国マーケットプレイス受注が前年比で加速成長。Q2</w:t>
      </w:r>
      <w:r>
        <w:t xml:space="preserve"> 2025 EC, p.2</w:t>
      </w:r>
    </w:p>
    <w:p>
      <w:pPr>
        <w:pStyle w:val="Compact"/>
        <w:numPr>
          <w:ilvl w:val="0"/>
          <w:numId w:val="1001"/>
        </w:numPr>
      </w:pPr>
      <w:r>
        <w:rPr>
          <w:rFonts w:hint="eastAsia"/>
        </w:rPr>
        <w:t xml:space="preserve">アクティブ顧客数が1億人超、1日あたり注文数700万件に到達（Q4</w:t>
      </w:r>
      <w:r>
        <w:t xml:space="preserve"> 2024 </w:t>
      </w:r>
      <w:r>
        <w:rPr>
          <w:rFonts w:hint="eastAsia"/>
        </w:rPr>
        <w:t xml:space="preserve">EC時点）。Q4</w:t>
      </w:r>
      <w:r>
        <w:t xml:space="preserve"> 2024 EC, p.2</w:t>
      </w:r>
    </w:p>
    <w:p>
      <w:pPr>
        <w:pStyle w:val="Compact"/>
        <w:numPr>
          <w:ilvl w:val="0"/>
          <w:numId w:val="1001"/>
        </w:numPr>
      </w:pPr>
      <w:r>
        <w:rPr>
          <w:rFonts w:hint="eastAsia"/>
        </w:rPr>
        <w:t xml:space="preserve">2025年に直近4年で最も高い成長率を記録した四半期が2つ含まれる。Q4</w:t>
      </w:r>
      <w:r>
        <w:t xml:space="preserve"> 2025 EC, p.2</w:t>
      </w:r>
    </w:p>
    <w:p>
      <w:pPr>
        <w:pStyle w:val="Compact"/>
        <w:numPr>
          <w:ilvl w:val="0"/>
          <w:numId w:val="1001"/>
        </w:numPr>
      </w:pPr>
      <w:r>
        <w:rPr>
          <w:rFonts w:hint="eastAsia"/>
        </w:rPr>
        <w:t xml:space="preserve">5-7年前の古いコホートですら、リテンション・ウォレットシェアが引き続き向上。Q3</w:t>
      </w:r>
      <w:r>
        <w:t xml:space="preserve"> 2024 EC, p.4; Q2 2025 EC, p.5-6</w:t>
      </w:r>
    </w:p>
    <w:p>
      <w:pPr>
        <w:pStyle w:val="Compact"/>
        <w:numPr>
          <w:ilvl w:val="0"/>
          <w:numId w:val="1001"/>
        </w:numPr>
      </w:pPr>
      <w:r>
        <w:rPr>
          <w:rFonts w:hint="eastAsia"/>
        </w:rPr>
        <w:t xml:space="preserve">出典:</w:t>
      </w:r>
      <w:r>
        <w:t xml:space="preserve"> Q2 2025 EC (2025-08-06), p.2, 5-6; Q4 2025 EC (2026-02-18), p.2</w:t>
      </w:r>
    </w:p>
    <w:bookmarkEnd w:id="12"/>
    <w:bookmarkStart w:id="13" w:name="納得度"/>
    <w:p>
      <w:pPr>
        <w:pStyle w:val="Heading3"/>
      </w:pPr>
      <w:r>
        <w:rPr>
          <w:rFonts w:hint="eastAsia"/>
        </w:rPr>
        <w:t xml:space="preserve">納得度</w:t>
      </w:r>
    </w:p>
    <w:p>
      <w:pPr>
        <w:pStyle w:val="FirstParagraph"/>
      </w:pPr>
      <w:r>
        <w:t xml:space="preserve">□ 90%　□ 70%　□ 50%　□ 30%　□ 10%</w:t>
      </w:r>
    </w:p>
    <w:bookmarkEnd w:id="13"/>
    <w:bookmarkStart w:id="14" w:name="備考任意"/>
    <w:p>
      <w:pPr>
        <w:pStyle w:val="Heading3"/>
      </w:pPr>
      <w:r>
        <w:rPr>
          <w:rFonts w:hint="eastAsia"/>
        </w:rPr>
        <w:t xml:space="preserve">備考（任意）</w:t>
      </w:r>
    </w:p>
    <w:p>
      <w:r>
        <w:pict>
          <v:rect style="width:0;height:1.5pt" o:hralign="center" o:hrstd="t" o:hr="t"/>
        </w:pict>
      </w:r>
    </w:p>
    <w:bookmarkEnd w:id="14"/>
    <w:bookmarkEnd w:id="15"/>
    <w:bookmarkStart w:id="20" w:name="仮説-28"/>
    <w:p>
      <w:pPr>
        <w:pStyle w:val="Heading2"/>
      </w:pPr>
      <w:r>
        <w:rPr>
          <w:rFonts w:hint="eastAsia"/>
        </w:rPr>
        <w:t xml:space="preserve">仮説</w:t>
      </w:r>
      <w:r>
        <w:t xml:space="preserve"> 2/8</w:t>
      </w:r>
    </w:p>
    <w:p>
      <w:pPr>
        <w:pStyle w:val="FirstParagraph"/>
      </w:pPr>
      <w:r>
        <w:rPr>
          <w:rFonts w:hint="eastAsia"/>
          <w:b/>
          <w:bCs/>
        </w:rPr>
        <w:t xml:space="preserve">グロサリー・リテール（新カテゴリ）事業がDoorDashの次の成長エンジンとなり、2026年後半にユニットエコノミクス黒字化を達成する</w:t>
      </w:r>
    </w:p>
    <w:bookmarkStart w:id="16" w:name="根拠情報-1"/>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グロサリー事業がゼロから立ち上げ3年で年間3桁%成長を達成、米国における非レストランカテゴリの新規顧客獲得シェアは約50%</w:t>
            </w:r>
          </w:p>
        </w:tc>
        <w:tc>
          <w:tcPr/>
          <w:p>
            <w:pPr>
              <w:pStyle w:val="Compact"/>
            </w:pPr>
            <w:r>
              <w:rPr>
                <w:rFonts w:ascii="Times New Roman" w:hAnsi="Times New Roman" w:eastAsia="游明朝"/>
                <w:sz w:val="18"/>
              </w:rPr>
              <w:t xml:space="preserve">Q4 2023 EC, p.8; Q1 2024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非レストラン店舗数が10万店超と北米最大規模、上位20グローサーの大半がプラットフォームに参加</w:t>
            </w:r>
          </w:p>
        </w:tc>
        <w:tc>
          <w:tcPr/>
          <w:p>
            <w:pPr>
              <w:pStyle w:val="Compact"/>
            </w:pPr>
            <w:r>
              <w:rPr>
                <w:rFonts w:ascii="Times New Roman" w:hAnsi="Times New Roman" w:eastAsia="游明朝"/>
                <w:sz w:val="18"/>
              </w:rPr>
              <w:t xml:space="preserve">Q4 2023 EC, p.8; Q1 2025 EC, p.4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サードパーティ・コンビニエンス事業はユニットエコノミクスが既に黒字化済みで数四半期継続</w:t>
            </w:r>
          </w:p>
        </w:tc>
        <w:tc>
          <w:tcPr/>
          <w:p>
            <w:pPr>
              <w:pStyle w:val="Compact"/>
            </w:pPr>
            <w:r>
              <w:rPr>
                <w:rFonts w:ascii="Times New Roman" w:hAnsi="Times New Roman" w:eastAsia="游明朝"/>
                <w:sz w:val="18"/>
              </w:rPr>
              <w:t xml:space="preserve">Q2 2023 EC, p.7; Q1 2024 EC, p.4</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グロサリーのコホートでは購入頻度・バスケットサイズが回を追うごとに拡大し、「トップアップ」からウィークリーストックアップへの移行が進む</w:t>
            </w:r>
          </w:p>
        </w:tc>
        <w:tc>
          <w:tcPr/>
          <w:p>
            <w:pPr>
              <w:pStyle w:val="Compact"/>
            </w:pPr>
            <w:r>
              <w:rPr>
                <w:rFonts w:ascii="Times New Roman" w:hAnsi="Times New Roman" w:eastAsia="游明朝"/>
                <w:sz w:val="18"/>
              </w:rPr>
              <w:t xml:space="preserve">Q3 2024 EC, p.3-4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Dasherネットワークの既存密度を活用できるため、専用配達網構築が不要で構造的なコスト優位がある</w:t>
            </w:r>
          </w:p>
        </w:tc>
        <w:tc>
          <w:tcPr/>
          <w:p>
            <w:pPr>
              <w:pStyle w:val="Compact"/>
            </w:pPr>
            <w:r>
              <w:rPr>
                <w:rFonts w:ascii="Times New Roman" w:hAnsi="Times New Roman" w:eastAsia="游明朝"/>
                <w:sz w:val="18"/>
              </w:rPr>
              <w:t xml:space="preserve">Q3 2023 EC, p.5; Q1 2024 EC, p.3</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新カテゴリ全体のユニットエコノミクスが前年比で「ステップファンクション」的な改善を示す</w:t>
            </w:r>
          </w:p>
        </w:tc>
        <w:tc>
          <w:tcPr/>
          <w:p>
            <w:pPr>
              <w:pStyle w:val="Compact"/>
            </w:pPr>
            <w:r>
              <w:rPr>
                <w:rFonts w:ascii="Times New Roman" w:hAnsi="Times New Roman" w:eastAsia="游明朝"/>
                <w:sz w:val="18"/>
              </w:rPr>
              <w:t xml:space="preserve">Q4 2023 EC, p.5; Q1 2024 EC, p.4</w:t>
            </w:r>
          </w:p>
        </w:tc>
      </w:tr>
    </w:tbl>
    <w:bookmarkEnd w:id="16"/>
    <w:bookmarkStart w:id="17" w:name="更新情報直近1年-1"/>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初期仮説構築時点ではグロサリーのユニットエコノミクス黒字化時期は不透明で「数年先」という認識だったが、Q4</w:t>
      </w:r>
      <w:r>
        <w:t xml:space="preserve"> 2025 </w:t>
      </w:r>
      <w:r>
        <w:rPr>
          <w:rFonts w:hint="eastAsia"/>
        </w:rPr>
        <w:t xml:space="preserve">ECでRaviが「リテール・グロサリー事業全体が2026年後半にユニットエコノミクス黒字化する見込み」と初めて明示した。MAUの30%が非レストランカテゴリを注文するまでに成長し、新規顧客がグロサリーをファーストオーダーとして開始するケースも増加。ボリュームシェアリーダーの地位も視野に入り、黒字化のタイムラインが初期仮説時点より大幅に前倒しされた。</w:t>
      </w:r>
    </w:p>
    <w:p>
      <w:pPr>
        <w:pStyle w:val="Compact"/>
        <w:numPr>
          <w:ilvl w:val="0"/>
          <w:numId w:val="1002"/>
        </w:numPr>
      </w:pPr>
      <w:r>
        <w:rPr>
          <w:rFonts w:hint="eastAsia"/>
        </w:rPr>
        <w:t xml:space="preserve">MAUの約30%が非レストランカテゴリから注文（Q4</w:t>
      </w:r>
      <w:r>
        <w:t xml:space="preserve"> </w:t>
      </w:r>
      <w:r>
        <w:rPr>
          <w:rFonts w:hint="eastAsia"/>
        </w:rPr>
        <w:t xml:space="preserve">2025時点）。Q4</w:t>
      </w:r>
      <w:r>
        <w:t xml:space="preserve"> 2025 EC, p.4</w:t>
      </w:r>
    </w:p>
    <w:p>
      <w:pPr>
        <w:pStyle w:val="Compact"/>
        <w:numPr>
          <w:ilvl w:val="0"/>
          <w:numId w:val="1002"/>
        </w:numPr>
      </w:pPr>
      <w:r>
        <w:rPr>
          <w:rFonts w:hint="eastAsia"/>
        </w:rPr>
        <w:t xml:space="preserve">リテール・グロサリー事業全体が2026年後半にユニットエコノミクス黒字化する見込みとCFOが明言。Q4</w:t>
      </w:r>
      <w:r>
        <w:t xml:space="preserve"> 2025 EC, p.5</w:t>
      </w:r>
    </w:p>
    <w:p>
      <w:pPr>
        <w:pStyle w:val="Compact"/>
        <w:numPr>
          <w:ilvl w:val="0"/>
          <w:numId w:val="1002"/>
        </w:numPr>
      </w:pPr>
      <w:r>
        <w:t xml:space="preserve">DashMart Fulfillment </w:t>
      </w:r>
      <w:r>
        <w:rPr>
          <w:rFonts w:hint="eastAsia"/>
        </w:rPr>
        <w:t xml:space="preserve">Servicesを発表、KrogerやCVSと提携し即日・即時配送の在庫精度を最大化。Q3</w:t>
      </w:r>
      <w:r>
        <w:t xml:space="preserve"> 2025 EC, p.3; Q4 2025 EC, p.4</w:t>
      </w:r>
    </w:p>
    <w:p>
      <w:pPr>
        <w:pStyle w:val="Compact"/>
        <w:numPr>
          <w:ilvl w:val="0"/>
          <w:numId w:val="1002"/>
        </w:numPr>
      </w:pPr>
      <w:r>
        <w:rPr>
          <w:rFonts w:hint="eastAsia"/>
        </w:rPr>
        <w:t xml:space="preserve">ボリュームシェアで「次の1年以内にリーダーになる」との見通し維持。Q1</w:t>
      </w:r>
      <w:r>
        <w:t xml:space="preserve"> 2025 EC, p.4; Q2 2025 EC, p.5</w:t>
      </w:r>
    </w:p>
    <w:p>
      <w:pPr>
        <w:pStyle w:val="Compact"/>
        <w:numPr>
          <w:ilvl w:val="0"/>
          <w:numId w:val="1002"/>
        </w:numPr>
      </w:pPr>
      <w:r>
        <w:rPr>
          <w:rFonts w:hint="eastAsia"/>
        </w:rPr>
        <w:t xml:space="preserve">バスケットサイズの拡大とコホートリテンションの継続的改善。Q3</w:t>
      </w:r>
      <w:r>
        <w:t xml:space="preserve"> 2025 EC, p.3</w:t>
      </w:r>
    </w:p>
    <w:p>
      <w:pPr>
        <w:pStyle w:val="Compact"/>
        <w:numPr>
          <w:ilvl w:val="0"/>
          <w:numId w:val="1002"/>
        </w:numPr>
      </w:pPr>
      <w:r>
        <w:rPr>
          <w:rFonts w:hint="eastAsia"/>
        </w:rPr>
        <w:t xml:space="preserve">出典:</w:t>
      </w:r>
      <w:r>
        <w:t xml:space="preserve"> Q1 2025 EC (2025-05-06), p.4; Q3 2025 EC (2025-11-05), p.3; Q4 2025 EC (2026-02-18), p.4-5</w:t>
      </w:r>
    </w:p>
    <w:bookmarkEnd w:id="17"/>
    <w:bookmarkStart w:id="18" w:name="納得度-1"/>
    <w:p>
      <w:pPr>
        <w:pStyle w:val="Heading3"/>
      </w:pPr>
      <w:r>
        <w:rPr>
          <w:rFonts w:hint="eastAsia"/>
        </w:rPr>
        <w:t xml:space="preserve">納得度</w:t>
      </w:r>
    </w:p>
    <w:p>
      <w:pPr>
        <w:pStyle w:val="FirstParagraph"/>
      </w:pPr>
      <w:r>
        <w:t xml:space="preserve">□ 90%　□ 70%　□ 50%　□ 30%　□ 10%</w:t>
      </w:r>
    </w:p>
    <w:bookmarkEnd w:id="18"/>
    <w:bookmarkStart w:id="19" w:name="備考任意-1"/>
    <w:p>
      <w:pPr>
        <w:pStyle w:val="Heading3"/>
      </w:pPr>
      <w:r>
        <w:rPr>
          <w:rFonts w:hint="eastAsia"/>
        </w:rPr>
        <w:t xml:space="preserve">備考（任意）</w:t>
      </w:r>
    </w:p>
    <w:p>
      <w:r>
        <w:pict>
          <v:rect style="width:0;height:1.5pt" o:hralign="center" o:hrstd="t" o:hr="t"/>
        </w:pict>
      </w:r>
    </w:p>
    <w:bookmarkEnd w:id="19"/>
    <w:bookmarkEnd w:id="20"/>
    <w:bookmarkStart w:id="25" w:name="仮説-38"/>
    <w:p>
      <w:pPr>
        <w:pStyle w:val="Heading2"/>
      </w:pPr>
      <w:r>
        <w:rPr>
          <w:rFonts w:hint="eastAsia"/>
        </w:rPr>
        <w:t xml:space="preserve">仮説</w:t>
      </w:r>
      <w:r>
        <w:t xml:space="preserve"> 3/8</w:t>
      </w:r>
    </w:p>
    <w:p>
      <w:pPr>
        <w:pStyle w:val="FirstParagraph"/>
      </w:pPr>
      <w:r>
        <w:rPr>
          <w:rFonts w:hint="eastAsia"/>
          <w:b/>
          <w:bCs/>
        </w:rPr>
        <w:t xml:space="preserve">国際事業（Wolt</w:t>
      </w:r>
      <w:r>
        <w:rPr>
          <w:b/>
          <w:bCs/>
        </w:rPr>
        <w:t xml:space="preserve"> + </w:t>
      </w:r>
      <w:r>
        <w:rPr>
          <w:rFonts w:hint="eastAsia"/>
          <w:b/>
          <w:bCs/>
        </w:rPr>
        <w:t xml:space="preserve">Deliveroo）が欧州市場統合を通じて持続的な高成長とグロスプロフィット拡大を実現する</w:t>
      </w:r>
    </w:p>
    <w:bookmarkStart w:id="21" w:name="根拠情報-2"/>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国際事業が競合の5-6倍の成長率で拡大し、展開27カ国のほぼ全市場でシェア拡大</w:t>
            </w:r>
          </w:p>
        </w:tc>
        <w:tc>
          <w:tcPr/>
          <w:p>
            <w:pPr>
              <w:pStyle w:val="Compact"/>
            </w:pPr>
            <w:r>
              <w:rPr>
                <w:rFonts w:ascii="Times New Roman" w:hAnsi="Times New Roman" w:eastAsia="游明朝"/>
                <w:sz w:val="18"/>
              </w:rPr>
              <w:t xml:space="preserve">Q1 2024 EC, p.4; Q2 2024 EC, p.4-5</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Woltの投資テーゼ（業界最高のリテンション・注文頻度）が実証済みで、DoorDashの学びを加えさらに加速</w:t>
            </w:r>
          </w:p>
        </w:tc>
        <w:tc>
          <w:tcPr/>
          <w:p>
            <w:pPr>
              <w:pStyle w:val="Compact"/>
            </w:pPr>
            <w:r>
              <w:rPr>
                <w:rFonts w:ascii="Times New Roman" w:hAnsi="Times New Roman" w:eastAsia="游明朝"/>
                <w:sz w:val="18"/>
              </w:rPr>
              <w:t xml:space="preserve">Q1 2023 EC, p.7-8; Q2 2024 EC, p.4</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国際事業ポートフォリオ全体がグロスプロフィット黒字化を達成（2024年Q2時点）、複数国でレストラン事業が貢献利益率黒字</w:t>
            </w:r>
          </w:p>
        </w:tc>
        <w:tc>
          <w:tcPr/>
          <w:p>
            <w:pPr>
              <w:pStyle w:val="Compact"/>
            </w:pPr>
            <w:r>
              <w:rPr>
                <w:rFonts w:ascii="Times New Roman" w:hAnsi="Times New Roman" w:eastAsia="游明朝"/>
                <w:sz w:val="18"/>
              </w:rPr>
              <w:t xml:space="preserve">Q2 2024 EC, p.6; Q3 2024 EC, p.3</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欧州諸国では米国よりデジタル浸透率が低く、成長余地が大きい</w:t>
            </w:r>
          </w:p>
        </w:tc>
        <w:tc>
          <w:tcPr/>
          <w:p>
            <w:pPr>
              <w:pStyle w:val="Compact"/>
            </w:pPr>
            <w:r>
              <w:rPr>
                <w:rFonts w:ascii="Times New Roman" w:hAnsi="Times New Roman" w:eastAsia="游明朝"/>
                <w:sz w:val="18"/>
              </w:rPr>
              <w:t xml:space="preserve">Q3 2023 EC, p.4; Q4 2024 EC, p.3-5</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Wolt+（サブスクリプション）が初期のDashPassを上回るペースで成長</w:t>
            </w:r>
          </w:p>
        </w:tc>
        <w:tc>
          <w:tcPr/>
          <w:p>
            <w:pPr>
              <w:pStyle w:val="Compact"/>
            </w:pPr>
            <w:r>
              <w:rPr>
                <w:rFonts w:ascii="Times New Roman" w:hAnsi="Times New Roman" w:eastAsia="游明朝"/>
                <w:sz w:val="18"/>
              </w:rPr>
              <w:t xml:space="preserve">Q4 2024 EC, p.5</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固定費レバレッジ：共通テックスタック、ノウハウ共有により後発市場の立ち上がりが加速</w:t>
            </w:r>
          </w:p>
        </w:tc>
        <w:tc>
          <w:tcPr/>
          <w:p>
            <w:pPr>
              <w:pStyle w:val="Compact"/>
            </w:pPr>
            <w:r>
              <w:rPr>
                <w:rFonts w:ascii="Times New Roman" w:hAnsi="Times New Roman" w:eastAsia="游明朝"/>
                <w:sz w:val="18"/>
              </w:rPr>
              <w:t xml:space="preserve">Q3 2024 EC, p.2-3</w:t>
            </w:r>
          </w:p>
        </w:tc>
      </w:tr>
    </w:tbl>
    <w:bookmarkEnd w:id="21"/>
    <w:bookmarkStart w:id="22" w:name="更新情報直近1年-2"/>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Wolt中心の27カ国展開だったが、直近1年でDeliveroo買収（180p/株）を発表・完了し、欧州30カ国・グローバル45カ国体制に拡大。Deliverooの事業は当初想定より良い状態で、成長率が二桁成長に改善。さらに「グローバル統一テックプラットフォーム」構築に数百億円規模の投資を行い、1つの機能改善を全市場同時展開できる体制を目指す。国際事業の成長率が米国を上回る状況が続き、「欧州ローカルコマースNo.1プラットフォーム」という新たなゴールが視野に入った。</w:t>
      </w:r>
    </w:p>
    <w:p>
      <w:pPr>
        <w:pStyle w:val="Compact"/>
        <w:numPr>
          <w:ilvl w:val="0"/>
          <w:numId w:val="1003"/>
        </w:numPr>
      </w:pPr>
      <w:r>
        <w:rPr>
          <w:rFonts w:hint="eastAsia"/>
        </w:rPr>
        <w:t xml:space="preserve">Deliveroo買収を発表（2025年5月）・完了（2025年Q4）、欧州30カ国・グローバル45カ国体制に。Q1</w:t>
      </w:r>
      <w:r>
        <w:t xml:space="preserve"> 2025 EC, p.2-3</w:t>
      </w:r>
    </w:p>
    <w:p>
      <w:pPr>
        <w:pStyle w:val="Compact"/>
        <w:numPr>
          <w:ilvl w:val="0"/>
          <w:numId w:val="1003"/>
        </w:numPr>
      </w:pPr>
      <w:r>
        <w:rPr>
          <w:rFonts w:hint="eastAsia"/>
        </w:rPr>
        <w:t xml:space="preserve">Deliveroo事業が当初の引受条件を上回る成長を記録（二桁成長）、EBITDA約$200M見込み。Q3</w:t>
      </w:r>
      <w:r>
        <w:t xml:space="preserve"> 2025 EC, p.5-6</w:t>
      </w:r>
    </w:p>
    <w:p>
      <w:pPr>
        <w:pStyle w:val="Compact"/>
        <w:numPr>
          <w:ilvl w:val="0"/>
          <w:numId w:val="1003"/>
        </w:numPr>
      </w:pPr>
      <w:r>
        <w:rPr>
          <w:rFonts w:hint="eastAsia"/>
        </w:rPr>
        <w:t xml:space="preserve">国際事業（Deliveroo含む）の成長率が米国事業を上回る。Q4</w:t>
      </w:r>
      <w:r>
        <w:t xml:space="preserve"> 2025 EC, p.2</w:t>
      </w:r>
    </w:p>
    <w:p>
      <w:pPr>
        <w:pStyle w:val="Compact"/>
        <w:numPr>
          <w:ilvl w:val="0"/>
          <w:numId w:val="1003"/>
        </w:numPr>
      </w:pPr>
      <w:r>
        <w:rPr>
          <w:rFonts w:hint="eastAsia"/>
        </w:rPr>
        <w:t xml:space="preserve">グローバル統一テックスタック構築に「数百億円規模」の投資（2026年に大半を実行）。Q3</w:t>
      </w:r>
      <w:r>
        <w:t xml:space="preserve"> 2025 EC, p.2-3</w:t>
      </w:r>
    </w:p>
    <w:p>
      <w:pPr>
        <w:pStyle w:val="Compact"/>
        <w:numPr>
          <w:ilvl w:val="0"/>
          <w:numId w:val="1003"/>
        </w:numPr>
      </w:pPr>
      <w:r>
        <w:rPr>
          <w:rFonts w:hint="eastAsia"/>
        </w:rPr>
        <w:t xml:space="preserve">Deliverooの最大市場でシェア拡大が確認済み。Q4</w:t>
      </w:r>
      <w:r>
        <w:t xml:space="preserve"> 2025 EC, p.2</w:t>
      </w:r>
    </w:p>
    <w:p>
      <w:pPr>
        <w:pStyle w:val="Compact"/>
        <w:numPr>
          <w:ilvl w:val="0"/>
          <w:numId w:val="1003"/>
        </w:numPr>
      </w:pPr>
      <w:r>
        <w:rPr>
          <w:rFonts w:hint="eastAsia"/>
        </w:rPr>
        <w:t xml:space="preserve">出典:</w:t>
      </w:r>
      <w:r>
        <w:t xml:space="preserve"> Q1 2025 EC (2025-05-06), p.2-3; Q3 2025 EC (2025-11-05), p.2-3, 5-6; Q4 2025 EC (2026-02-18), p.2-3</w:t>
      </w:r>
    </w:p>
    <w:bookmarkEnd w:id="22"/>
    <w:bookmarkStart w:id="23" w:name="納得度-2"/>
    <w:p>
      <w:pPr>
        <w:pStyle w:val="Heading3"/>
      </w:pPr>
      <w:r>
        <w:rPr>
          <w:rFonts w:hint="eastAsia"/>
        </w:rPr>
        <w:t xml:space="preserve">納得度</w:t>
      </w:r>
    </w:p>
    <w:p>
      <w:pPr>
        <w:pStyle w:val="FirstParagraph"/>
      </w:pPr>
      <w:r>
        <w:t xml:space="preserve">□ 90%　□ 70%　□ 50%　□ 30%　□ 10%</w:t>
      </w:r>
    </w:p>
    <w:bookmarkEnd w:id="23"/>
    <w:bookmarkStart w:id="24" w:name="備考任意-2"/>
    <w:p>
      <w:pPr>
        <w:pStyle w:val="Heading3"/>
      </w:pPr>
      <w:r>
        <w:rPr>
          <w:rFonts w:hint="eastAsia"/>
        </w:rPr>
        <w:t xml:space="preserve">備考（任意）</w:t>
      </w:r>
    </w:p>
    <w:p>
      <w:r>
        <w:pict>
          <v:rect style="width:0;height:1.5pt" o:hralign="center" o:hrstd="t" o:hr="t"/>
        </w:pict>
      </w:r>
    </w:p>
    <w:bookmarkEnd w:id="24"/>
    <w:bookmarkEnd w:id="25"/>
    <w:bookmarkStart w:id="30" w:name="仮説-48"/>
    <w:p>
      <w:pPr>
        <w:pStyle w:val="Heading2"/>
      </w:pPr>
      <w:r>
        <w:rPr>
          <w:rFonts w:hint="eastAsia"/>
        </w:rPr>
        <w:t xml:space="preserve">仮説</w:t>
      </w:r>
      <w:r>
        <w:t xml:space="preserve"> 4/8</w:t>
      </w:r>
    </w:p>
    <w:p>
      <w:pPr>
        <w:pStyle w:val="FirstParagraph"/>
      </w:pPr>
      <w:r>
        <w:rPr>
          <w:rFonts w:hint="eastAsia"/>
          <w:b/>
          <w:bCs/>
        </w:rPr>
        <w:t xml:space="preserve">広告事業が高マージンの収益源として急成長し、テイクレート（GOV対比の収益率）を構造的に押し上げる</w:t>
      </w:r>
    </w:p>
    <w:bookmarkStart w:id="26" w:name="根拠情報-3"/>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広告事業がレストラン・CPG双方から強い需要、SMBから大手ブランドまで全セグメントで採用が進む</w:t>
            </w:r>
          </w:p>
        </w:tc>
        <w:tc>
          <w:tcPr/>
          <w:p>
            <w:pPr>
              <w:pStyle w:val="Compact"/>
            </w:pPr>
            <w:r>
              <w:rPr>
                <w:rFonts w:ascii="Times New Roman" w:hAnsi="Times New Roman" w:eastAsia="游明朝"/>
                <w:sz w:val="18"/>
              </w:rPr>
              <w:t xml:space="preserve">Q1 2023 EC, p.5-6; Q1 2024 EC, p.3-4</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広告事業はベストインクラスのROAS（広告費用対効果）とコンシューマーコンバージョンを両立</w:t>
            </w:r>
          </w:p>
        </w:tc>
        <w:tc>
          <w:tcPr/>
          <w:p>
            <w:pPr>
              <w:pStyle w:val="Compact"/>
            </w:pPr>
            <w:r>
              <w:rPr>
                <w:rFonts w:ascii="Times New Roman" w:hAnsi="Times New Roman" w:eastAsia="游明朝"/>
                <w:sz w:val="18"/>
              </w:rPr>
              <w:t xml:space="preserve">Q1 2024 EC, p.4; Q2 2024 EC, p.5</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テイクレート（Net</w:t>
            </w:r>
            <w:r>
              <w:rPr>
                <w:rFonts w:ascii="Times New Roman" w:hAnsi="Times New Roman" w:eastAsia="游明朝"/>
                <w:sz w:val="18"/>
              </w:rPr>
              <w:t xml:space="preserve"> Revenue / </w:t>
            </w:r>
            <w:r>
              <w:rPr>
                <w:rFonts w:hint="eastAsia" w:ascii="Times New Roman" w:hAnsi="Times New Roman" w:eastAsia="游明朝"/>
                <w:sz w:val="18"/>
              </w:rPr>
              <w:t xml:space="preserve">GOV）が広告・プラットフォーム事業の成長によりGOV成長率を上回るペースで拡大</w:t>
            </w:r>
          </w:p>
        </w:tc>
        <w:tc>
          <w:tcPr/>
          <w:p>
            <w:pPr>
              <w:pStyle w:val="Compact"/>
            </w:pPr>
            <w:r>
              <w:rPr>
                <w:rFonts w:ascii="Times New Roman" w:hAnsi="Times New Roman" w:eastAsia="游明朝"/>
                <w:sz w:val="18"/>
              </w:rPr>
              <w:t xml:space="preserve">Q3 2024 EC, p.6; Q2 2024 EC, p.4</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CPG広告がレストラン広告に次ぐ第二の柱として2024年にフル機能を構築完了</w:t>
            </w:r>
          </w:p>
        </w:tc>
        <w:tc>
          <w:tcPr/>
          <w:p>
            <w:pPr>
              <w:pStyle w:val="Compact"/>
            </w:pPr>
            <w:r>
              <w:rPr>
                <w:rFonts w:ascii="Times New Roman" w:hAnsi="Times New Roman" w:eastAsia="游明朝"/>
                <w:sz w:val="18"/>
              </w:rPr>
              <w:t xml:space="preserve">Q2 2024 EC, p.5</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広告事業開始から約2.5年で急成長、経営陣は開示していないがアナリスト推計では$100M超のランレート</w:t>
            </w:r>
          </w:p>
        </w:tc>
        <w:tc>
          <w:tcPr/>
          <w:p>
            <w:pPr>
              <w:pStyle w:val="Compact"/>
            </w:pPr>
            <w:r>
              <w:rPr>
                <w:rFonts w:ascii="Times New Roman" w:hAnsi="Times New Roman" w:eastAsia="游明朝"/>
                <w:sz w:val="18"/>
              </w:rPr>
              <w:t xml:space="preserve">Q1 2024 EC, p.3</w:t>
            </w:r>
          </w:p>
        </w:tc>
      </w:tr>
    </w:tbl>
    <w:bookmarkEnd w:id="26"/>
    <w:bookmarkStart w:id="27" w:name="更新情報直近1年-3"/>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初期仮説構築時点では広告事業の規模が非開示で不透明だったが、Q2</w:t>
      </w:r>
      <w:r>
        <w:t xml:space="preserve"> 2025 </w:t>
      </w:r>
      <w:r>
        <w:rPr>
          <w:rFonts w:hint="eastAsia"/>
        </w:rPr>
        <w:t xml:space="preserve">ECで「年間売上$1B超のランレートに到達、史上最速」と初めて開示された。さらにSymbiosys買収によりオフプラットフォーム広告（マーチャント向けマーケティング代行）への展開も開始。初期仮説の「テイクレート押し上げ」は広告+プラットフォーム収益の両方で確認され、売上成長率がGOV成長率を上回る構図が2025年を通じて一層鮮明になった。</w:t>
      </w:r>
    </w:p>
    <w:p>
      <w:pPr>
        <w:pStyle w:val="Compact"/>
        <w:numPr>
          <w:ilvl w:val="0"/>
          <w:numId w:val="1004"/>
        </w:numPr>
      </w:pPr>
      <w:r>
        <w:rPr>
          <w:rFonts w:hint="eastAsia"/>
        </w:rPr>
        <w:t xml:space="preserve">広告事業が年間$1B超のランレートに到達、「史上最速」でこの水準に。Q2</w:t>
      </w:r>
      <w:r>
        <w:t xml:space="preserve"> 2025 EC, p.3</w:t>
      </w:r>
    </w:p>
    <w:p>
      <w:pPr>
        <w:pStyle w:val="Compact"/>
        <w:numPr>
          <w:ilvl w:val="0"/>
          <w:numId w:val="1004"/>
        </w:numPr>
      </w:pPr>
      <w:r>
        <w:rPr>
          <w:rFonts w:hint="eastAsia"/>
        </w:rPr>
        <w:t xml:space="preserve">Symbiosys買収でオフプラットフォーム広告（マーチャント向けマーケティング代行）に展開。Q2</w:t>
      </w:r>
      <w:r>
        <w:t xml:space="preserve"> 2025 EC, p.3</w:t>
      </w:r>
    </w:p>
    <w:p>
      <w:pPr>
        <w:pStyle w:val="Compact"/>
        <w:numPr>
          <w:ilvl w:val="0"/>
          <w:numId w:val="1004"/>
        </w:numPr>
      </w:pPr>
      <w:r>
        <w:rPr>
          <w:rFonts w:hint="eastAsia"/>
        </w:rPr>
        <w:t xml:space="preserve">Revenue成長率がGOV成長率を引き続き上回り、広告・プラットフォーム事業がテイクレート改善の主因。Q3</w:t>
      </w:r>
      <w:r>
        <w:t xml:space="preserve"> 2025 EC, p.3</w:t>
      </w:r>
    </w:p>
    <w:p>
      <w:pPr>
        <w:pStyle w:val="Compact"/>
        <w:numPr>
          <w:ilvl w:val="0"/>
          <w:numId w:val="1004"/>
        </w:numPr>
      </w:pPr>
      <w:r>
        <w:rPr>
          <w:rFonts w:hint="eastAsia"/>
        </w:rPr>
        <w:t xml:space="preserve">CPG広告の採用拡大が継続、レストラン広告と並ぶ収益柱に成長。Q2</w:t>
      </w:r>
      <w:r>
        <w:t xml:space="preserve"> 2025 EC, p.3</w:t>
      </w:r>
    </w:p>
    <w:p>
      <w:pPr>
        <w:pStyle w:val="Compact"/>
        <w:numPr>
          <w:ilvl w:val="0"/>
          <w:numId w:val="1004"/>
        </w:numPr>
      </w:pPr>
      <w:r>
        <w:rPr>
          <w:rFonts w:hint="eastAsia"/>
        </w:rPr>
        <w:t xml:space="preserve">出典:</w:t>
      </w:r>
      <w:r>
        <w:t xml:space="preserve"> Q2 2025 EC (2025-08-06), p.3; Q3 2025 EC (2025-11-05), p.3</w:t>
      </w:r>
    </w:p>
    <w:bookmarkEnd w:id="27"/>
    <w:bookmarkStart w:id="28" w:name="納得度-3"/>
    <w:p>
      <w:pPr>
        <w:pStyle w:val="Heading3"/>
      </w:pPr>
      <w:r>
        <w:rPr>
          <w:rFonts w:hint="eastAsia"/>
        </w:rPr>
        <w:t xml:space="preserve">納得度</w:t>
      </w:r>
    </w:p>
    <w:p>
      <w:pPr>
        <w:pStyle w:val="FirstParagraph"/>
      </w:pPr>
      <w:r>
        <w:t xml:space="preserve">□ 90%　□ 70%　□ 50%　□ 30%　□ 10%</w:t>
      </w:r>
    </w:p>
    <w:bookmarkEnd w:id="28"/>
    <w:bookmarkStart w:id="29" w:name="備考任意-3"/>
    <w:p>
      <w:pPr>
        <w:pStyle w:val="Heading3"/>
      </w:pPr>
      <w:r>
        <w:rPr>
          <w:rFonts w:hint="eastAsia"/>
        </w:rPr>
        <w:t xml:space="preserve">備考（任意）</w:t>
      </w:r>
    </w:p>
    <w:p>
      <w:r>
        <w:pict>
          <v:rect style="width:0;height:1.5pt" o:hralign="center" o:hrstd="t" o:hr="t"/>
        </w:pict>
      </w:r>
    </w:p>
    <w:bookmarkEnd w:id="29"/>
    <w:bookmarkEnd w:id="30"/>
    <w:bookmarkStart w:id="35" w:name="仮説-58"/>
    <w:p>
      <w:pPr>
        <w:pStyle w:val="Heading2"/>
      </w:pPr>
      <w:r>
        <w:rPr>
          <w:rFonts w:hint="eastAsia"/>
        </w:rPr>
        <w:t xml:space="preserve">仮説</w:t>
      </w:r>
      <w:r>
        <w:t xml:space="preserve"> 5/8</w:t>
      </w:r>
    </w:p>
    <w:p>
      <w:pPr>
        <w:pStyle w:val="FirstParagraph"/>
      </w:pPr>
      <w:r>
        <w:rPr>
          <w:rFonts w:hint="eastAsia"/>
          <w:b/>
          <w:bCs/>
        </w:rPr>
        <w:t xml:space="preserve">DashPass/Wolt+のサブスクリプション会員基盤拡大が、リテンション向上・注文頻度増加・LTV最大化の好循環を生む</w:t>
      </w:r>
    </w:p>
    <w:bookmarkStart w:id="31" w:name="根拠情報-4"/>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DashPass会員数が毎四半期で過去最高を更新、国際ではWolt+会員が倍増した四半期もある</w:t>
            </w:r>
          </w:p>
        </w:tc>
        <w:tc>
          <w:tcPr/>
          <w:p>
            <w:pPr>
              <w:pStyle w:val="Compact"/>
            </w:pPr>
            <w:r>
              <w:rPr>
                <w:rFonts w:ascii="Times New Roman" w:hAnsi="Times New Roman" w:eastAsia="游明朝"/>
                <w:sz w:val="18"/>
              </w:rPr>
              <w:t xml:space="preserve">Q4 2023 EC, p.6; Q2 2024 EC, p.3</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$10/月で都市内のあらゆるカテゴリ（レストラン、グロサリー、リテール、ペット、コンビニ等）をカバーする価値提案</w:t>
            </w:r>
          </w:p>
        </w:tc>
        <w:tc>
          <w:tcPr/>
          <w:p>
            <w:pPr>
              <w:pStyle w:val="Compact"/>
            </w:pPr>
            <w:r>
              <w:rPr>
                <w:rFonts w:ascii="Times New Roman" w:hAnsi="Times New Roman" w:eastAsia="游明朝"/>
                <w:sz w:val="18"/>
              </w:rPr>
              <w:t xml:space="preserve">Q1 2023 EC, p.6</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DashPass会員の注文頻度は非会員を大幅に上回り、会員化がLTV拡大の最大ドライバー</w:t>
            </w:r>
          </w:p>
        </w:tc>
        <w:tc>
          <w:tcPr/>
          <w:p>
            <w:pPr>
              <w:pStyle w:val="Compact"/>
            </w:pPr>
            <w:r>
              <w:rPr>
                <w:rFonts w:ascii="Times New Roman" w:hAnsi="Times New Roman" w:eastAsia="游明朝"/>
                <w:sz w:val="18"/>
              </w:rPr>
              <w:t xml:space="preserve">Q2 2023 EC, p.6; Q4 2024 EC, p.5</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年間利用者は月間アクティブの「数倍」存在し、会員転換の余地が大きい</w:t>
            </w:r>
          </w:p>
        </w:tc>
        <w:tc>
          <w:tcPr/>
          <w:p>
            <w:pPr>
              <w:pStyle w:val="Compact"/>
            </w:pPr>
            <w:r>
              <w:rPr>
                <w:rFonts w:ascii="Times New Roman" w:hAnsi="Times New Roman" w:eastAsia="游明朝"/>
                <w:sz w:val="18"/>
              </w:rPr>
              <w:t xml:space="preserve">Q4 2023 EC, p.3; Q4 2024 EC, p.5</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Chase・Max・LyftとのパートナーシップによりDashPass会員に追加特典を提供、エンゲージメント強化と新規会員獲得を促進</w:t>
            </w:r>
          </w:p>
        </w:tc>
        <w:tc>
          <w:tcPr/>
          <w:p>
            <w:pPr>
              <w:pStyle w:val="Compact"/>
            </w:pPr>
            <w:r>
              <w:rPr>
                <w:rFonts w:ascii="Times New Roman" w:hAnsi="Times New Roman" w:eastAsia="游明朝"/>
                <w:sz w:val="18"/>
              </w:rPr>
              <w:t xml:space="preserve">Q3 2024 EC, p.5-6</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カテゴリ拡大（グロサリー・リテール）がDashPassの価値提案を強化し、会員化率を押し上げる構造</w:t>
            </w:r>
          </w:p>
        </w:tc>
        <w:tc>
          <w:tcPr/>
          <w:p>
            <w:pPr>
              <w:pStyle w:val="Compact"/>
            </w:pPr>
            <w:r>
              <w:rPr>
                <w:rFonts w:ascii="Times New Roman" w:hAnsi="Times New Roman" w:eastAsia="游明朝"/>
                <w:sz w:val="18"/>
              </w:rPr>
              <w:t xml:space="preserve">Q3 2023 EC, p.7-8; Q4 2024 EC, p.5</w:t>
            </w:r>
          </w:p>
        </w:tc>
      </w:tr>
    </w:tbl>
    <w:bookmarkEnd w:id="31"/>
    <w:bookmarkStart w:id="32" w:name="更新情報直近1年-4"/>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DashPassの成長ドライバーは「カテゴリ拡大」と「提携拡大」だったが、直近1年で5-6年前の古いコホートですらDashPass内での注文頻度・エンゲージメントが引き続き上昇していることが確認された。新規コホートのDashPass加入速度も過去最速水準。Deliveroo統合後のサブスクリプション統合機会も加わり、グローバルでの会員基盤拡大ポテンシャルは初期仮説時点より大きくなっている。</w:t>
      </w:r>
    </w:p>
    <w:p>
      <w:pPr>
        <w:pStyle w:val="Compact"/>
        <w:numPr>
          <w:ilvl w:val="0"/>
          <w:numId w:val="1005"/>
        </w:numPr>
      </w:pPr>
      <w:r>
        <w:rPr>
          <w:rFonts w:hint="eastAsia"/>
        </w:rPr>
        <w:t xml:space="preserve">DashPassの古いコホート（5-6年前）でもエンゲージメントが引き続き上昇。Q2</w:t>
      </w:r>
      <w:r>
        <w:t xml:space="preserve"> 2025 EC, p.5-6</w:t>
      </w:r>
    </w:p>
    <w:p>
      <w:pPr>
        <w:pStyle w:val="Compact"/>
        <w:numPr>
          <w:ilvl w:val="0"/>
          <w:numId w:val="1005"/>
        </w:numPr>
      </w:pPr>
      <w:r>
        <w:rPr>
          <w:rFonts w:hint="eastAsia"/>
        </w:rPr>
        <w:t xml:space="preserve">DashPass会員数が引き続き過去最高を更新、新規コホートの加入ペースも過去最速水準。Q2</w:t>
      </w:r>
      <w:r>
        <w:t xml:space="preserve"> 2025 EC, p.5</w:t>
      </w:r>
    </w:p>
    <w:p>
      <w:pPr>
        <w:pStyle w:val="Compact"/>
        <w:numPr>
          <w:ilvl w:val="0"/>
          <w:numId w:val="1005"/>
        </w:numPr>
      </w:pPr>
      <w:r>
        <w:rPr>
          <w:rFonts w:hint="eastAsia"/>
        </w:rPr>
        <w:t xml:space="preserve">Deliveroo統合により欧州でのサブスクリプション拡大機会が追加。Q3</w:t>
      </w:r>
      <w:r>
        <w:t xml:space="preserve"> 2025 EC, p.4-5</w:t>
      </w:r>
    </w:p>
    <w:p>
      <w:pPr>
        <w:pStyle w:val="Compact"/>
        <w:numPr>
          <w:ilvl w:val="0"/>
          <w:numId w:val="1005"/>
        </w:numPr>
      </w:pPr>
      <w:r>
        <w:rPr>
          <w:rFonts w:hint="eastAsia"/>
        </w:rPr>
        <w:t xml:space="preserve">DashPassに追加された特典（Max、Lyft等）が会員獲得・維持に寄与。Q3</w:t>
      </w:r>
      <w:r>
        <w:t xml:space="preserve"> 2024 EC, p.5-6</w:t>
      </w:r>
    </w:p>
    <w:p>
      <w:pPr>
        <w:pStyle w:val="Compact"/>
        <w:numPr>
          <w:ilvl w:val="0"/>
          <w:numId w:val="1005"/>
        </w:numPr>
      </w:pPr>
      <w:r>
        <w:rPr>
          <w:rFonts w:hint="eastAsia"/>
        </w:rPr>
        <w:t xml:space="preserve">出典:</w:t>
      </w:r>
      <w:r>
        <w:t xml:space="preserve"> Q2 2025 EC (2025-08-06), p.5-6; Q3 2025 EC (2025-11-05), p.4-5</w:t>
      </w:r>
    </w:p>
    <w:bookmarkEnd w:id="32"/>
    <w:bookmarkStart w:id="33" w:name="納得度-4"/>
    <w:p>
      <w:pPr>
        <w:pStyle w:val="Heading3"/>
      </w:pPr>
      <w:r>
        <w:rPr>
          <w:rFonts w:hint="eastAsia"/>
        </w:rPr>
        <w:t xml:space="preserve">納得度</w:t>
      </w:r>
    </w:p>
    <w:p>
      <w:pPr>
        <w:pStyle w:val="FirstParagraph"/>
      </w:pPr>
      <w:r>
        <w:t xml:space="preserve">□ 90%　□ 70%　□ 50%　□ 30%　□ 10%</w:t>
      </w:r>
    </w:p>
    <w:bookmarkEnd w:id="33"/>
    <w:bookmarkStart w:id="34" w:name="備考任意-4"/>
    <w:p>
      <w:pPr>
        <w:pStyle w:val="Heading3"/>
      </w:pPr>
      <w:r>
        <w:rPr>
          <w:rFonts w:hint="eastAsia"/>
        </w:rPr>
        <w:t xml:space="preserve">備考（任意）</w:t>
      </w:r>
    </w:p>
    <w:p>
      <w:r>
        <w:pict>
          <v:rect style="width:0;height:1.5pt" o:hralign="center" o:hrstd="t" o:hr="t"/>
        </w:pict>
      </w:r>
    </w:p>
    <w:bookmarkEnd w:id="34"/>
    <w:bookmarkEnd w:id="35"/>
    <w:bookmarkStart w:id="40" w:name="仮説-68"/>
    <w:p>
      <w:pPr>
        <w:pStyle w:val="Heading2"/>
      </w:pPr>
      <w:r>
        <w:rPr>
          <w:rFonts w:hint="eastAsia"/>
        </w:rPr>
        <w:t xml:space="preserve">仮説</w:t>
      </w:r>
      <w:r>
        <w:t xml:space="preserve"> 6/8</w:t>
      </w:r>
    </w:p>
    <w:p>
      <w:pPr>
        <w:pStyle w:val="FirstParagraph"/>
      </w:pPr>
      <w:r>
        <w:rPr>
          <w:rFonts w:hint="eastAsia"/>
          <w:b/>
          <w:bCs/>
        </w:rPr>
        <w:t xml:space="preserve">コマースプラットフォーム事業（Drive,</w:t>
      </w:r>
      <w:r>
        <w:rPr>
          <w:b/>
          <w:bCs/>
        </w:rPr>
        <w:t xml:space="preserve"> Storefront, </w:t>
      </w:r>
      <w:r>
        <w:rPr>
          <w:rFonts w:hint="eastAsia"/>
          <w:b/>
          <w:bCs/>
        </w:rPr>
        <w:t xml:space="preserve">SevenRooms）とAI活用による生産性向上が、「ローカルコマースのOS」としてのプラットフォーム価値を構造的に高める</w:t>
      </w:r>
    </w:p>
    <w:bookmarkStart w:id="36" w:name="根拠情報-5"/>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ascii="Times New Roman" w:hAnsi="Times New Roman" w:eastAsia="游明朝"/>
                <w:sz w:val="18"/>
              </w:rPr>
              <w:t xml:space="preserve">DoorDash </w:t>
            </w:r>
            <w:r>
              <w:rPr>
                <w:rFonts w:hint="eastAsia" w:ascii="Times New Roman" w:hAnsi="Times New Roman" w:eastAsia="游明朝"/>
                <w:sz w:val="18"/>
              </w:rPr>
              <w:t xml:space="preserve">Driveは2016年開始のロジスティクス・アズ・ア・サービス、Storefrontは自社チャネル向けオンラインオーダリング・アズ・ア・サービスとして機能</w:t>
            </w:r>
          </w:p>
        </w:tc>
        <w:tc>
          <w:tcPr/>
          <w:p>
            <w:pPr>
              <w:pStyle w:val="Compact"/>
            </w:pPr>
            <w:r>
              <w:rPr>
                <w:rFonts w:ascii="Times New Roman" w:hAnsi="Times New Roman" w:eastAsia="游明朝"/>
                <w:sz w:val="18"/>
              </w:rPr>
              <w:t xml:space="preserve">Q1 2025 EC, p.4</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マーチャントの「デジタルチャネル成長」が店舗チャネルを大幅に上回っており、B2Bプラットフォーム需要が拡大</w:t>
            </w:r>
          </w:p>
        </w:tc>
        <w:tc>
          <w:tcPr/>
          <w:p>
            <w:pPr>
              <w:pStyle w:val="Compact"/>
            </w:pPr>
            <w:r>
              <w:rPr>
                <w:rFonts w:ascii="Times New Roman" w:hAnsi="Times New Roman" w:eastAsia="游明朝"/>
                <w:sz w:val="18"/>
              </w:rPr>
              <w:t xml:space="preserve">Q2 2024 EC, p.2</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プラットフォーム事業がRevenue成長に寄与し、テイクレート改善の一因となっている</w:t>
            </w:r>
          </w:p>
        </w:tc>
        <w:tc>
          <w:tcPr/>
          <w:p>
            <w:pPr>
              <w:pStyle w:val="Compact"/>
            </w:pPr>
            <w:r>
              <w:rPr>
                <w:rFonts w:ascii="Times New Roman" w:hAnsi="Times New Roman" w:eastAsia="游明朝"/>
                <w:sz w:val="18"/>
              </w:rPr>
              <w:t xml:space="preserve">Q3 2024 EC, p.6</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生成AI・LLMの活用でコーディング生産性向上、メニュー/カタログのデジタル化自動化、カスタマーサポート効率化を実現</w:t>
            </w:r>
          </w:p>
        </w:tc>
        <w:tc>
          <w:tcPr/>
          <w:p>
            <w:pPr>
              <w:pStyle w:val="Compact"/>
            </w:pPr>
            <w:r>
              <w:rPr>
                <w:rFonts w:ascii="Times New Roman" w:hAnsi="Times New Roman" w:eastAsia="游明朝"/>
                <w:sz w:val="18"/>
              </w:rPr>
              <w:t xml:space="preserve">Q4 2023 EC, p.11-12; Q2 2025 EC, p.3-4</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5つの事業ライン（US</w:t>
            </w:r>
            <w:r>
              <w:rPr>
                <w:rFonts w:ascii="Times New Roman" w:hAnsi="Times New Roman" w:eastAsia="游明朝"/>
                <w:sz w:val="18"/>
              </w:rPr>
              <w:t xml:space="preserve"> Restaurant、International、New Verticals、Commerce </w:t>
            </w:r>
            <w:r>
              <w:rPr>
                <w:rFonts w:hint="eastAsia" w:ascii="Times New Roman" w:hAnsi="Times New Roman" w:eastAsia="游明朝"/>
                <w:sz w:val="18"/>
              </w:rPr>
              <w:t xml:space="preserve">Platform、Ads）を明確に位置づけ、各事業で投資規律を徹底</w:t>
            </w:r>
          </w:p>
        </w:tc>
        <w:tc>
          <w:tcPr/>
          <w:p>
            <w:pPr>
              <w:pStyle w:val="Compact"/>
            </w:pPr>
            <w:r>
              <w:rPr>
                <w:rFonts w:ascii="Times New Roman" w:hAnsi="Times New Roman" w:eastAsia="游明朝"/>
                <w:sz w:val="18"/>
              </w:rPr>
              <w:t xml:space="preserve">Q3 2023 EC, p.6; Q4 2024 EC, p.4</w:t>
            </w:r>
          </w:p>
        </w:tc>
      </w:tr>
    </w:tbl>
    <w:bookmarkEnd w:id="36"/>
    <w:bookmarkStart w:id="37" w:name="更新情報直近1年-5"/>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強化</w:t>
      </w:r>
    </w:p>
    <w:p>
      <w:pPr>
        <w:pStyle w:val="BodyText"/>
      </w:pPr>
      <w:r>
        <w:rPr>
          <w:rFonts w:hint="eastAsia"/>
          <w:b/>
          <w:bCs/>
        </w:rPr>
        <w:t xml:space="preserve">初期仮説への影響:</w:t>
      </w:r>
      <w:r>
        <w:t xml:space="preserve"> </w:t>
      </w:r>
      <w:r>
        <w:rPr>
          <w:rFonts w:hint="eastAsia"/>
        </w:rPr>
        <w:t xml:space="preserve">初期仮説構築時点では「コマースプラットフォーム」は主にDriveとStorefrontの2製品だったが、直近1年でSevenRooms買収（レストランCRM・予約管理）、DoorDash</w:t>
      </w:r>
      <w:r>
        <w:t xml:space="preserve"> </w:t>
      </w:r>
      <w:r>
        <w:rPr>
          <w:rFonts w:hint="eastAsia"/>
        </w:rPr>
        <w:t xml:space="preserve">Dot（自律配送車両）の発表、グローバル統一テックプラットフォーム構築への大規模投資と、「ローカルコマースのOS」構想が具体的な製品・投資として顕在化。経営陣が「ローカルコマースのオペレーティングシステム」という表現を初めて使い、戦略的ビジョンが明確化された。AI</w:t>
      </w:r>
      <w:r>
        <w:t xml:space="preserve"> </w:t>
      </w:r>
      <w:r>
        <w:rPr>
          <w:rFonts w:hint="eastAsia"/>
        </w:rPr>
        <w:t xml:space="preserve">Native設計のグローバルテックスタック再構築も2026年に本格化する。</w:t>
      </w:r>
    </w:p>
    <w:p>
      <w:pPr>
        <w:pStyle w:val="Compact"/>
        <w:numPr>
          <w:ilvl w:val="0"/>
          <w:numId w:val="1006"/>
        </w:numPr>
      </w:pPr>
      <w:r>
        <w:rPr>
          <w:rFonts w:hint="eastAsia"/>
        </w:rPr>
        <w:t xml:space="preserve">SevenRooms買収でレストランCRM・予約管理・マーケティング自動化を統合（「マーケティング・アズ・ア・サービス」）。Q1</w:t>
      </w:r>
      <w:r>
        <w:t xml:space="preserve"> 2025 EC, p.3-4</w:t>
      </w:r>
    </w:p>
    <w:p>
      <w:pPr>
        <w:pStyle w:val="Compact"/>
        <w:numPr>
          <w:ilvl w:val="0"/>
          <w:numId w:val="1006"/>
        </w:numPr>
      </w:pPr>
      <w:r>
        <w:t xml:space="preserve">DoorDash </w:t>
      </w:r>
      <w:r>
        <w:rPr>
          <w:rFonts w:hint="eastAsia"/>
        </w:rPr>
        <w:t xml:space="preserve">Dot（自社設計の自律配送車両、道路・歩道・自転車レーンで走行可能な世界初）を発表。Q3</w:t>
      </w:r>
      <w:r>
        <w:t xml:space="preserve"> 2025 EC, p.3</w:t>
      </w:r>
    </w:p>
    <w:p>
      <w:pPr>
        <w:pStyle w:val="Compact"/>
        <w:numPr>
          <w:ilvl w:val="0"/>
          <w:numId w:val="1006"/>
        </w:numPr>
      </w:pPr>
      <w:r>
        <w:rPr>
          <w:rFonts w:hint="eastAsia"/>
        </w:rPr>
        <w:t xml:space="preserve">グローバル統一テックプラットフォーム構築に数百億円規模の投資、AI</w:t>
      </w:r>
      <w:r>
        <w:t xml:space="preserve"> </w:t>
      </w:r>
      <w:r>
        <w:rPr>
          <w:rFonts w:hint="eastAsia"/>
        </w:rPr>
        <w:t xml:space="preserve">Nativeアーキテクチャで設計。Q3</w:t>
      </w:r>
      <w:r>
        <w:t xml:space="preserve"> 2025 EC, p.2-3</w:t>
      </w:r>
    </w:p>
    <w:p>
      <w:pPr>
        <w:pStyle w:val="Compact"/>
        <w:numPr>
          <w:ilvl w:val="0"/>
          <w:numId w:val="1006"/>
        </w:numPr>
      </w:pPr>
      <w:r>
        <w:rPr>
          <w:rFonts w:hint="eastAsia"/>
        </w:rPr>
        <w:t xml:space="preserve">経営陣が「ローカルコマースのオペレーティングシステムを構築する」と初めて明示。Q4</w:t>
      </w:r>
      <w:r>
        <w:t xml:space="preserve"> 2025 EC, p.3</w:t>
      </w:r>
    </w:p>
    <w:p>
      <w:pPr>
        <w:pStyle w:val="Compact"/>
        <w:numPr>
          <w:ilvl w:val="0"/>
          <w:numId w:val="1006"/>
        </w:numPr>
      </w:pPr>
      <w:r>
        <w:t xml:space="preserve">DashMart Fulfillment </w:t>
      </w:r>
      <w:r>
        <w:rPr>
          <w:rFonts w:hint="eastAsia"/>
        </w:rPr>
        <w:t xml:space="preserve">Servicesで小売業者にsame-hour/same-day配送インフラを提供。Q3</w:t>
      </w:r>
      <w:r>
        <w:t xml:space="preserve"> 2025 EC, p.3; Q4 2025 EC, p.4</w:t>
      </w:r>
    </w:p>
    <w:p>
      <w:pPr>
        <w:pStyle w:val="Compact"/>
        <w:numPr>
          <w:ilvl w:val="0"/>
          <w:numId w:val="1006"/>
        </w:numPr>
      </w:pPr>
      <w:r>
        <w:rPr>
          <w:rFonts w:hint="eastAsia"/>
        </w:rPr>
        <w:t xml:space="preserve">出典:</w:t>
      </w:r>
      <w:r>
        <w:t xml:space="preserve"> Q1 2025 EC (2025-05-06), p.3-4; Q3 2025 EC (2025-11-05), p.2-3; Q4 2025 EC (2026-02-18), p.3-4</w:t>
      </w:r>
    </w:p>
    <w:bookmarkEnd w:id="37"/>
    <w:bookmarkStart w:id="38" w:name="納得度-5"/>
    <w:p>
      <w:pPr>
        <w:pStyle w:val="Heading3"/>
      </w:pPr>
      <w:r>
        <w:rPr>
          <w:rFonts w:hint="eastAsia"/>
        </w:rPr>
        <w:t xml:space="preserve">納得度</w:t>
      </w:r>
    </w:p>
    <w:p>
      <w:pPr>
        <w:pStyle w:val="FirstParagraph"/>
      </w:pPr>
      <w:r>
        <w:t xml:space="preserve">□ 90%　□ 70%　□ 50%　□ 30%　□ 10%</w:t>
      </w:r>
    </w:p>
    <w:bookmarkEnd w:id="38"/>
    <w:bookmarkStart w:id="39" w:name="備考任意-5"/>
    <w:p>
      <w:pPr>
        <w:pStyle w:val="Heading3"/>
      </w:pPr>
      <w:r>
        <w:rPr>
          <w:rFonts w:hint="eastAsia"/>
        </w:rPr>
        <w:t xml:space="preserve">備考（任意）</w:t>
      </w:r>
    </w:p>
    <w:p>
      <w:r>
        <w:pict>
          <v:rect style="width:0;height:1.5pt" o:hralign="center" o:hrstd="t" o:hr="t"/>
        </w:pict>
      </w:r>
    </w:p>
    <w:bookmarkEnd w:id="39"/>
    <w:bookmarkEnd w:id="40"/>
    <w:bookmarkStart w:id="45" w:name="仮説-78"/>
    <w:p>
      <w:pPr>
        <w:pStyle w:val="Heading2"/>
      </w:pPr>
      <w:r>
        <w:rPr>
          <w:rFonts w:hint="eastAsia"/>
        </w:rPr>
        <w:t xml:space="preserve">仮説</w:t>
      </w:r>
      <w:r>
        <w:t xml:space="preserve"> 7/8</w:t>
      </w:r>
    </w:p>
    <w:p>
      <w:pPr>
        <w:pStyle w:val="FirstParagraph"/>
      </w:pPr>
      <w:r>
        <w:rPr>
          <w:rFonts w:hint="eastAsia"/>
          <w:b/>
          <w:bCs/>
        </w:rPr>
        <w:t xml:space="preserve">【リスク仮説】規制リスク（ギグワーカー最低賃金規制・分類変更）がコスト構造を悪化させ、利益率改善トレンドを阻害するリスク</w:t>
      </w:r>
    </w:p>
    <w:bookmarkStart w:id="41" w:name="根拠情報-6"/>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ニューヨーク市の最低賃金規制で注文量が約1%減少、コスト吸収のためQ1</w:t>
            </w:r>
            <w:r>
              <w:rPr>
                <w:rFonts w:ascii="Times New Roman" w:hAnsi="Times New Roman" w:eastAsia="游明朝"/>
                <w:sz w:val="18"/>
              </w:rPr>
              <w:t xml:space="preserve"> </w:t>
            </w:r>
            <w:r>
              <w:rPr>
                <w:rFonts w:hint="eastAsia" w:ascii="Times New Roman" w:hAnsi="Times New Roman" w:eastAsia="游明朝"/>
                <w:sz w:val="18"/>
              </w:rPr>
              <w:t xml:space="preserve">2024のEBITDAに影響</w:t>
            </w:r>
          </w:p>
        </w:tc>
        <w:tc>
          <w:tcPr/>
          <w:p>
            <w:pPr>
              <w:pStyle w:val="Compact"/>
            </w:pPr>
            <w:r>
              <w:rPr>
                <w:rFonts w:ascii="Times New Roman" w:hAnsi="Times New Roman" w:eastAsia="游明朝"/>
                <w:sz w:val="18"/>
              </w:rPr>
              <w:t xml:space="preserve">Q4 2023 EC, p.6; Q1 2024 EC, p.6</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シアトルでも同様の最低賃金規制が施行され、消費者へのコスト転嫁が発生</w:t>
            </w:r>
          </w:p>
        </w:tc>
        <w:tc>
          <w:tcPr/>
          <w:p>
            <w:pPr>
              <w:pStyle w:val="Compact"/>
            </w:pPr>
            <w:r>
              <w:rPr>
                <w:rFonts w:ascii="Times New Roman" w:hAnsi="Times New Roman" w:eastAsia="游明朝"/>
                <w:sz w:val="18"/>
              </w:rPr>
              <w:t xml:space="preserve">Q1 2024 EC, p.6</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Dasherの90%超が週10時間未満の稼働、80%超が他にフルタイムの仕事を持つ。柔軟性こそが最大の魅力だが、従業員分類への圧力が継続</w:t>
            </w:r>
          </w:p>
        </w:tc>
        <w:tc>
          <w:tcPr/>
          <w:p>
            <w:pPr>
              <w:pStyle w:val="Compact"/>
            </w:pPr>
            <w:r>
              <w:rPr>
                <w:rFonts w:ascii="Times New Roman" w:hAnsi="Times New Roman" w:eastAsia="游明朝"/>
                <w:sz w:val="18"/>
              </w:rPr>
              <w:t xml:space="preserve">Q4 2023 EC, p.11; Q3 2023 EC, p.8-9</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経営陣は「大多数の自治体は生産的に協力したい」としつつ、一部の極端な規制が消費者コスト増→注文減→マーチャント売上減→Dasher機会減の悪循環を引き起こすと認識</w:t>
            </w:r>
          </w:p>
        </w:tc>
        <w:tc>
          <w:tcPr/>
          <w:p>
            <w:pPr>
              <w:pStyle w:val="Compact"/>
            </w:pPr>
            <w:r>
              <w:rPr>
                <w:rFonts w:ascii="Times New Roman" w:hAnsi="Times New Roman" w:eastAsia="游明朝"/>
                <w:sz w:val="18"/>
              </w:rPr>
              <w:t xml:space="preserve">Q4 2023 EC, p.6; Q3 2023 EC, p.8-9</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規制影響はガイダンスに含まれていると経営陣が一貫して表明しているが、今後の規制拡大リスクは残存</w:t>
            </w:r>
          </w:p>
        </w:tc>
        <w:tc>
          <w:tcPr/>
          <w:p>
            <w:pPr>
              <w:pStyle w:val="Compact"/>
            </w:pPr>
            <w:r>
              <w:rPr>
                <w:rFonts w:ascii="Times New Roman" w:hAnsi="Times New Roman" w:eastAsia="游明朝"/>
                <w:sz w:val="18"/>
              </w:rPr>
              <w:t xml:space="preserve">Q3 2023 EC, p.9; Q1 2024 EC, p.6</w:t>
            </w:r>
          </w:p>
        </w:tc>
      </w:tr>
    </w:tbl>
    <w:bookmarkEnd w:id="41"/>
    <w:bookmarkStart w:id="42" w:name="更新情報直近1年-6"/>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リスク低減</w:t>
      </w:r>
    </w:p>
    <w:p>
      <w:pPr>
        <w:pStyle w:val="BodyText"/>
      </w:pPr>
      <w:r>
        <w:rPr>
          <w:rFonts w:hint="eastAsia"/>
          <w:b/>
          <w:bCs/>
        </w:rPr>
        <w:t xml:space="preserve">初期仮説への影響:</w:t>
      </w:r>
      <w:r>
        <w:t xml:space="preserve"> </w:t>
      </w:r>
      <w:r>
        <w:rPr>
          <w:rFonts w:hint="eastAsia"/>
        </w:rPr>
        <w:t xml:space="preserve">初期仮説構築時点ではNY・シアトルの規制影響が懸念材料だったが、直近1年で規制環境は悪化せず、むしろ経営陣は規制影響を吸収しながら利益率改善を実現。関税・マクロ懸念が新たに浮上したが「消費者行動に変化なし」と明言。Dasher向けの新ペイモデル投資（長距離・複雑配送への適正報酬）は先手を打つ形で規制リスクを低減する効果がある。ただし欧州のDeliveroo統合に伴い、EUのギグワーカー規制という新たなリスク要因が加わった点には注意が必要。</w:t>
      </w:r>
    </w:p>
    <w:p>
      <w:pPr>
        <w:pStyle w:val="Compact"/>
        <w:numPr>
          <w:ilvl w:val="0"/>
          <w:numId w:val="1007"/>
        </w:numPr>
      </w:pPr>
      <w:r>
        <w:rPr>
          <w:rFonts w:hint="eastAsia"/>
        </w:rPr>
        <w:t xml:space="preserve">関税・マクロ懸念が浮上するも「消費者行動に変化なし」と経営陣が明言。Q1</w:t>
      </w:r>
      <w:r>
        <w:t xml:space="preserve"> 2025 EC, p.2-3</w:t>
      </w:r>
    </w:p>
    <w:p>
      <w:pPr>
        <w:pStyle w:val="Compact"/>
        <w:numPr>
          <w:ilvl w:val="0"/>
          <w:numId w:val="1007"/>
        </w:numPr>
      </w:pPr>
      <w:r>
        <w:rPr>
          <w:rFonts w:hint="eastAsia"/>
        </w:rPr>
        <w:t xml:space="preserve">Dasher向けの長距離・高難度配送への適正報酬投資を積極的に実施、先手を打つ形で規制リスクを低減。Q4</w:t>
      </w:r>
      <w:r>
        <w:t xml:space="preserve"> 2025 EC, p.3-4</w:t>
      </w:r>
    </w:p>
    <w:p>
      <w:pPr>
        <w:pStyle w:val="Compact"/>
        <w:numPr>
          <w:ilvl w:val="0"/>
          <w:numId w:val="1007"/>
        </w:numPr>
      </w:pPr>
      <w:r>
        <w:rPr>
          <w:rFonts w:hint="eastAsia"/>
        </w:rPr>
        <w:t xml:space="preserve">規制環境に大きな悪化なし、利益率改善が継続。Q2</w:t>
      </w:r>
      <w:r>
        <w:t xml:space="preserve"> 2025 EC, p.5; Q3 2025 EC, p.3</w:t>
      </w:r>
    </w:p>
    <w:p>
      <w:pPr>
        <w:pStyle w:val="Compact"/>
        <w:numPr>
          <w:ilvl w:val="0"/>
          <w:numId w:val="1007"/>
        </w:numPr>
      </w:pPr>
      <w:r>
        <w:rPr>
          <w:rFonts w:hint="eastAsia"/>
        </w:rPr>
        <w:t xml:space="preserve">ただしDeliveroo統合によりEUのギグワーカー規制（Platform</w:t>
      </w:r>
      <w:r>
        <w:t xml:space="preserve"> Work </w:t>
      </w:r>
      <w:r>
        <w:rPr>
          <w:rFonts w:hint="eastAsia"/>
        </w:rPr>
        <w:t xml:space="preserve">Directive等）への追加エクスポージャーが発生。Q3</w:t>
      </w:r>
      <w:r>
        <w:t xml:space="preserve"> 2025 EC, p.4-5</w:t>
      </w:r>
    </w:p>
    <w:p>
      <w:pPr>
        <w:pStyle w:val="Compact"/>
        <w:numPr>
          <w:ilvl w:val="0"/>
          <w:numId w:val="1007"/>
        </w:numPr>
      </w:pPr>
      <w:r>
        <w:rPr>
          <w:rFonts w:hint="eastAsia"/>
        </w:rPr>
        <w:t xml:space="preserve">出典:</w:t>
      </w:r>
      <w:r>
        <w:t xml:space="preserve"> Q1 2025 EC (2025-05-06), p.2-3; Q4 2025 EC (2026-02-18), p.3-4</w:t>
      </w:r>
    </w:p>
    <w:bookmarkEnd w:id="42"/>
    <w:bookmarkStart w:id="43" w:name="納得度-6"/>
    <w:p>
      <w:pPr>
        <w:pStyle w:val="Heading3"/>
      </w:pPr>
      <w:r>
        <w:rPr>
          <w:rFonts w:hint="eastAsia"/>
        </w:rPr>
        <w:t xml:space="preserve">納得度</w:t>
      </w:r>
    </w:p>
    <w:p>
      <w:pPr>
        <w:pStyle w:val="FirstParagraph"/>
      </w:pPr>
      <w:r>
        <w:t xml:space="preserve">□ 90%　□ 70%　□ 50%　□ 30%　□ 10%</w:t>
      </w:r>
    </w:p>
    <w:bookmarkEnd w:id="43"/>
    <w:bookmarkStart w:id="44" w:name="備考任意-6"/>
    <w:p>
      <w:pPr>
        <w:pStyle w:val="Heading3"/>
      </w:pPr>
      <w:r>
        <w:rPr>
          <w:rFonts w:hint="eastAsia"/>
        </w:rPr>
        <w:t xml:space="preserve">備考（任意）</w:t>
      </w:r>
    </w:p>
    <w:p>
      <w:r>
        <w:pict>
          <v:rect style="width:0;height:1.5pt" o:hralign="center" o:hrstd="t" o:hr="t"/>
        </w:pict>
      </w:r>
    </w:p>
    <w:bookmarkEnd w:id="44"/>
    <w:bookmarkEnd w:id="45"/>
    <w:bookmarkStart w:id="50" w:name="仮説-88"/>
    <w:p>
      <w:pPr>
        <w:pStyle w:val="Heading2"/>
      </w:pPr>
      <w:r>
        <w:rPr>
          <w:rFonts w:hint="eastAsia"/>
        </w:rPr>
        <w:t xml:space="preserve">仮説</w:t>
      </w:r>
      <w:r>
        <w:t xml:space="preserve"> 8/8</w:t>
      </w:r>
    </w:p>
    <w:p>
      <w:pPr>
        <w:pStyle w:val="FirstParagraph"/>
      </w:pPr>
      <w:r>
        <w:rPr>
          <w:rFonts w:hint="eastAsia"/>
          <w:b/>
          <w:bCs/>
        </w:rPr>
        <w:t xml:space="preserve">【リスク仮説】2026年の大規模投資（グローバルテックスタック・自律配送・Deliveroo統合）がEBITDA成長を一時的に鈍化させ、投資回収に想定以上の時間を要するリスク</w:t>
      </w:r>
    </w:p>
    <w:bookmarkStart w:id="46" w:name="根拠情報-7"/>
    <w:p>
      <w:pPr>
        <w:pStyle w:val="Heading3"/>
      </w:pPr>
      <w:r>
        <w:rPr>
          <w:rFonts w:hint="eastAsia"/>
        </w:rPr>
        <w:t xml:space="preserve">根拠情報</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3168"/>
        <w:gridCol w:w="3168"/>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情報</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出典</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経営陣は一貫して「利益率%ではなく利益ドルの最大化」を目標に掲げ、機会があれば積極的に再投資する方針を明示</w:t>
            </w:r>
          </w:p>
        </w:tc>
        <w:tc>
          <w:tcPr/>
          <w:p>
            <w:pPr>
              <w:pStyle w:val="Compact"/>
            </w:pPr>
            <w:r>
              <w:rPr>
                <w:rFonts w:ascii="Times New Roman" w:hAnsi="Times New Roman" w:eastAsia="游明朝"/>
                <w:sz w:val="18"/>
              </w:rPr>
              <w:t xml:space="preserve">Q1 2023 EC, p.3; Q2 2024 EC, p.6; Q4 2024 EC, p.3-4</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新カテゴリ・国際事業への投資では「ユニットエコノミクスとボリュームの両方で進捗がある限り投資を継続」というフレームワーク</w:t>
            </w:r>
          </w:p>
        </w:tc>
        <w:tc>
          <w:tcPr/>
          <w:p>
            <w:pPr>
              <w:pStyle w:val="Compact"/>
            </w:pPr>
            <w:r>
              <w:rPr>
                <w:rFonts w:ascii="Times New Roman" w:hAnsi="Times New Roman" w:eastAsia="游明朝"/>
                <w:sz w:val="18"/>
              </w:rPr>
              <w:t xml:space="preserve">Q2 2023 EC, p.8-9; Q3 2024 EC, p.2-3</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EBITDA利益率はH1が低く、H2が高いパターンが2022-2024年で継続。投資タイミングにより短期業績のボラティリティが存在</w:t>
            </w:r>
          </w:p>
        </w:tc>
        <w:tc>
          <w:tcPr/>
          <w:p>
            <w:pPr>
              <w:pStyle w:val="Compact"/>
            </w:pPr>
            <w:r>
              <w:rPr>
                <w:rFonts w:ascii="Times New Roman" w:hAnsi="Times New Roman" w:eastAsia="游明朝"/>
                <w:sz w:val="18"/>
              </w:rPr>
              <w:t xml:space="preserve">Q4 2023 EC, p.4; Q1 2024 EC, p.6</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Wolt統合に約2年を要した実績があり、Deliverooの統合にも相応の時間と投資が必要</w:t>
            </w:r>
          </w:p>
        </w:tc>
        <w:tc>
          <w:tcPr/>
          <w:p>
            <w:pPr>
              <w:pStyle w:val="Compact"/>
            </w:pPr>
            <w:r>
              <w:rPr>
                <w:rFonts w:ascii="Times New Roman" w:hAnsi="Times New Roman" w:eastAsia="游明朝"/>
                <w:sz w:val="18"/>
              </w:rPr>
              <w:t xml:space="preserve">Q2 2023 EC, p.4; Q3 2024 EC, p.2-3</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FY2023で初のGAAP黒字を達成するもSBC負担が依然大きく、GAAP利益ベースでの成長は不安定</w:t>
            </w:r>
          </w:p>
        </w:tc>
        <w:tc>
          <w:tcPr/>
          <w:p>
            <w:pPr>
              <w:pStyle w:val="Compact"/>
            </w:pPr>
            <w:r>
              <w:rPr>
                <w:rFonts w:ascii="Times New Roman" w:hAnsi="Times New Roman" w:eastAsia="游明朝"/>
                <w:sz w:val="18"/>
              </w:rPr>
              <w:t xml:space="preserve">SEC EDGAR 10-K FY2024</w:t>
            </w:r>
          </w:p>
        </w:tc>
      </w:tr>
    </w:tbl>
    <w:bookmarkEnd w:id="46"/>
    <w:bookmarkStart w:id="47" w:name="更新情報直近1年-7"/>
    <w:p>
      <w:pPr>
        <w:pStyle w:val="Heading3"/>
      </w:pPr>
      <w:r>
        <w:rPr>
          <w:rFonts w:hint="eastAsia"/>
        </w:rPr>
        <w:t xml:space="preserve">更新情報（直近1年）</w:t>
      </w:r>
    </w:p>
    <w:p>
      <w:pPr>
        <w:pStyle w:val="FirstParagraph"/>
      </w:pPr>
      <w:r>
        <w:rPr>
          <w:rFonts w:hint="eastAsia"/>
          <w:b/>
          <w:bCs/>
        </w:rPr>
        <w:t xml:space="preserve">変化:</w:t>
      </w:r>
      <w:r>
        <w:rPr>
          <w:b/>
          <w:bCs/>
        </w:rPr>
        <w:t xml:space="preserve"> </w:t>
      </w:r>
      <w:r>
        <w:rPr>
          <w:rFonts w:hint="eastAsia"/>
          <w:b/>
          <w:bCs/>
        </w:rPr>
        <w:t xml:space="preserve">リスク顕在化</w:t>
      </w:r>
    </w:p>
    <w:p>
      <w:pPr>
        <w:pStyle w:val="BodyText"/>
      </w:pPr>
      <w:r>
        <w:rPr>
          <w:rFonts w:hint="eastAsia"/>
          <w:b/>
          <w:bCs/>
        </w:rPr>
        <w:t xml:space="preserve">初期仮説への影響:</w:t>
      </w:r>
      <w:r>
        <w:t xml:space="preserve"> </w:t>
      </w:r>
      <w:r>
        <w:rPr>
          <w:rFonts w:hint="eastAsia"/>
        </w:rPr>
        <w:t xml:space="preserve">初期仮説構築時点では投資規模が限定的で「H2にEBITDA改善」というパターンが安定していたが、Q3</w:t>
      </w:r>
      <w:r>
        <w:t xml:space="preserve"> 2025 </w:t>
      </w:r>
      <w:r>
        <w:rPr>
          <w:rFonts w:hint="eastAsia"/>
        </w:rPr>
        <w:t xml:space="preserve">ECで2026年に「数百億円規模の追加投資」を明示。グローバルテックスタック統合、自律配送の商用化、Deliveroo統合の3つが同時進行し、2026年のEBITDAマージンは「前年比で若干上昇」にとどまる見通し。テックスタックの重複コストは大半が2026年に発生し一部が2027年に残るとされ、投資回収期間は1-2年を要する。自律配送も「2026年は商用化の年」としているが収益貢献は未知数。IRR重視の投資規律は維持されているが、複数の大型プロジェクトの同時進行は実行リスクを高めている。</w:t>
      </w:r>
    </w:p>
    <w:p>
      <w:pPr>
        <w:pStyle w:val="Compact"/>
        <w:numPr>
          <w:ilvl w:val="0"/>
          <w:numId w:val="1008"/>
        </w:numPr>
      </w:pPr>
      <w:r>
        <w:rPr>
          <w:rFonts w:hint="eastAsia"/>
        </w:rPr>
        <w:t xml:space="preserve">2026年に「数百億円規模」の追加投資を明示（テックプラットフォーム・自律配送・マーチャントサービス）。Q3</w:t>
      </w:r>
      <w:r>
        <w:t xml:space="preserve"> 2025 EC, p.2-3</w:t>
      </w:r>
    </w:p>
    <w:p>
      <w:pPr>
        <w:pStyle w:val="Compact"/>
        <w:numPr>
          <w:ilvl w:val="0"/>
          <w:numId w:val="1008"/>
        </w:numPr>
      </w:pPr>
      <w:r>
        <w:rPr>
          <w:rFonts w:hint="eastAsia"/>
        </w:rPr>
        <w:t xml:space="preserve">2026年のEBITDAマージンは「2025年比で若干上昇」にとどまる見通し（Deliveroo除くベース）。Q3</w:t>
      </w:r>
      <w:r>
        <w:t xml:space="preserve"> 2025 EC, p.3-4; Q4 2025 EC, p.2-3</w:t>
      </w:r>
    </w:p>
    <w:p>
      <w:pPr>
        <w:pStyle w:val="Compact"/>
        <w:numPr>
          <w:ilvl w:val="0"/>
          <w:numId w:val="1008"/>
        </w:numPr>
      </w:pPr>
      <w:r>
        <w:rPr>
          <w:rFonts w:hint="eastAsia"/>
        </w:rPr>
        <w:t xml:space="preserve">テックスタック重複コストは大半が2026年に発生、一部が2027年に残存。Q4</w:t>
      </w:r>
      <w:r>
        <w:t xml:space="preserve"> 2025 EC, p.2-3</w:t>
      </w:r>
    </w:p>
    <w:p>
      <w:pPr>
        <w:pStyle w:val="Compact"/>
        <w:numPr>
          <w:ilvl w:val="0"/>
          <w:numId w:val="1008"/>
        </w:numPr>
      </w:pPr>
      <w:r>
        <w:t xml:space="preserve">DoorDash </w:t>
      </w:r>
      <w:r>
        <w:rPr>
          <w:rFonts w:hint="eastAsia"/>
        </w:rPr>
        <w:t xml:space="preserve">Dotの商用化を2026年に開始予定だが、スケールには時間を要する見込み。Q3</w:t>
      </w:r>
      <w:r>
        <w:t xml:space="preserve"> 2025 EC, p.4-5</w:t>
      </w:r>
    </w:p>
    <w:p>
      <w:pPr>
        <w:pStyle w:val="Compact"/>
        <w:numPr>
          <w:ilvl w:val="0"/>
          <w:numId w:val="1008"/>
        </w:numPr>
      </w:pPr>
      <w:r>
        <w:t xml:space="preserve">Deliveroo </w:t>
      </w:r>
      <w:r>
        <w:rPr>
          <w:rFonts w:hint="eastAsia"/>
        </w:rPr>
        <w:t xml:space="preserve">EBITDAは年$200M見込みだが、投資加速のため取得前のランレートからは低下。Q3</w:t>
      </w:r>
      <w:r>
        <w:t xml:space="preserve"> 2025 EC, p.5-6</w:t>
      </w:r>
    </w:p>
    <w:p>
      <w:pPr>
        <w:pStyle w:val="Compact"/>
        <w:numPr>
          <w:ilvl w:val="0"/>
          <w:numId w:val="1008"/>
        </w:numPr>
      </w:pPr>
      <w:r>
        <w:rPr>
          <w:rFonts w:hint="eastAsia"/>
        </w:rPr>
        <w:t xml:space="preserve">出典:</w:t>
      </w:r>
      <w:r>
        <w:t xml:space="preserve"> Q3 2025 EC (2025-11-05), p.2-6; Q4 2025 EC (2026-02-18), p.2-3</w:t>
      </w:r>
    </w:p>
    <w:bookmarkEnd w:id="47"/>
    <w:bookmarkStart w:id="48" w:name="納得度-7"/>
    <w:p>
      <w:pPr>
        <w:pStyle w:val="Heading3"/>
      </w:pPr>
      <w:r>
        <w:rPr>
          <w:rFonts w:hint="eastAsia"/>
        </w:rPr>
        <w:t xml:space="preserve">納得度</w:t>
      </w:r>
    </w:p>
    <w:p>
      <w:pPr>
        <w:pStyle w:val="FirstParagraph"/>
      </w:pPr>
      <w:r>
        <w:t xml:space="preserve">□ 90%　□ 70%　□ 50%　□ 30%　□ 10%</w:t>
      </w:r>
    </w:p>
    <w:bookmarkEnd w:id="48"/>
    <w:bookmarkStart w:id="49" w:name="備考任意-7"/>
    <w:p>
      <w:pPr>
        <w:pStyle w:val="Heading3"/>
      </w:pPr>
      <w:r>
        <w:rPr>
          <w:rFonts w:hint="eastAsia"/>
        </w:rPr>
        <w:t xml:space="preserve">備考（任意）</w:t>
      </w:r>
    </w:p>
    <w:p>
      <w:r>
        <w:pict>
          <v:rect style="width:0;height:1.5pt" o:hralign="center" o:hrstd="t" o:hr="t"/>
        </w:pict>
      </w:r>
    </w:p>
    <w:bookmarkEnd w:id="49"/>
    <w:bookmarkEnd w:id="50"/>
    <w:bookmarkStart w:id="53" w:name="補足-sec-edgar-財務サマリー"/>
    <w:p>
      <w:pPr>
        <w:pStyle w:val="Heading2"/>
      </w:pPr>
      <w:r>
        <w:rPr>
          <w:rFonts w:hint="eastAsia"/>
        </w:rPr>
        <w:t xml:space="preserve">補足:</w:t>
      </w:r>
      <w:r>
        <w:t xml:space="preserve"> SEC EDGAR </w:t>
      </w:r>
      <w:r>
        <w:rPr>
          <w:rFonts w:hint="eastAsia"/>
        </w:rPr>
        <w:t xml:space="preserve">財務サマリー</w:t>
      </w:r>
    </w:p>
    <w:bookmarkStart w:id="51" w:name="初期仮説構築期間fy2023-10-k"/>
    <w:p>
      <w:pPr>
        <w:pStyle w:val="Heading3"/>
      </w:pPr>
      <w:r>
        <w:rPr>
          <w:rFonts w:hint="eastAsia"/>
        </w:rPr>
        <w:t xml:space="preserve">初期仮説構築期間（FY2023</w:t>
      </w:r>
      <w:r>
        <w:t xml:space="preserve"> </w:t>
      </w:r>
      <w:r>
        <w:rPr>
          <w:rFonts w:hint="eastAsia"/>
        </w:rPr>
        <w:t xml:space="preserve">10-K）</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FY2023</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FY2022</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ascii="Times New Roman" w:hAnsi="Times New Roman" w:eastAsia="游明朝"/>
                <w:sz w:val="18"/>
              </w:rPr>
              <w:t xml:space="preserve">$8.6B</w:t>
            </w:r>
          </w:p>
        </w:tc>
        <w:tc>
          <w:tcPr/>
          <w:p>
            <w:pPr>
              <w:pStyle w:val="Compact"/>
            </w:pPr>
            <w:r>
              <w:rPr>
                <w:rFonts w:ascii="Times New Roman" w:hAnsi="Times New Roman" w:eastAsia="游明朝"/>
                <w:sz w:val="18"/>
              </w:rPr>
              <w:t xml:space="preserve">$6.6B</w:t>
            </w:r>
          </w:p>
        </w:tc>
        <w:tc>
          <w:tcPr/>
          <w:p>
            <w:pPr>
              <w:pStyle w:val="Compact"/>
            </w:pPr>
            <w:r>
              <w:rPr>
                <w:rFonts w:ascii="Times New Roman" w:hAnsi="Times New Roman" w:eastAsia="游明朝"/>
                <w:sz w:val="18"/>
              </w:rPr>
              <w:t xml:space="preserve">+31%</w:t>
            </w:r>
          </w:p>
        </w:tc>
      </w:tr>
      <w:tr>
        <w:tc>
          <w:tcPr/>
          <w:p>
            <w:pPr>
              <w:pStyle w:val="Compact"/>
            </w:pPr>
            <w:r>
              <w:rPr>
                <w:rFonts w:hint="eastAsia" w:ascii="Times New Roman" w:hAnsi="Times New Roman" w:eastAsia="游明朝"/>
                <w:sz w:val="18"/>
              </w:rPr>
              <w:t xml:space="preserve">営業利益</w:t>
            </w:r>
          </w:p>
        </w:tc>
        <w:tc>
          <w:tcPr/>
          <w:p>
            <w:pPr>
              <w:pStyle w:val="Compact"/>
            </w:pPr>
            <w:r>
              <w:rPr>
                <w:rFonts w:ascii="Times New Roman" w:hAnsi="Times New Roman" w:eastAsia="游明朝"/>
                <w:sz w:val="18"/>
              </w:rPr>
              <w:t xml:space="preserve">$0.6B</w:t>
            </w:r>
          </w:p>
        </w:tc>
        <w:tc>
          <w:tcPr/>
          <w:p>
            <w:pPr>
              <w:pStyle w:val="Compact"/>
            </w:pPr>
            <w:r>
              <w:rPr>
                <w:rFonts w:ascii="Times New Roman" w:hAnsi="Times New Roman" w:eastAsia="游明朝"/>
                <w:sz w:val="18"/>
              </w:rPr>
              <w:t xml:space="preserve">▲$0.8B</w:t>
            </w:r>
          </w:p>
        </w:tc>
        <w:tc>
          <w:tcPr/>
          <w:p>
            <w:pPr>
              <w:pStyle w:val="Compact"/>
            </w:pPr>
            <w:r>
              <w:rPr>
                <w:rFonts w:hint="eastAsia" w:ascii="Times New Roman" w:hAnsi="Times New Roman" w:eastAsia="游明朝"/>
                <w:sz w:val="18"/>
              </w:rPr>
              <w:t xml:space="preserve">黒字転換</w:t>
            </w:r>
          </w:p>
        </w:tc>
      </w:tr>
      <w:tr>
        <w:tc>
          <w:tcPr/>
          <w:p>
            <w:pPr>
              <w:pStyle w:val="Compact"/>
            </w:pPr>
            <w:r>
              <w:rPr>
                <w:rFonts w:ascii="Times New Roman" w:hAnsi="Times New Roman" w:eastAsia="游明朝"/>
                <w:sz w:val="18"/>
              </w:rPr>
              <w:t xml:space="preserve">Adjusted EBITDA</w:t>
            </w:r>
          </w:p>
        </w:tc>
        <w:tc>
          <w:tcPr/>
          <w:p>
            <w:pPr>
              <w:pStyle w:val="Compact"/>
            </w:pPr>
            <w:r>
              <w:rPr>
                <w:rFonts w:ascii="Times New Roman" w:hAnsi="Times New Roman" w:eastAsia="游明朝"/>
                <w:sz w:val="18"/>
              </w:rPr>
              <w:t xml:space="preserve">$1.8B</w:t>
            </w:r>
          </w:p>
        </w:tc>
        <w:tc>
          <w:tcPr/>
          <w:p>
            <w:pPr>
              <w:pStyle w:val="Compact"/>
            </w:pPr>
            <w:r>
              <w:rPr>
                <w:rFonts w:ascii="Times New Roman" w:hAnsi="Times New Roman" w:eastAsia="游明朝"/>
                <w:sz w:val="18"/>
              </w:rPr>
              <w:t xml:space="preserve">$0.4B</w:t>
            </w:r>
          </w:p>
        </w:tc>
        <w:tc>
          <w:tcPr/>
          <w:p>
            <w:pPr>
              <w:pStyle w:val="Compact"/>
            </w:pPr>
            <w:r>
              <w:rPr>
                <w:rFonts w:ascii="Times New Roman" w:hAnsi="Times New Roman" w:eastAsia="游明朝"/>
                <w:sz w:val="18"/>
              </w:rPr>
              <w:t xml:space="preserve">+$1.4B</w:t>
            </w:r>
          </w:p>
        </w:tc>
      </w:tr>
    </w:tbl>
    <w:bookmarkEnd w:id="51"/>
    <w:bookmarkStart w:id="52" w:name="更新情報期間fy2025-10-k-filed-2026-02-18"/>
    <w:p>
      <w:pPr>
        <w:pStyle w:val="Heading3"/>
      </w:pPr>
      <w:r>
        <w:rPr>
          <w:rFonts w:hint="eastAsia"/>
        </w:rPr>
        <w:t xml:space="preserve">更新情報期間（FY2025</w:t>
      </w:r>
      <w:r>
        <w:t xml:space="preserve"> 10-K, filed </w:t>
      </w:r>
      <w:r>
        <w:rPr>
          <w:rFonts w:hint="eastAsia"/>
        </w:rPr>
        <w:t xml:space="preserve">2026-02-18）</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FY2025</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FY2024</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増減</w:t>
            </w:r>
          </w:p>
        </w:tc>
      </w:tr>
      <w:tr>
        <w:tc>
          <w:tcPr/>
          <w:p>
            <w:pPr>
              <w:pStyle w:val="Compact"/>
            </w:pPr>
            <w:r>
              <w:rPr>
                <w:rFonts w:hint="eastAsia" w:ascii="Times New Roman" w:hAnsi="Times New Roman" w:eastAsia="游明朝"/>
                <w:sz w:val="18"/>
              </w:rPr>
              <w:t xml:space="preserve">総売上</w:t>
            </w:r>
          </w:p>
        </w:tc>
        <w:tc>
          <w:tcPr/>
          <w:p>
            <w:pPr>
              <w:pStyle w:val="Compact"/>
            </w:pPr>
            <w:r>
              <w:rPr>
                <w:rFonts w:hint="eastAsia" w:ascii="Times New Roman" w:hAnsi="Times New Roman" w:eastAsia="游明朝"/>
                <w:sz w:val="18"/>
              </w:rPr>
              <w:t xml:space="preserve">$11.9B（推定）</w:t>
            </w:r>
          </w:p>
        </w:tc>
        <w:tc>
          <w:tcPr/>
          <w:p>
            <w:pPr>
              <w:pStyle w:val="Compact"/>
            </w:pPr>
            <w:r>
              <w:rPr>
                <w:rFonts w:hint="eastAsia" w:ascii="Times New Roman" w:hAnsi="Times New Roman" w:eastAsia="游明朝"/>
                <w:sz w:val="18"/>
              </w:rPr>
              <w:t xml:space="preserve">$10.7B（推定）</w:t>
            </w:r>
          </w:p>
        </w:tc>
        <w:tc>
          <w:tcPr/>
          <w:p>
            <w:pPr>
              <w:pStyle w:val="Compact"/>
            </w:pPr>
            <w:r>
              <w:rPr>
                <w:rFonts w:hint="eastAsia" w:ascii="Times New Roman" w:hAnsi="Times New Roman" w:eastAsia="游明朝"/>
                <w:sz w:val="18"/>
              </w:rPr>
              <w:t xml:space="preserve">+11%（推定）</w:t>
            </w:r>
          </w:p>
        </w:tc>
      </w:tr>
      <w:tr>
        <w:tc>
          <w:tcPr/>
          <w:p>
            <w:pPr>
              <w:pStyle w:val="Compact"/>
            </w:pPr>
            <w:r>
              <w:rPr>
                <w:rFonts w:hint="eastAsia" w:ascii="Times New Roman" w:hAnsi="Times New Roman" w:eastAsia="游明朝"/>
                <w:sz w:val="18"/>
              </w:rPr>
              <w:t xml:space="preserve">営業利益</w:t>
            </w:r>
          </w:p>
        </w:tc>
        <w:tc>
          <w:tcPr/>
          <w:p>
            <w:pPr>
              <w:pStyle w:val="Compact"/>
            </w:pPr>
            <w:r>
              <w:rPr>
                <w:rFonts w:hint="eastAsia" w:ascii="Times New Roman" w:hAnsi="Times New Roman" w:eastAsia="游明朝"/>
                <w:sz w:val="18"/>
              </w:rPr>
              <w:t xml:space="preserve">黒字継続</w:t>
            </w:r>
          </w:p>
        </w:tc>
        <w:tc>
          <w:tcPr/>
          <w:p>
            <w:pPr>
              <w:pStyle w:val="Compact"/>
            </w:pPr>
            <w:r>
              <w:rPr>
                <w:rFonts w:ascii="Times New Roman" w:hAnsi="Times New Roman" w:eastAsia="游明朝"/>
                <w:sz w:val="18"/>
              </w:rPr>
              <w:t xml:space="preserve">$0.6B</w:t>
            </w:r>
          </w:p>
        </w:tc>
        <w:tc>
          <w:tcPr/>
          <w:p>
            <w:pPr>
              <w:pStyle w:val="Compact"/>
            </w:pPr>
            <w:r>
              <w:rPr>
                <w:rFonts w:hint="eastAsia" w:ascii="Times New Roman" w:hAnsi="Times New Roman" w:eastAsia="游明朝"/>
                <w:sz w:val="18"/>
              </w:rPr>
              <w:t xml:space="preserve">改善</w:t>
            </w:r>
          </w:p>
        </w:tc>
      </w:tr>
      <w:tr>
        <w:tc>
          <w:tcPr/>
          <w:p>
            <w:pPr>
              <w:pStyle w:val="Compact"/>
            </w:pPr>
            <w:r>
              <w:rPr>
                <w:rFonts w:hint="eastAsia" w:ascii="Times New Roman" w:hAnsi="Times New Roman" w:eastAsia="游明朝"/>
                <w:sz w:val="18"/>
              </w:rPr>
              <w:t xml:space="preserve">営業CF</w:t>
            </w:r>
          </w:p>
        </w:tc>
        <w:tc>
          <w:tcPr/>
          <w:p>
            <w:pPr>
              <w:pStyle w:val="Compact"/>
            </w:pPr>
            <w:r>
              <w:rPr>
                <w:rFonts w:hint="eastAsia" w:ascii="Times New Roman" w:hAnsi="Times New Roman" w:eastAsia="游明朝"/>
                <w:sz w:val="18"/>
              </w:rPr>
              <w:t xml:space="preserve">$1.7B（FY2023実績）</w:t>
            </w:r>
          </w:p>
        </w:tc>
        <w:tc>
          <w:tcPr/>
          <w:p>
            <w:pPr>
              <w:pStyle w:val="Compact"/>
            </w:pPr>
            <w:r>
              <w:rPr>
                <w:rFonts w:ascii="Times New Roman" w:hAnsi="Times New Roman" w:eastAsia="游明朝"/>
                <w:sz w:val="18"/>
              </w:rPr>
              <w:t xml:space="preserve">—</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Adjusted EBITDA</w:t>
            </w:r>
          </w:p>
        </w:tc>
        <w:tc>
          <w:tcPr/>
          <w:p>
            <w:pPr>
              <w:pStyle w:val="Compact"/>
            </w:pPr>
            <w:r>
              <w:rPr>
                <w:rFonts w:hint="eastAsia" w:ascii="Times New Roman" w:hAnsi="Times New Roman" w:eastAsia="游明朝"/>
                <w:sz w:val="18"/>
              </w:rPr>
              <w:t xml:space="preserve">$2.8B（推定）</w:t>
            </w:r>
          </w:p>
        </w:tc>
        <w:tc>
          <w:tcPr/>
          <w:p>
            <w:pPr>
              <w:pStyle w:val="Compact"/>
            </w:pPr>
            <w:r>
              <w:rPr>
                <w:rFonts w:hint="eastAsia" w:ascii="Times New Roman" w:hAnsi="Times New Roman" w:eastAsia="游明朝"/>
                <w:sz w:val="18"/>
              </w:rPr>
              <w:t xml:space="preserve">$2.3B（推定）</w:t>
            </w:r>
          </w:p>
        </w:tc>
        <w:tc>
          <w:tcPr/>
          <w:p>
            <w:pPr>
              <w:pStyle w:val="Compact"/>
            </w:pPr>
            <w:r>
              <w:rPr>
                <w:rFonts w:hint="eastAsia" w:ascii="Times New Roman" w:hAnsi="Times New Roman" w:eastAsia="游明朝"/>
                <w:sz w:val="18"/>
              </w:rPr>
              <w:t xml:space="preserve">+22%（推定）</w:t>
            </w:r>
          </w:p>
        </w:tc>
      </w:tr>
    </w:tbl>
    <w:p>
      <w:pPr>
        <w:pStyle w:val="BodyText"/>
      </w:pPr>
      <w:r>
        <w:rPr>
          <w:rFonts w:hint="eastAsia"/>
        </w:rPr>
        <w:t xml:space="preserve">注:</w:t>
      </w:r>
      <w:r>
        <w:t xml:space="preserve"> </w:t>
      </w:r>
      <w:r>
        <w:rPr>
          <w:rFonts w:hint="eastAsia"/>
        </w:rPr>
        <w:t xml:space="preserve">FY2025/FY2024の売上・Adjusted</w:t>
      </w:r>
      <w:r>
        <w:t xml:space="preserve"> </w:t>
      </w:r>
      <w:r>
        <w:rPr>
          <w:rFonts w:hint="eastAsia"/>
        </w:rPr>
        <w:t xml:space="preserve">EBITDAは四半期EC開示数値からの推定値。SEC</w:t>
      </w:r>
      <w:r>
        <w:t xml:space="preserve"> EDGAR </w:t>
      </w:r>
      <w:r>
        <w:rPr>
          <w:rFonts w:hint="eastAsia"/>
        </w:rPr>
        <w:t xml:space="preserve">10-K（FY2025,</w:t>
      </w:r>
      <w:r>
        <w:t xml:space="preserve"> filed </w:t>
      </w:r>
      <w:r>
        <w:rPr>
          <w:rFonts w:hint="eastAsia"/>
        </w:rPr>
        <w:t xml:space="preserve">2026-02-18）の正式数値はRevenue</w:t>
      </w:r>
      <w:r>
        <w:t xml:space="preserve"> </w:t>
      </w:r>
      <w:r>
        <w:rPr>
          <w:rFonts w:hint="eastAsia"/>
        </w:rPr>
        <w:t xml:space="preserve">$8,635M（FY2023期間のXBRL直接抽出）、Net</w:t>
      </w:r>
      <w:r>
        <w:t xml:space="preserve"> Income </w:t>
      </w:r>
      <w:r>
        <w:rPr>
          <w:rFonts w:hint="eastAsia"/>
        </w:rPr>
        <w:t xml:space="preserve">$558M（FY2023）、Operating</w:t>
      </w:r>
      <w:r>
        <w:t xml:space="preserve"> Income </w:t>
      </w:r>
      <w:r>
        <w:rPr>
          <w:rFonts w:hint="eastAsia"/>
        </w:rPr>
        <w:t xml:space="preserve">$579M（FY2023）。10-Kファイリングから取得できたXBRL数値はFY2023期間分のみであり、FY2024-FY2025の正式値はEC開示と10-K本文を参照のこと。</w:t>
      </w:r>
    </w:p>
    <w:bookmarkEnd w:id="52"/>
    <w:bookmarkEnd w:id="53"/>
    <w:bookmarkEnd w:id="5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2026-04-10T01:22:44Z</dcterms:created>
  <dcterms:modified xsi:type="dcterms:W3CDTF">2026-04-10T01:22:44Z</dcterms:modified>
</cp:coreProperties>
</file>

<file path=docProps/custom.xml><?xml version="1.0" encoding="utf-8"?>
<Properties xmlns="http://schemas.openxmlformats.org/officeDocument/2006/custom-properties" xmlns:vt="http://schemas.openxmlformats.org/officeDocument/2006/docPropsVTypes"/>
</file>