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fcx-us-freeport-mcmoran-投資仮説qa"/>
    <w:p>
      <w:pPr>
        <w:pStyle w:val="Heading1"/>
      </w:pPr>
      <w:r>
        <w:t xml:space="preserve">FCX US (Freeport-McMoRan) — </w:t>
      </w:r>
      <w:r>
        <w:rPr>
          <w:rFonts w:hint="eastAsia"/>
        </w:rPr>
        <w:t xml:space="preserve">投資仮説Q&amp;A</w:t>
      </w:r>
    </w:p>
    <w:p>
      <w:pPr>
        <w:pStyle w:val="FirstParagraph"/>
      </w:pPr>
      <w:r>
        <w:rPr>
          <w:rFonts w:hint="eastAsia"/>
        </w:rPr>
        <w:t xml:space="preserve">基準日:</w:t>
      </w:r>
      <w:r>
        <w:t xml:space="preserve"> 2026-04-10</w:t>
      </w:r>
    </w:p>
    <w:bookmarkStart w:id="9" w:name="このqaの目的と回答方法"/>
    <w:p>
      <w:pPr>
        <w:pStyle w:val="Heading2"/>
      </w:pPr>
      <w:r>
        <w:rPr>
          <w:rFonts w:hint="eastAsia"/>
        </w:rPr>
        <w:t xml:space="preserve">このQ&amp;Aの目的と回答方法</w:t>
      </w:r>
    </w:p>
    <w:p>
      <w:pPr>
        <w:pStyle w:val="FirstParagraph"/>
      </w:pPr>
      <w:r>
        <w:rPr>
          <w:rFonts w:hint="eastAsia"/>
          <w:b/>
          <w:bCs/>
        </w:rPr>
        <w:t xml:space="preserve">目的</w:t>
      </w:r>
      <w:r>
        <w:t xml:space="preserve">: </w:t>
      </w:r>
      <w:r>
        <w:rPr>
          <w:rFonts w:hint="eastAsia"/>
        </w:rPr>
        <w:t xml:space="preserve">AIが生成した8つの投資仮説候補に対して、アナリストの「納得度」を収集し、情報の取捨選択基準を抽出する。</w:t>
      </w:r>
    </w:p>
    <w:p>
      <w:pPr>
        <w:pStyle w:val="BodyText"/>
      </w:pPr>
      <w:r>
        <w:rPr>
          <w:rFonts w:hint="eastAsia"/>
          <w:b/>
          <w:bCs/>
        </w:rPr>
        <w:t xml:space="preserve">問い</w:t>
      </w:r>
      <w:r>
        <w:t xml:space="preserve">: </w:t>
      </w:r>
      <w:r>
        <w:rPr>
          <w:rFonts w:hint="eastAsia"/>
        </w:rPr>
        <w:t xml:space="preserve">以下の情報と投資仮説を踏まえて、</w:t>
      </w:r>
      <w:r>
        <w:rPr>
          <w:rFonts w:hint="eastAsia"/>
          <w:b/>
          <w:bCs/>
        </w:rPr>
        <w:t xml:space="preserve">あなたはこの銘柄をBUYしますか？</w:t>
      </w:r>
    </w:p>
    <w:p>
      <w:pPr>
        <w:pStyle w:val="BodyText"/>
      </w:pPr>
      <w:r>
        <w:rPr>
          <w:rFonts w:hint="eastAsia"/>
          <w:b/>
          <w:bCs/>
        </w:rPr>
        <w:t xml:space="preserve">総合判断</w:t>
      </w:r>
      <w:r>
        <w:t xml:space="preserve">:</w:t>
      </w:r>
      <w:r>
        <w:t xml:space="preserve"> </w:t>
      </w:r>
      <w:r>
        <w:t xml:space="preserve">□ BUY　□ SELL　□ </w:t>
      </w:r>
      <w:r>
        <w:rPr>
          <w:rFonts w:hint="eastAsia"/>
        </w:rPr>
        <w:t xml:space="preserve">判断保留</w:t>
      </w:r>
    </w:p>
    <w:p>
      <w:pPr>
        <w:pStyle w:val="BodyText"/>
      </w:pPr>
      <w:r>
        <w:rPr>
          <w:rFonts w:hint="eastAsia"/>
          <w:b/>
          <w:bCs/>
        </w:rPr>
        <w:t xml:space="preserve">理由（任意）</w:t>
      </w:r>
      <w:r>
        <w:t xml:space="preserve">:</w:t>
      </w:r>
    </w:p>
    <w:p>
      <w:r>
        <w:pict>
          <v:rect style="width:0;height:1.5pt" o:hralign="center" o:hrstd="t" o:hr="t"/>
        </w:pict>
      </w:r>
    </w:p>
    <w:p>
      <w:pPr>
        <w:pStyle w:val="FirstParagraph"/>
      </w:pPr>
      <w:r>
        <w:rPr>
          <w:rFonts w:hint="eastAsia"/>
          <w:b/>
          <w:bCs/>
        </w:rPr>
        <w:t xml:space="preserve">各仮説の回答方法</w:t>
      </w:r>
      <w:r>
        <w:t xml:space="preserve">: </w:t>
      </w:r>
      <w:r>
        <w:rPr>
          <w:rFonts w:hint="eastAsia"/>
        </w:rPr>
        <w:t xml:space="preserve">各仮説について「この仮説がBUY判断にどの程度寄与するか」の納得度を選んでください。</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25"/>
        <w:gridCol w:w="3394"/>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納得度</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意味</w:t>
            </w:r>
          </w:p>
        </w:tc>
      </w:tr>
      <w:tr>
        <w:tc>
          <w:tcPr/>
          <w:p>
            <w:pPr>
              <w:pStyle w:val="Compact"/>
            </w:pPr>
            <w:r>
              <w:rPr>
                <w:rFonts w:ascii="Times New Roman" w:hAnsi="Times New Roman" w:eastAsia="游明朝"/>
                <w:sz w:val="18"/>
              </w:rPr>
              <w:t xml:space="preserve">90%</w:t>
            </w:r>
          </w:p>
        </w:tc>
        <w:tc>
          <w:tcPr/>
          <w:p>
            <w:pPr>
              <w:pStyle w:val="Compact"/>
            </w:pPr>
            <w:r>
              <w:rPr>
                <w:rFonts w:hint="eastAsia" w:ascii="Times New Roman" w:hAnsi="Times New Roman" w:eastAsia="游明朝"/>
                <w:sz w:val="18"/>
              </w:rPr>
              <w:t xml:space="preserve">この仮説は極めて重要。BUY判断の核心的な前提となる</w:t>
            </w:r>
          </w:p>
        </w:tc>
      </w:tr>
      <w:tr>
        <w:tc>
          <w:tcPr/>
          <w:p>
            <w:pPr>
              <w:pStyle w:val="Compact"/>
            </w:pPr>
            <w:r>
              <w:rPr>
                <w:rFonts w:ascii="Times New Roman" w:hAnsi="Times New Roman" w:eastAsia="游明朝"/>
                <w:sz w:val="18"/>
              </w:rPr>
              <w:t xml:space="preserve">70%</w:t>
            </w:r>
          </w:p>
        </w:tc>
        <w:tc>
          <w:tcPr/>
          <w:p>
            <w:pPr>
              <w:pStyle w:val="Compact"/>
            </w:pPr>
            <w:r>
              <w:rPr>
                <w:rFonts w:hint="eastAsia" w:ascii="Times New Roman" w:hAnsi="Times New Roman" w:eastAsia="游明朝"/>
                <w:sz w:val="18"/>
              </w:rPr>
              <w:t xml:space="preserve">重要な補強材料。これ単独ではBUYの決め手にならないが、判断を強く支持する</w:t>
            </w:r>
          </w:p>
        </w:tc>
      </w:tr>
      <w:tr>
        <w:tc>
          <w:tcPr/>
          <w:p>
            <w:pPr>
              <w:pStyle w:val="Compact"/>
            </w:pPr>
            <w:r>
              <w:rPr>
                <w:rFonts w:ascii="Times New Roman" w:hAnsi="Times New Roman" w:eastAsia="游明朝"/>
                <w:sz w:val="18"/>
              </w:rPr>
              <w:t xml:space="preserve">50%</w:t>
            </w:r>
          </w:p>
        </w:tc>
        <w:tc>
          <w:tcPr/>
          <w:p>
            <w:pPr>
              <w:pStyle w:val="Compact"/>
            </w:pPr>
            <w:r>
              <w:rPr>
                <w:rFonts w:hint="eastAsia" w:ascii="Times New Roman" w:hAnsi="Times New Roman" w:eastAsia="游明朝"/>
                <w:sz w:val="18"/>
              </w:rPr>
              <w:t xml:space="preserve">認識はしているが、判断への影響は中立的</w:t>
            </w:r>
          </w:p>
        </w:tc>
      </w:tr>
      <w:tr>
        <w:tc>
          <w:tcPr/>
          <w:p>
            <w:pPr>
              <w:pStyle w:val="Compact"/>
            </w:pPr>
            <w:r>
              <w:rPr>
                <w:rFonts w:ascii="Times New Roman" w:hAnsi="Times New Roman" w:eastAsia="游明朝"/>
                <w:sz w:val="18"/>
              </w:rPr>
              <w:t xml:space="preserve">30%</w:t>
            </w:r>
          </w:p>
        </w:tc>
        <w:tc>
          <w:tcPr/>
          <w:p>
            <w:pPr>
              <w:pStyle w:val="Compact"/>
            </w:pPr>
            <w:r>
              <w:rPr>
                <w:rFonts w:hint="eastAsia" w:ascii="Times New Roman" w:hAnsi="Times New Roman" w:eastAsia="游明朝"/>
                <w:sz w:val="18"/>
              </w:rPr>
              <w:t xml:space="preserve">やや懐疑的。前提が甘い、または不確実性が高い</w:t>
            </w:r>
          </w:p>
        </w:tc>
      </w:tr>
      <w:tr>
        <w:tc>
          <w:tcPr/>
          <w:p>
            <w:pPr>
              <w:pStyle w:val="Compact"/>
            </w:pPr>
            <w:r>
              <w:rPr>
                <w:rFonts w:ascii="Times New Roman" w:hAnsi="Times New Roman" w:eastAsia="游明朝"/>
                <w:sz w:val="18"/>
              </w:rPr>
              <w:t xml:space="preserve">10%</w:t>
            </w:r>
          </w:p>
        </w:tc>
        <w:tc>
          <w:tcPr/>
          <w:p>
            <w:pPr>
              <w:pStyle w:val="Compact"/>
            </w:pPr>
            <w:r>
              <w:rPr>
                <w:rFonts w:hint="eastAsia" w:ascii="Times New Roman" w:hAnsi="Times New Roman" w:eastAsia="游明朝"/>
                <w:sz w:val="18"/>
              </w:rPr>
              <w:t xml:space="preserve">この仮説は投資判断にほぼ無関係、または前提が間違っている</w:t>
            </w:r>
          </w:p>
        </w:tc>
      </w:tr>
    </w:tbl>
    <w:p>
      <w:pPr>
        <w:pStyle w:val="BodyText"/>
      </w:pPr>
      <w:r>
        <w:rPr>
          <w:rFonts w:hint="eastAsia"/>
        </w:rPr>
        <w:t xml:space="preserve">※リスク仮説（仮説7,</w:t>
      </w:r>
      <w:r>
        <w:t xml:space="preserve"> </w:t>
      </w:r>
      <w:r>
        <w:rPr>
          <w:rFonts w:hint="eastAsia"/>
        </w:rPr>
        <w:t xml:space="preserve">8）の場合:</w:t>
      </w:r>
      <w:r>
        <w:t xml:space="preserve"> </w:t>
      </w:r>
      <w:r>
        <w:rPr>
          <w:rFonts w:hint="eastAsia"/>
        </w:rPr>
        <w:t xml:space="preserve">「このリスクがBUY判断をどの程度毀損するか」を評価してください。90%=深刻なリスク、10%=無視できるリスク。</w:t>
      </w:r>
    </w:p>
    <w:p>
      <w:r>
        <w:pict>
          <v:rect style="width:0;height:1.5pt" o:hralign="center" o:hrstd="t" o:hr="t"/>
        </w:pict>
      </w:r>
    </w:p>
    <w:bookmarkEnd w:id="9"/>
    <w:bookmarkStart w:id="10" w:name="ソース情報"/>
    <w:p>
      <w:pPr>
        <w:pStyle w:val="Heading2"/>
      </w:pPr>
      <w:r>
        <w:rPr>
          <w:rFonts w:hint="eastAsia"/>
        </w:rPr>
        <w:t xml:space="preserve">ソース情報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76"/>
        <w:gridCol w:w="3168"/>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区分</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ソース</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期間</w:t>
            </w:r>
          </w:p>
        </w:tc>
      </w:tr>
      <w:tr>
        <w:tc>
          <w:tcPr/>
          <w:p>
            <w:pPr>
              <w:pStyle w:val="Compact"/>
            </w:pPr>
            <w:r>
              <w:rPr>
                <w:rFonts w:hint="eastAsia" w:ascii="Times New Roman" w:hAnsi="Times New Roman" w:eastAsia="游明朝"/>
                <w:sz w:val="18"/>
              </w:rPr>
              <w:t xml:space="preserve">初期仮説構築</w:t>
            </w:r>
          </w:p>
        </w:tc>
        <w:tc>
          <w:tcPr/>
          <w:p>
            <w:pPr>
              <w:pStyle w:val="Compact"/>
            </w:pPr>
            <w:r>
              <w:rPr>
                <w:rFonts w:ascii="Times New Roman" w:hAnsi="Times New Roman" w:eastAsia="游明朝"/>
                <w:sz w:val="18"/>
              </w:rPr>
              <w:t xml:space="preserve">Earnings Call Transcript</w:t>
            </w:r>
          </w:p>
        </w:tc>
        <w:tc>
          <w:tcPr/>
          <w:p>
            <w:pPr>
              <w:pStyle w:val="Compact"/>
            </w:pPr>
            <w:r>
              <w:rPr>
                <w:rFonts w:ascii="Times New Roman" w:hAnsi="Times New Roman" w:eastAsia="游明朝"/>
                <w:sz w:val="18"/>
              </w:rPr>
              <w:t xml:space="preserve">Q1 2023 (2023-04-21) 〜 Q4 2024 (2025-01-23)</w:t>
            </w:r>
          </w:p>
        </w:tc>
      </w:tr>
      <w:tr>
        <w:tc>
          <w:tcPr/>
          <w:p>
            <w:pPr>
              <w:pStyle w:val="Compact"/>
            </w:pPr>
            <w:r>
              <w:rPr>
                <w:rFonts w:hint="eastAsia" w:ascii="Times New Roman" w:hAnsi="Times New Roman" w:eastAsia="游明朝"/>
                <w:sz w:val="18"/>
              </w:rPr>
              <w:t xml:space="preserve">初期仮説構築</w:t>
            </w:r>
          </w:p>
        </w:tc>
        <w:tc>
          <w:tcPr/>
          <w:p>
            <w:pPr>
              <w:pStyle w:val="Compact"/>
            </w:pPr>
            <w:r>
              <w:rPr>
                <w:rFonts w:ascii="Times New Roman" w:hAnsi="Times New Roman" w:eastAsia="游明朝"/>
                <w:sz w:val="18"/>
              </w:rPr>
              <w:t xml:space="preserve">SEC EDGAR (10-K, 10-Q)</w:t>
            </w:r>
          </w:p>
        </w:tc>
        <w:tc>
          <w:tcPr/>
          <w:p>
            <w:pPr>
              <w:pStyle w:val="Compact"/>
            </w:pPr>
            <w:r>
              <w:rPr>
                <w:rFonts w:ascii="Times New Roman" w:hAnsi="Times New Roman" w:eastAsia="游明朝"/>
                <w:sz w:val="18"/>
              </w:rPr>
              <w:t xml:space="preserve">FY2022 〜 FY2024</w:t>
            </w:r>
          </w:p>
        </w:tc>
      </w:tr>
      <w:tr>
        <w:tc>
          <w:tcPr/>
          <w:p>
            <w:pPr>
              <w:pStyle w:val="Compact"/>
            </w:pPr>
            <w:r>
              <w:rPr>
                <w:rFonts w:hint="eastAsia" w:ascii="Times New Roman" w:hAnsi="Times New Roman" w:eastAsia="游明朝"/>
                <w:sz w:val="18"/>
              </w:rPr>
              <w:t xml:space="preserve">更新情報</w:t>
            </w:r>
          </w:p>
        </w:tc>
        <w:tc>
          <w:tcPr/>
          <w:p>
            <w:pPr>
              <w:pStyle w:val="Compact"/>
            </w:pPr>
            <w:r>
              <w:rPr>
                <w:rFonts w:ascii="Times New Roman" w:hAnsi="Times New Roman" w:eastAsia="游明朝"/>
                <w:sz w:val="18"/>
              </w:rPr>
              <w:t xml:space="preserve">Earnings Call Transcript</w:t>
            </w:r>
          </w:p>
        </w:tc>
        <w:tc>
          <w:tcPr/>
          <w:p>
            <w:pPr>
              <w:pStyle w:val="Compact"/>
            </w:pPr>
            <w:r>
              <w:rPr>
                <w:rFonts w:ascii="Times New Roman" w:hAnsi="Times New Roman" w:eastAsia="游明朝"/>
                <w:sz w:val="18"/>
              </w:rPr>
              <w:t xml:space="preserve">Q1 2025 (2025-04-24) 〜 Q4 2025 (2026-01-22)</w:t>
            </w:r>
          </w:p>
        </w:tc>
      </w:tr>
      <w:tr>
        <w:tc>
          <w:tcPr/>
          <w:p>
            <w:pPr>
              <w:pStyle w:val="Compact"/>
            </w:pPr>
            <w:r>
              <w:rPr>
                <w:rFonts w:hint="eastAsia" w:ascii="Times New Roman" w:hAnsi="Times New Roman" w:eastAsia="游明朝"/>
                <w:sz w:val="18"/>
              </w:rPr>
              <w:t xml:space="preserve">更新情報</w:t>
            </w:r>
          </w:p>
        </w:tc>
        <w:tc>
          <w:tcPr/>
          <w:p>
            <w:pPr>
              <w:pStyle w:val="Compact"/>
            </w:pPr>
            <w:r>
              <w:rPr>
                <w:rFonts w:ascii="Times New Roman" w:hAnsi="Times New Roman" w:eastAsia="游明朝"/>
                <w:sz w:val="18"/>
              </w:rPr>
              <w:t xml:space="preserve">SEC EDGAR (10-K)</w:t>
            </w:r>
          </w:p>
        </w:tc>
        <w:tc>
          <w:tcPr/>
          <w:p>
            <w:pPr>
              <w:pStyle w:val="Compact"/>
            </w:pPr>
            <w:r>
              <w:rPr>
                <w:rFonts w:ascii="Times New Roman" w:hAnsi="Times New Roman" w:eastAsia="游明朝"/>
                <w:sz w:val="18"/>
              </w:rPr>
              <w:t xml:space="preserve">FY2025</w:t>
            </w:r>
          </w:p>
        </w:tc>
      </w:tr>
    </w:tbl>
    <w:p>
      <w:pPr>
        <w:pStyle w:val="BodyText"/>
      </w:pPr>
      <w:r>
        <w:rPr>
          <w:rFonts w:hint="eastAsia"/>
          <w:b/>
          <w:bCs/>
        </w:rPr>
        <w:t xml:space="preserve">注</w:t>
      </w:r>
      <w:r>
        <w:t xml:space="preserve">: </w:t>
      </w:r>
      <w:r>
        <w:rPr>
          <w:rFonts w:hint="eastAsia"/>
        </w:rPr>
        <w:t xml:space="preserve">価格/バリュエーション（ITG,</w:t>
      </w:r>
      <w:r>
        <w:t xml:space="preserve"> PER, </w:t>
      </w:r>
      <w:r>
        <w:rPr>
          <w:rFonts w:hint="eastAsia"/>
        </w:rPr>
        <w:t xml:space="preserve">相対PE等）に関する仮説は、現時点でデータソースが不足しているため含まれていません。今後データを拡充して対応予定です。</w:t>
      </w:r>
    </w:p>
    <w:p>
      <w:r>
        <w:pict>
          <v:rect style="width:0;height:1.5pt" o:hralign="center" o:hrstd="t" o:hr="t"/>
        </w:pict>
      </w:r>
    </w:p>
    <w:bookmarkEnd w:id="10"/>
    <w:bookmarkStart w:id="15" w:name="仮説-18"/>
    <w:p>
      <w:pPr>
        <w:pStyle w:val="Heading2"/>
      </w:pPr>
      <w:r>
        <w:rPr>
          <w:rFonts w:hint="eastAsia"/>
        </w:rPr>
        <w:t xml:space="preserve">仮説</w:t>
      </w:r>
      <w:r>
        <w:t xml:space="preserve"> 1/8</w:t>
      </w:r>
    </w:p>
    <w:p>
      <w:pPr>
        <w:pStyle w:val="FirstParagraph"/>
      </w:pPr>
      <w:r>
        <w:rPr>
          <w:rFonts w:hint="eastAsia"/>
          <w:b/>
          <w:bCs/>
        </w:rPr>
        <w:t xml:space="preserve">革新的リーチイニシアティブが2030年までに800百万ポンド/年の増産を実現し、事実上の大規模新規鉱山に相当する低コスト銅生産を追加する</w:t>
      </w:r>
    </w:p>
    <w:bookmarkStart w:id="11" w:name="根拠情報"/>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米国のリーチストックパイルには約400億ポンドの銅が含まれ、従来は廃棄物と見なされていた材料から回収可能</w:t>
            </w:r>
          </w:p>
        </w:tc>
        <w:tc>
          <w:tcPr/>
          <w:p>
            <w:pPr>
              <w:pStyle w:val="Compact"/>
            </w:pPr>
            <w:r>
              <w:rPr>
                <w:rFonts w:ascii="Times New Roman" w:hAnsi="Times New Roman" w:eastAsia="游明朝"/>
                <w:sz w:val="18"/>
              </w:rPr>
              <w:t xml:space="preserve">Q3 2023 EC, p.4; Q4 2023 EC, p.5</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Phase1目標の200百万ポンド/年の増産ランレートを2023年末までに達成。Q3</w:t>
            </w:r>
            <w:r>
              <w:rPr>
                <w:rFonts w:ascii="Times New Roman" w:hAnsi="Times New Roman" w:eastAsia="游明朝"/>
                <w:sz w:val="18"/>
              </w:rPr>
              <w:t xml:space="preserve"> </w:t>
            </w:r>
            <w:r>
              <w:rPr>
                <w:rFonts w:hint="eastAsia" w:ascii="Times New Roman" w:hAnsi="Times New Roman" w:eastAsia="游明朝"/>
                <w:sz w:val="18"/>
              </w:rPr>
              <w:t xml:space="preserve">2023時点で目標の90%に到達</w:t>
            </w:r>
          </w:p>
        </w:tc>
        <w:tc>
          <w:tcPr/>
          <w:p>
            <w:pPr>
              <w:pStyle w:val="Compact"/>
            </w:pPr>
            <w:r>
              <w:rPr>
                <w:rFonts w:ascii="Times New Roman" w:hAnsi="Times New Roman" w:eastAsia="游明朝"/>
                <w:sz w:val="18"/>
              </w:rPr>
              <w:t xml:space="preserve">Q3 2023 EC, p.3-4; Q4 2023 EC, p.5</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Phase2（400百万ポンド/年）は既存技術のスケーリングで2-3年以内に達成可能。Phase3（800百万ポンド/年）は新添加剤・新技術を含む</w:t>
            </w:r>
          </w:p>
        </w:tc>
        <w:tc>
          <w:tcPr/>
          <w:p>
            <w:pPr>
              <w:pStyle w:val="Compact"/>
            </w:pPr>
            <w:r>
              <w:rPr>
                <w:rFonts w:ascii="Times New Roman" w:hAnsi="Times New Roman" w:eastAsia="游明朝"/>
                <w:sz w:val="18"/>
              </w:rPr>
              <w:t xml:space="preserve">Q4 2023 EC, p.5-6; Q1 2024 EC, p.5</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増産は低資本集約度（既存タンクハウス容量を活用、約10億ポンド/年の余剰容量あり）かつ低増分オペレーティングコストで実現</w:t>
            </w:r>
          </w:p>
        </w:tc>
        <w:tc>
          <w:tcPr/>
          <w:p>
            <w:pPr>
              <w:pStyle w:val="Compact"/>
            </w:pPr>
            <w:r>
              <w:rPr>
                <w:rFonts w:ascii="Times New Roman" w:hAnsi="Times New Roman" w:eastAsia="游明朝"/>
                <w:sz w:val="18"/>
              </w:rPr>
              <w:t xml:space="preserve">Q1 2023 EC, p.5, 12; Q2 2024 EC, p.3</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このイニシアティブはFreeportの全プロジェクト中で最高のNPVポテンシャルを有すると経営陣が明言</w:t>
            </w:r>
          </w:p>
        </w:tc>
        <w:tc>
          <w:tcPr/>
          <w:p>
            <w:pPr>
              <w:pStyle w:val="Compact"/>
            </w:pPr>
            <w:r>
              <w:rPr>
                <w:rFonts w:ascii="Times New Roman" w:hAnsi="Times New Roman" w:eastAsia="游明朝"/>
                <w:sz w:val="18"/>
              </w:rPr>
              <w:t xml:space="preserve">Q1 2024 EC, p.5</w:t>
            </w:r>
          </w:p>
        </w:tc>
      </w:tr>
      <w:tr>
        <w:tc>
          <w:tcPr/>
          <w:p>
            <w:pPr>
              <w:pStyle w:val="Compact"/>
            </w:pPr>
            <w:r>
              <w:rPr>
                <w:rFonts w:ascii="Times New Roman" w:hAnsi="Times New Roman" w:eastAsia="游明朝"/>
                <w:sz w:val="18"/>
              </w:rPr>
              <w:t xml:space="preserve">6</w:t>
            </w:r>
          </w:p>
        </w:tc>
        <w:tc>
          <w:tcPr/>
          <w:p>
            <w:pPr>
              <w:pStyle w:val="Compact"/>
            </w:pPr>
            <w:r>
              <w:rPr>
                <w:rFonts w:hint="eastAsia" w:ascii="Times New Roman" w:hAnsi="Times New Roman" w:eastAsia="游明朝"/>
                <w:sz w:val="18"/>
              </w:rPr>
              <w:t xml:space="preserve">Morenciが最大の機会（米国最大のリーチオペレーション）で、データアナリティクス・AI活用により最適化を推進</w:t>
            </w:r>
          </w:p>
        </w:tc>
        <w:tc>
          <w:tcPr/>
          <w:p>
            <w:pPr>
              <w:pStyle w:val="Compact"/>
            </w:pPr>
            <w:r>
              <w:rPr>
                <w:rFonts w:ascii="Times New Roman" w:hAnsi="Times New Roman" w:eastAsia="游明朝"/>
                <w:sz w:val="18"/>
              </w:rPr>
              <w:t xml:space="preserve">Q1 2023 EC, p.4-5, 9; Q3 2023 EC, p.3-4</w:t>
            </w:r>
          </w:p>
        </w:tc>
      </w:tr>
    </w:tbl>
    <w:bookmarkEnd w:id="11"/>
    <w:bookmarkStart w:id="12" w:name="更新情報直近1年"/>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強化</w:t>
      </w:r>
    </w:p>
    <w:p>
      <w:pPr>
        <w:pStyle w:val="BodyText"/>
      </w:pPr>
      <w:r>
        <w:rPr>
          <w:rFonts w:hint="eastAsia"/>
          <w:b/>
          <w:bCs/>
        </w:rPr>
        <w:t xml:space="preserve">初期仮説への影響:</w:t>
      </w:r>
      <w:r>
        <w:t xml:space="preserve"> </w:t>
      </w:r>
      <w:r>
        <w:rPr>
          <w:rFonts w:hint="eastAsia"/>
        </w:rPr>
        <w:t xml:space="preserve">初期仮説構築時点ではPhase1（200百万ポンド）達成済み、Phase2（400百万ポンド）は「既存技術のスケーリングで2-3年」という段階だった。直近1年で2025年通年のリーチ増産が200百万ポンド超を記録し、2026年末300百万ポンド目標に向けたスケーリングが順調に進行。さらに、Morenciで自社開発の添加剤のフィールドトライアルを開始し、ラボテストではより高い効果を示す追加添加剤も確認。加温溶液注入テストも2026年に計画され、800百万ポンド到達への技術的道筋が初期仮説時点より具体化している。</w:t>
      </w:r>
    </w:p>
    <w:p>
      <w:pPr>
        <w:pStyle w:val="Compact"/>
        <w:numPr>
          <w:ilvl w:val="0"/>
          <w:numId w:val="1001"/>
        </w:numPr>
      </w:pPr>
      <w:r>
        <w:rPr>
          <w:rFonts w:hint="eastAsia"/>
        </w:rPr>
        <w:t xml:space="preserve">2025年通年で200百万ポンド超の増産を実現し、2026年300百万ポンド、2027年400百万ポンドを目標設定。Q4</w:t>
      </w:r>
      <w:r>
        <w:t xml:space="preserve"> 2025 EC, p.6</w:t>
      </w:r>
    </w:p>
    <w:p>
      <w:pPr>
        <w:pStyle w:val="Compact"/>
        <w:numPr>
          <w:ilvl w:val="0"/>
          <w:numId w:val="1001"/>
        </w:numPr>
      </w:pPr>
      <w:r>
        <w:rPr>
          <w:rFonts w:hint="eastAsia"/>
        </w:rPr>
        <w:t xml:space="preserve">Morenciで自社開発の最初のリーチ添加剤のフィールドトライアルを開始、2026年により広範囲での展開を計画。Q2</w:t>
      </w:r>
      <w:r>
        <w:t xml:space="preserve"> 2025 EC, p.3; Q4 2025 EC, p.6</w:t>
      </w:r>
    </w:p>
    <w:p>
      <w:pPr>
        <w:pStyle w:val="Compact"/>
        <w:numPr>
          <w:ilvl w:val="0"/>
          <w:numId w:val="1001"/>
        </w:numPr>
      </w:pPr>
      <w:r>
        <w:rPr>
          <w:rFonts w:hint="eastAsia"/>
        </w:rPr>
        <w:t xml:space="preserve">ラボテストで「さらに大きな可能性」を示す追加添加剤を確認中。Q4</w:t>
      </w:r>
      <w:r>
        <w:t xml:space="preserve"> 2025 EC, p.6</w:t>
      </w:r>
    </w:p>
    <w:p>
      <w:pPr>
        <w:pStyle w:val="Compact"/>
        <w:numPr>
          <w:ilvl w:val="0"/>
          <w:numId w:val="1001"/>
        </w:numPr>
      </w:pPr>
      <w:r>
        <w:rPr>
          <w:rFonts w:hint="eastAsia"/>
        </w:rPr>
        <w:t xml:space="preserve">2026年に加温溶液のストックパイル注入テストを計画。添加剤と組み合わせで「大幅な回収率向上の可能性」。Q4</w:t>
      </w:r>
      <w:r>
        <w:t xml:space="preserve"> 2025 EC, p.6</w:t>
      </w:r>
    </w:p>
    <w:p>
      <w:pPr>
        <w:pStyle w:val="Compact"/>
        <w:numPr>
          <w:ilvl w:val="0"/>
          <w:numId w:val="1001"/>
        </w:numPr>
      </w:pPr>
      <w:r>
        <w:rPr>
          <w:rFonts w:hint="eastAsia"/>
        </w:rPr>
        <w:t xml:space="preserve">米国で2026年に8%の増産を見込み、その一部がリーチスケーリングに起因。Q4</w:t>
      </w:r>
      <w:r>
        <w:t xml:space="preserve"> 2025 EC, p.4</w:t>
      </w:r>
    </w:p>
    <w:p>
      <w:pPr>
        <w:pStyle w:val="Compact"/>
        <w:numPr>
          <w:ilvl w:val="0"/>
          <w:numId w:val="1001"/>
        </w:numPr>
      </w:pPr>
      <w:r>
        <w:rPr>
          <w:rFonts w:hint="eastAsia"/>
        </w:rPr>
        <w:t xml:space="preserve">出典:</w:t>
      </w:r>
      <w:r>
        <w:t xml:space="preserve"> Q2 2025 EC (2025-07-23), p.3; Q4 2025 EC (2026-01-22), p.4, 6</w:t>
      </w:r>
    </w:p>
    <w:bookmarkEnd w:id="12"/>
    <w:bookmarkStart w:id="13" w:name="納得度"/>
    <w:p>
      <w:pPr>
        <w:pStyle w:val="Heading3"/>
      </w:pPr>
      <w:r>
        <w:rPr>
          <w:rFonts w:hint="eastAsia"/>
        </w:rPr>
        <w:t xml:space="preserve">納得度</w:t>
      </w:r>
    </w:p>
    <w:p>
      <w:pPr>
        <w:pStyle w:val="FirstParagraph"/>
      </w:pPr>
      <w:r>
        <w:t xml:space="preserve">□ 90%　□ 70%　□ 50%　□ 30%　□ 10%</w:t>
      </w:r>
    </w:p>
    <w:bookmarkEnd w:id="13"/>
    <w:bookmarkStart w:id="14" w:name="備考任意"/>
    <w:p>
      <w:pPr>
        <w:pStyle w:val="Heading3"/>
      </w:pPr>
      <w:r>
        <w:rPr>
          <w:rFonts w:hint="eastAsia"/>
        </w:rPr>
        <w:t xml:space="preserve">備考（任意）</w:t>
      </w:r>
    </w:p>
    <w:p>
      <w:r>
        <w:pict>
          <v:rect style="width:0;height:1.5pt" o:hralign="center" o:hrstd="t" o:hr="t"/>
        </w:pict>
      </w:r>
    </w:p>
    <w:bookmarkEnd w:id="14"/>
    <w:bookmarkEnd w:id="15"/>
    <w:bookmarkStart w:id="20" w:name="仮説-28"/>
    <w:p>
      <w:pPr>
        <w:pStyle w:val="Heading2"/>
      </w:pPr>
      <w:r>
        <w:rPr>
          <w:rFonts w:hint="eastAsia"/>
        </w:rPr>
        <w:t xml:space="preserve">仮説</w:t>
      </w:r>
      <w:r>
        <w:t xml:space="preserve"> 2/8</w:t>
      </w:r>
    </w:p>
    <w:p>
      <w:pPr>
        <w:pStyle w:val="FirstParagraph"/>
      </w:pPr>
      <w:r>
        <w:rPr>
          <w:rFonts w:hint="eastAsia"/>
          <w:b/>
          <w:bCs/>
        </w:rPr>
        <w:t xml:space="preserve">銅の構造的需給逼迫（電化・AI・データセンター・EV需要</w:t>
      </w:r>
      <w:r>
        <w:rPr>
          <w:b/>
          <w:bCs/>
        </w:rPr>
        <w:t xml:space="preserve"> vs </w:t>
      </w:r>
      <w:r>
        <w:rPr>
          <w:rFonts w:hint="eastAsia"/>
          <w:b/>
          <w:bCs/>
        </w:rPr>
        <w:t xml:space="preserve">供給制約）がFCXの収益を長期的に押し上げる</w:t>
      </w:r>
    </w:p>
    <w:bookmarkStart w:id="16" w:name="根拠情報-1"/>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第三者予測で銅需要が2035年までに倍増する見通し。電化・再生可能エネルギー・EV・データセンター・AIがドライバー</w:t>
            </w:r>
          </w:p>
        </w:tc>
        <w:tc>
          <w:tcPr/>
          <w:p>
            <w:pPr>
              <w:pStyle w:val="Compact"/>
            </w:pPr>
            <w:r>
              <w:rPr>
                <w:rFonts w:ascii="Times New Roman" w:hAnsi="Times New Roman" w:eastAsia="游明朝"/>
                <w:sz w:val="18"/>
              </w:rPr>
              <w:t xml:space="preserve">Q1 2023 EC, p.4; Q3 2023 EC, p.3; Q2 2024 EC, p.3-4</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2023年は長らく「余剰年」と予測されていたが小幅赤字に。供給途絶が700,000トン超発生し赤字市場が前倒しで2024年に出現</w:t>
            </w:r>
          </w:p>
        </w:tc>
        <w:tc>
          <w:tcPr/>
          <w:p>
            <w:pPr>
              <w:pStyle w:val="Compact"/>
            </w:pPr>
            <w:r>
              <w:rPr>
                <w:rFonts w:ascii="Times New Roman" w:hAnsi="Times New Roman" w:eastAsia="游明朝"/>
                <w:sz w:val="18"/>
              </w:rPr>
              <w:t xml:space="preserve">Q4 2023 EC, p.2; Q4 2023 EC, p.5</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銅在庫は歴史的に低水準が継続（2023-2024年）。現在の価格水準では新規供給開発のインセンティブが不十分</w:t>
            </w:r>
          </w:p>
        </w:tc>
        <w:tc>
          <w:tcPr/>
          <w:p>
            <w:pPr>
              <w:pStyle w:val="Compact"/>
            </w:pPr>
            <w:r>
              <w:rPr>
                <w:rFonts w:ascii="Times New Roman" w:hAnsi="Times New Roman" w:eastAsia="游明朝"/>
                <w:sz w:val="18"/>
              </w:rPr>
              <w:t xml:space="preserve">Q1 2023 EC, p.4; Q3 2023 EC, p.3; Q2 2023 EC, p.3</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精鉱TC/RCが記録的低水準に低下し、物理的な精鉱不足を反映</w:t>
            </w:r>
          </w:p>
        </w:tc>
        <w:tc>
          <w:tcPr/>
          <w:p>
            <w:pPr>
              <w:pStyle w:val="Compact"/>
            </w:pPr>
            <w:r>
              <w:rPr>
                <w:rFonts w:ascii="Times New Roman" w:hAnsi="Times New Roman" w:eastAsia="游明朝"/>
                <w:sz w:val="18"/>
              </w:rPr>
              <w:t xml:space="preserve">Q2 2024 EC, p.2</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新規銅鉱山の開発には10年超のリードタイムが必要で、Bagdad拡張のフィージビリティスタディでも$3.5Bの資本コスト（$35,000/トン）が判明し、インセンティブ価格の上昇が不可避</w:t>
            </w:r>
          </w:p>
        </w:tc>
        <w:tc>
          <w:tcPr/>
          <w:p>
            <w:pPr>
              <w:pStyle w:val="Compact"/>
            </w:pPr>
            <w:r>
              <w:rPr>
                <w:rFonts w:ascii="Times New Roman" w:hAnsi="Times New Roman" w:eastAsia="游明朝"/>
                <w:sz w:val="18"/>
              </w:rPr>
              <w:t xml:space="preserve">Q4 2023 EC, p.6-7; Q4 2023 EC, p.9</w:t>
            </w:r>
          </w:p>
        </w:tc>
      </w:tr>
      <w:tr>
        <w:tc>
          <w:tcPr/>
          <w:p>
            <w:pPr>
              <w:pStyle w:val="Compact"/>
            </w:pPr>
            <w:r>
              <w:rPr>
                <w:rFonts w:ascii="Times New Roman" w:hAnsi="Times New Roman" w:eastAsia="游明朝"/>
                <w:sz w:val="18"/>
              </w:rPr>
              <w:t xml:space="preserve">6</w:t>
            </w:r>
          </w:p>
        </w:tc>
        <w:tc>
          <w:tcPr/>
          <w:p>
            <w:pPr>
              <w:pStyle w:val="Compact"/>
            </w:pPr>
            <w:r>
              <w:rPr>
                <w:rFonts w:hint="eastAsia" w:ascii="Times New Roman" w:hAnsi="Times New Roman" w:eastAsia="游明朝"/>
                <w:sz w:val="18"/>
              </w:rPr>
              <w:t xml:space="preserve">米国顧客がデータセンター・公益事業向け電力ケーブル・建設用配線の旺盛な需要を報告</w:t>
            </w:r>
          </w:p>
        </w:tc>
        <w:tc>
          <w:tcPr/>
          <w:p>
            <w:pPr>
              <w:pStyle w:val="Compact"/>
            </w:pPr>
            <w:r>
              <w:rPr>
                <w:rFonts w:ascii="Times New Roman" w:hAnsi="Times New Roman" w:eastAsia="游明朝"/>
                <w:sz w:val="18"/>
              </w:rPr>
              <w:t xml:space="preserve">Q3 2024 EC, p.3; Q4 2024 EC, p.3</w:t>
            </w:r>
          </w:p>
        </w:tc>
      </w:tr>
    </w:tbl>
    <w:bookmarkEnd w:id="16"/>
    <w:bookmarkStart w:id="17" w:name="更新情報直近1年-1"/>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強化</w:t>
      </w:r>
    </w:p>
    <w:p>
      <w:pPr>
        <w:pStyle w:val="BodyText"/>
      </w:pPr>
      <w:r>
        <w:rPr>
          <w:rFonts w:hint="eastAsia"/>
          <w:b/>
          <w:bCs/>
        </w:rPr>
        <w:t xml:space="preserve">初期仮説への影響:</w:t>
      </w:r>
      <w:r>
        <w:t xml:space="preserve"> </w:t>
      </w:r>
      <w:r>
        <w:rPr>
          <w:rFonts w:hint="eastAsia"/>
        </w:rPr>
        <w:t xml:space="preserve">初期仮説構築時点では需給逼迫の見通しは「中長期的」とされていたが、直近1年で銅価格がLME</w:t>
      </w:r>
      <w:r>
        <w:t xml:space="preserve"> </w:t>
      </w:r>
      <w:r>
        <w:rPr>
          <w:rFonts w:hint="eastAsia"/>
        </w:rPr>
        <w:t xml:space="preserve">$5.68/lb（2025年高値）、COMEX</w:t>
      </w:r>
      <w:r>
        <w:t xml:space="preserve"> </w:t>
      </w:r>
      <w:r>
        <w:rPr>
          <w:rFonts w:hint="eastAsia"/>
        </w:rPr>
        <w:t xml:space="preserve">$5.22/lb（2025年3月新高値）を記録し、構造的な需給逼迫が価格に反映され始めた。AIデータセンター需要が新たな主要ドライバーとして顕在化し、S&amp;P</w:t>
      </w:r>
      <w:r>
        <w:t xml:space="preserve"> Global </w:t>
      </w:r>
      <w:r>
        <w:rPr>
          <w:rFonts w:hint="eastAsia"/>
        </w:rPr>
        <w:t xml:space="preserve">2026年1月レポートが「AI時代の銅需要は2040年までに倍増」と明確化。加えて米国の50%銅関税発表（2025年7月）が地域的プレミアムを拡大し、Freeportの米国売上に年間$1.7Bの追加利益をもたらす構造が出現した。需給ファンダメンタルズの確度は初期仮説時点より大幅に上昇。</w:t>
      </w:r>
    </w:p>
    <w:p>
      <w:pPr>
        <w:pStyle w:val="Compact"/>
        <w:numPr>
          <w:ilvl w:val="0"/>
          <w:numId w:val="1002"/>
        </w:numPr>
      </w:pPr>
      <w:r>
        <w:rPr>
          <w:rFonts w:hint="eastAsia"/>
        </w:rPr>
        <w:t xml:space="preserve">LME銅価格が2025年に$3.87〜$5.68/lbのレンジで推移し、2025年平均$4.51/lb。Q4</w:t>
      </w:r>
      <w:r>
        <w:t xml:space="preserve"> 2025 EC, p.3</w:t>
      </w:r>
    </w:p>
    <w:p>
      <w:pPr>
        <w:pStyle w:val="Compact"/>
        <w:numPr>
          <w:ilvl w:val="0"/>
          <w:numId w:val="1002"/>
        </w:numPr>
      </w:pPr>
      <w:r>
        <w:rPr>
          <w:rFonts w:hint="eastAsia"/>
        </w:rPr>
        <w:t xml:space="preserve">米国COMEX価格が2025年3月に$5.22/lbの新高値を記録。Q1</w:t>
      </w:r>
      <w:r>
        <w:t xml:space="preserve"> 2025 EC, p.3</w:t>
      </w:r>
    </w:p>
    <w:p>
      <w:pPr>
        <w:pStyle w:val="Compact"/>
        <w:numPr>
          <w:ilvl w:val="0"/>
          <w:numId w:val="1002"/>
        </w:numPr>
      </w:pPr>
      <w:r>
        <w:t xml:space="preserve">S&amp;P </w:t>
      </w:r>
      <w:r>
        <w:rPr>
          <w:rFonts w:hint="eastAsia"/>
        </w:rPr>
        <w:t xml:space="preserve">Globalが2026年1月にAI時代の銅需要分析レポートを発表、銅需要は2040年まで年率2.9%成長で倍増と予測。Q4</w:t>
      </w:r>
      <w:r>
        <w:t xml:space="preserve"> 2025 EC, p.3-4</w:t>
      </w:r>
    </w:p>
    <w:p>
      <w:pPr>
        <w:pStyle w:val="Compact"/>
        <w:numPr>
          <w:ilvl w:val="0"/>
          <w:numId w:val="1002"/>
        </w:numPr>
      </w:pPr>
      <w:r>
        <w:rPr>
          <w:rFonts w:hint="eastAsia"/>
        </w:rPr>
        <w:t xml:space="preserve">米国が銅輸入に50%関税を発表（2025年7月8日）。米国プレミアムが約$1.25/lb（LME比+28%）に拡大し、FCXの米国売上に年間約$1.7Bの追加収益。Q2</w:t>
      </w:r>
      <w:r>
        <w:t xml:space="preserve"> 2025 EC, p.4</w:t>
      </w:r>
    </w:p>
    <w:p>
      <w:pPr>
        <w:pStyle w:val="Compact"/>
        <w:numPr>
          <w:ilvl w:val="0"/>
          <w:numId w:val="1002"/>
        </w:numPr>
      </w:pPr>
      <w:r>
        <w:rPr>
          <w:rFonts w:hint="eastAsia"/>
        </w:rPr>
        <w:t xml:space="preserve">大半のアナリストが2026年の市場を「タイトにバランス」〜「小幅赤字」と予測。Q4</w:t>
      </w:r>
      <w:r>
        <w:t xml:space="preserve"> 2025 EC, p.3</w:t>
      </w:r>
    </w:p>
    <w:p>
      <w:pPr>
        <w:pStyle w:val="Compact"/>
        <w:numPr>
          <w:ilvl w:val="0"/>
          <w:numId w:val="1002"/>
        </w:numPr>
      </w:pPr>
      <w:r>
        <w:rPr>
          <w:rFonts w:hint="eastAsia"/>
        </w:rPr>
        <w:t xml:space="preserve">出典:</w:t>
      </w:r>
      <w:r>
        <w:t xml:space="preserve"> Q1 2025 EC (2025-04-24), p.3; Q2 2025 EC (2025-07-23), p.3-4; Q4 2025 EC (2026-01-22), p.3-4</w:t>
      </w:r>
    </w:p>
    <w:bookmarkEnd w:id="17"/>
    <w:bookmarkStart w:id="18" w:name="納得度-1"/>
    <w:p>
      <w:pPr>
        <w:pStyle w:val="Heading3"/>
      </w:pPr>
      <w:r>
        <w:rPr>
          <w:rFonts w:hint="eastAsia"/>
        </w:rPr>
        <w:t xml:space="preserve">納得度</w:t>
      </w:r>
    </w:p>
    <w:p>
      <w:pPr>
        <w:pStyle w:val="FirstParagraph"/>
      </w:pPr>
      <w:r>
        <w:t xml:space="preserve">□ 90%　□ 70%　□ 50%　□ 30%　□ 10%</w:t>
      </w:r>
    </w:p>
    <w:bookmarkEnd w:id="18"/>
    <w:bookmarkStart w:id="19" w:name="備考任意-1"/>
    <w:p>
      <w:pPr>
        <w:pStyle w:val="Heading3"/>
      </w:pPr>
      <w:r>
        <w:rPr>
          <w:rFonts w:hint="eastAsia"/>
        </w:rPr>
        <w:t xml:space="preserve">備考（任意）</w:t>
      </w:r>
    </w:p>
    <w:p>
      <w:r>
        <w:pict>
          <v:rect style="width:0;height:1.5pt" o:hralign="center" o:hrstd="t" o:hr="t"/>
        </w:pict>
      </w:r>
    </w:p>
    <w:bookmarkEnd w:id="19"/>
    <w:bookmarkEnd w:id="20"/>
    <w:bookmarkStart w:id="25" w:name="仮説-38"/>
    <w:p>
      <w:pPr>
        <w:pStyle w:val="Heading2"/>
      </w:pPr>
      <w:r>
        <w:rPr>
          <w:rFonts w:hint="eastAsia"/>
        </w:rPr>
        <w:t xml:space="preserve">仮説</w:t>
      </w:r>
      <w:r>
        <w:t xml:space="preserve"> 3/8</w:t>
      </w:r>
    </w:p>
    <w:p>
      <w:pPr>
        <w:pStyle w:val="FirstParagraph"/>
      </w:pPr>
      <w:r>
        <w:rPr>
          <w:rFonts w:hint="eastAsia"/>
          <w:b/>
          <w:bCs/>
        </w:rPr>
        <w:t xml:space="preserve">Grasberg地区の世界クラスの低コスト銅・金生産が長期にわたり持続し、金副産物が実質的なコストヘッジ機能を果たす</w:t>
      </w:r>
    </w:p>
    <w:bookmarkStart w:id="21" w:name="根拠情報-2"/>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Grasbergは世界第2位の銅鉱山かつ世界最大級の金鉱山。地下転換完了後も高品位の銅・金鉱石を安定処理</w:t>
            </w:r>
          </w:p>
        </w:tc>
        <w:tc>
          <w:tcPr/>
          <w:p>
            <w:pPr>
              <w:pStyle w:val="Compact"/>
            </w:pPr>
            <w:r>
              <w:rPr>
                <w:rFonts w:ascii="Times New Roman" w:hAnsi="Times New Roman" w:eastAsia="游明朝"/>
                <w:sz w:val="18"/>
              </w:rPr>
              <w:t xml:space="preserve">Q1 2023 EC, p.2; Q4 2023 EC, p.3-4</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インドネシアのユニットネットキャッシュコストが頻繁にマイナス（金クレジットが生産コストを上回る）。Q1</w:t>
            </w:r>
            <w:r>
              <w:rPr>
                <w:rFonts w:ascii="Times New Roman" w:hAnsi="Times New Roman" w:eastAsia="游明朝"/>
                <w:sz w:val="18"/>
              </w:rPr>
              <w:t xml:space="preserve"> 2023: -$0.08/lb、Q2 2023: -$0.09/lb、Q4 2023: $0.00/lb、Q1 2024: -$0.12/lb</w:t>
            </w:r>
          </w:p>
        </w:tc>
        <w:tc>
          <w:tcPr/>
          <w:p>
            <w:pPr>
              <w:pStyle w:val="Compact"/>
            </w:pPr>
            <w:r>
              <w:rPr>
                <w:rFonts w:ascii="Times New Roman" w:hAnsi="Times New Roman" w:eastAsia="游明朝"/>
                <w:sz w:val="18"/>
              </w:rPr>
              <w:t xml:space="preserve">Q1 2023 EC, p.2-3; Q2 2023 EC, p.2; Q4 2023 EC, p.3; Q1 2024 EC, p.5</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地下鉱石処理量が四半期ベースで継続的に記録更新。Grasberg</w:t>
            </w:r>
            <w:r>
              <w:rPr>
                <w:rFonts w:ascii="Times New Roman" w:hAnsi="Times New Roman" w:eastAsia="游明朝"/>
                <w:sz w:val="18"/>
              </w:rPr>
              <w:t xml:space="preserve"> Block </w:t>
            </w:r>
            <w:r>
              <w:rPr>
                <w:rFonts w:hint="eastAsia" w:ascii="Times New Roman" w:hAnsi="Times New Roman" w:eastAsia="游明朝"/>
                <w:sz w:val="18"/>
              </w:rPr>
              <w:t xml:space="preserve">Caveで160,000トン/日超を達成</w:t>
            </w:r>
          </w:p>
        </w:tc>
        <w:tc>
          <w:tcPr/>
          <w:p>
            <w:pPr>
              <w:pStyle w:val="Compact"/>
            </w:pPr>
            <w:r>
              <w:rPr>
                <w:rFonts w:ascii="Times New Roman" w:hAnsi="Times New Roman" w:eastAsia="游明朝"/>
                <w:sz w:val="18"/>
              </w:rPr>
              <w:t xml:space="preserve">Q3 2023 EC, p.4; Q4 2023 EC, p.3-4</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新SAGミル設置完了（2023年12月）でさらなるミルレート向上の余地</w:t>
            </w:r>
          </w:p>
        </w:tc>
        <w:tc>
          <w:tcPr/>
          <w:p>
            <w:pPr>
              <w:pStyle w:val="Compact"/>
            </w:pPr>
            <w:r>
              <w:rPr>
                <w:rFonts w:ascii="Times New Roman" w:hAnsi="Times New Roman" w:eastAsia="游明朝"/>
                <w:sz w:val="18"/>
              </w:rPr>
              <w:t xml:space="preserve">Q4 2023 EC, p.4</w:t>
            </w:r>
          </w:p>
        </w:tc>
      </w:tr>
      <w:tr>
        <w:tc>
          <w:tcPr/>
          <w:p>
            <w:pPr>
              <w:pStyle w:val="Compact"/>
            </w:pPr>
            <w:r>
              <w:rPr>
                <w:rFonts w:ascii="Times New Roman" w:hAnsi="Times New Roman" w:eastAsia="游明朝"/>
                <w:sz w:val="18"/>
              </w:rPr>
              <w:t xml:space="preserve">5</w:t>
            </w:r>
          </w:p>
        </w:tc>
        <w:tc>
          <w:tcPr/>
          <w:p>
            <w:pPr>
              <w:pStyle w:val="Compact"/>
            </w:pPr>
            <w:r>
              <w:rPr>
                <w:rFonts w:ascii="Times New Roman" w:hAnsi="Times New Roman" w:eastAsia="游明朝"/>
                <w:sz w:val="18"/>
              </w:rPr>
              <w:t xml:space="preserve">Kucing </w:t>
            </w:r>
            <w:r>
              <w:rPr>
                <w:rFonts w:hint="eastAsia" w:ascii="Times New Roman" w:hAnsi="Times New Roman" w:eastAsia="游明朝"/>
                <w:sz w:val="18"/>
              </w:rPr>
              <w:t xml:space="preserve">Liar（9万トン/日のブロックケーブ）が開発中で2030年に生産開始予定。銅550百万ポンド+金560,000オンスの年間生産を見込む</w:t>
            </w:r>
          </w:p>
        </w:tc>
        <w:tc>
          <w:tcPr/>
          <w:p>
            <w:pPr>
              <w:pStyle w:val="Compact"/>
            </w:pPr>
            <w:r>
              <w:rPr>
                <w:rFonts w:ascii="Times New Roman" w:hAnsi="Times New Roman" w:eastAsia="游明朝"/>
                <w:sz w:val="18"/>
              </w:rPr>
              <w:t xml:space="preserve">Q3 2023 EC, p.5; Q4 2023 EC, p.7</w:t>
            </w:r>
          </w:p>
        </w:tc>
      </w:tr>
      <w:tr>
        <w:tc>
          <w:tcPr/>
          <w:p>
            <w:pPr>
              <w:pStyle w:val="Compact"/>
            </w:pPr>
            <w:r>
              <w:rPr>
                <w:rFonts w:ascii="Times New Roman" w:hAnsi="Times New Roman" w:eastAsia="游明朝"/>
                <w:sz w:val="18"/>
              </w:rPr>
              <w:t xml:space="preserve">6</w:t>
            </w:r>
          </w:p>
        </w:tc>
        <w:tc>
          <w:tcPr/>
          <w:p>
            <w:pPr>
              <w:pStyle w:val="Compact"/>
            </w:pPr>
            <w:r>
              <w:rPr>
                <w:rFonts w:hint="eastAsia" w:ascii="Times New Roman" w:hAnsi="Times New Roman" w:eastAsia="游明朝"/>
                <w:sz w:val="18"/>
              </w:rPr>
              <w:t xml:space="preserve">2041年以降の操業権延長交渉を政府と進行中で、成功すれば莫大な追加埋蔵量開発が可能</w:t>
            </w:r>
          </w:p>
        </w:tc>
        <w:tc>
          <w:tcPr/>
          <w:p>
            <w:pPr>
              <w:pStyle w:val="Compact"/>
            </w:pPr>
            <w:r>
              <w:rPr>
                <w:rFonts w:ascii="Times New Roman" w:hAnsi="Times New Roman" w:eastAsia="游明朝"/>
                <w:sz w:val="18"/>
              </w:rPr>
              <w:t xml:space="preserve">Q1 2023 EC, p.10-11; Q4 2023 EC, p.4; Q1 2024 EC, p.7</w:t>
            </w:r>
          </w:p>
        </w:tc>
      </w:tr>
    </w:tbl>
    <w:bookmarkEnd w:id="21"/>
    <w:bookmarkStart w:id="22" w:name="更新情報直近1年-2"/>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弱体化</w:t>
      </w:r>
    </w:p>
    <w:p>
      <w:pPr>
        <w:pStyle w:val="BodyText"/>
      </w:pPr>
      <w:r>
        <w:rPr>
          <w:rFonts w:hint="eastAsia"/>
          <w:b/>
          <w:bCs/>
        </w:rPr>
        <w:t xml:space="preserve">初期仮説への影響:</w:t>
      </w:r>
      <w:r>
        <w:t xml:space="preserve"> </w:t>
      </w:r>
      <w:r>
        <w:rPr>
          <w:rFonts w:hint="eastAsia"/>
        </w:rPr>
        <w:t xml:space="preserve">初期仮説構築時点ではGrasbergは四半期ごとに記録を更新する好調な操業が続いていたが、2025年9月に泥流事故（mud</w:t>
      </w:r>
      <w:r>
        <w:t xml:space="preserve"> flow </w:t>
      </w:r>
      <w:r>
        <w:rPr>
          <w:rFonts w:hint="eastAsia"/>
        </w:rPr>
        <w:t xml:space="preserve">incident）が発生し、Grasberg</w:t>
      </w:r>
      <w:r>
        <w:t xml:space="preserve"> Block </w:t>
      </w:r>
      <w:r>
        <w:rPr>
          <w:rFonts w:hint="eastAsia"/>
        </w:rPr>
        <w:t xml:space="preserve">Caveの操業が一時停止した。年間銅販売量が計画比約10%減少。ただし、Deep</w:t>
      </w:r>
      <w:r>
        <w:t xml:space="preserve"> MLZ・Big </w:t>
      </w:r>
      <w:r>
        <w:rPr>
          <w:rFonts w:hint="eastAsia"/>
        </w:rPr>
        <w:t xml:space="preserve">Gossan鉱山は2025年Q4に再開済みで、Block</w:t>
      </w:r>
      <w:r>
        <w:t xml:space="preserve"> </w:t>
      </w:r>
      <w:r>
        <w:rPr>
          <w:rFonts w:hint="eastAsia"/>
        </w:rPr>
        <w:t xml:space="preserve">Caveも2026年Q2に再開予定。PB2・PB3の再開で2026年後半には地区生産の85%が回復見込み。PB1S・PB1Cの完全復旧は2027年。長期的な資産価値は毀損していないが、復旧リスクが加わった点で初期仮説の確度はやや低下。</w:t>
      </w:r>
    </w:p>
    <w:p>
      <w:pPr>
        <w:pStyle w:val="Compact"/>
        <w:numPr>
          <w:ilvl w:val="0"/>
          <w:numId w:val="1003"/>
        </w:numPr>
      </w:pPr>
      <w:r>
        <w:rPr>
          <w:rFonts w:hint="eastAsia"/>
        </w:rPr>
        <w:t xml:space="preserve">2025年9月にGrasberg</w:t>
      </w:r>
      <w:r>
        <w:t xml:space="preserve"> Block </w:t>
      </w:r>
      <w:r>
        <w:rPr>
          <w:rFonts w:hint="eastAsia"/>
        </w:rPr>
        <w:t xml:space="preserve">Caveで泥流事故が発生。PB1Cで発生し地区全体の操業に影響。Q4</w:t>
      </w:r>
      <w:r>
        <w:t xml:space="preserve"> 2025 EC, p.2, 5</w:t>
      </w:r>
    </w:p>
    <w:p>
      <w:pPr>
        <w:pStyle w:val="Compact"/>
        <w:numPr>
          <w:ilvl w:val="0"/>
          <w:numId w:val="1003"/>
        </w:numPr>
      </w:pPr>
      <w:r>
        <w:rPr>
          <w:rFonts w:hint="eastAsia"/>
        </w:rPr>
        <w:t xml:space="preserve">年間銅販売量が計画比約10%減少。ただし調整後EBITDA約$10Bは2024年と同水準を維持。Q4</w:t>
      </w:r>
      <w:r>
        <w:t xml:space="preserve"> 2025 EC, p.2</w:t>
      </w:r>
    </w:p>
    <w:p>
      <w:pPr>
        <w:pStyle w:val="Compact"/>
        <w:numPr>
          <w:ilvl w:val="0"/>
          <w:numId w:val="1003"/>
        </w:numPr>
      </w:pPr>
      <w:r>
        <w:t xml:space="preserve">Deep MLZ・Big </w:t>
      </w:r>
      <w:r>
        <w:rPr>
          <w:rFonts w:hint="eastAsia"/>
        </w:rPr>
        <w:t xml:space="preserve">Gossan鉱山は2025年Q4に再開済み。Grasberg</w:t>
      </w:r>
      <w:r>
        <w:t xml:space="preserve"> Block </w:t>
      </w:r>
      <w:r>
        <w:rPr>
          <w:rFonts w:hint="eastAsia"/>
        </w:rPr>
        <w:t xml:space="preserve">Cave（PB2・PB3）は2026年Q2再開予定。Q4</w:t>
      </w:r>
      <w:r>
        <w:t xml:space="preserve"> 2025 EC, p.5</w:t>
      </w:r>
    </w:p>
    <w:p>
      <w:pPr>
        <w:pStyle w:val="Compact"/>
        <w:numPr>
          <w:ilvl w:val="0"/>
          <w:numId w:val="1003"/>
        </w:numPr>
      </w:pPr>
      <w:r>
        <w:rPr>
          <w:rFonts w:hint="eastAsia"/>
        </w:rPr>
        <w:t xml:space="preserve">PB2・PB3再開で2026年後半に地区生産の85%回復見込み。PB1S再開は2027年中旬、PB1C再開は2027年末。Q4</w:t>
      </w:r>
      <w:r>
        <w:t xml:space="preserve"> 2025 EC, p.5</w:t>
      </w:r>
    </w:p>
    <w:p>
      <w:pPr>
        <w:pStyle w:val="Compact"/>
        <w:numPr>
          <w:ilvl w:val="0"/>
          <w:numId w:val="1003"/>
        </w:numPr>
      </w:pPr>
      <w:r>
        <w:rPr>
          <w:rFonts w:hint="eastAsia"/>
        </w:rPr>
        <w:t xml:space="preserve">損害保険で最大$700Mのカバレッジあり。Q4</w:t>
      </w:r>
      <w:r>
        <w:t xml:space="preserve"> 2025 EC, p.7</w:t>
      </w:r>
    </w:p>
    <w:p>
      <w:pPr>
        <w:pStyle w:val="Compact"/>
        <w:numPr>
          <w:ilvl w:val="0"/>
          <w:numId w:val="1003"/>
        </w:numPr>
      </w:pPr>
      <w:r>
        <w:t xml:space="preserve">El </w:t>
      </w:r>
      <w:r>
        <w:rPr>
          <w:rFonts w:hint="eastAsia"/>
        </w:rPr>
        <w:t xml:space="preserve">Abraで17億ポンド超の銅埋蔵量を新規追加し、Cerro</w:t>
      </w:r>
      <w:r>
        <w:t xml:space="preserve"> </w:t>
      </w:r>
      <w:r>
        <w:rPr>
          <w:rFonts w:hint="eastAsia"/>
        </w:rPr>
        <w:t xml:space="preserve">Verdeに匹敵するポジションに。Q4</w:t>
      </w:r>
      <w:r>
        <w:t xml:space="preserve"> 2025 EC, p.5-6</w:t>
      </w:r>
    </w:p>
    <w:p>
      <w:pPr>
        <w:pStyle w:val="Compact"/>
        <w:numPr>
          <w:ilvl w:val="0"/>
          <w:numId w:val="1003"/>
        </w:numPr>
      </w:pPr>
      <w:r>
        <w:rPr>
          <w:rFonts w:hint="eastAsia"/>
        </w:rPr>
        <w:t xml:space="preserve">出典:</w:t>
      </w:r>
      <w:r>
        <w:t xml:space="preserve"> Q4 2025 EC (2026-01-22), p.2, 5-7</w:t>
      </w:r>
    </w:p>
    <w:bookmarkEnd w:id="22"/>
    <w:bookmarkStart w:id="23" w:name="納得度-2"/>
    <w:p>
      <w:pPr>
        <w:pStyle w:val="Heading3"/>
      </w:pPr>
      <w:r>
        <w:rPr>
          <w:rFonts w:hint="eastAsia"/>
        </w:rPr>
        <w:t xml:space="preserve">納得度</w:t>
      </w:r>
    </w:p>
    <w:p>
      <w:pPr>
        <w:pStyle w:val="FirstParagraph"/>
      </w:pPr>
      <w:r>
        <w:t xml:space="preserve">□ 90%　□ 70%　□ 50%　□ 30%　□ 10%</w:t>
      </w:r>
    </w:p>
    <w:bookmarkEnd w:id="23"/>
    <w:bookmarkStart w:id="24" w:name="備考任意-2"/>
    <w:p>
      <w:pPr>
        <w:pStyle w:val="Heading3"/>
      </w:pPr>
      <w:r>
        <w:rPr>
          <w:rFonts w:hint="eastAsia"/>
        </w:rPr>
        <w:t xml:space="preserve">備考（任意）</w:t>
      </w:r>
    </w:p>
    <w:p>
      <w:r>
        <w:pict>
          <v:rect style="width:0;height:1.5pt" o:hralign="center" o:hrstd="t" o:hr="t"/>
        </w:pict>
      </w:r>
    </w:p>
    <w:bookmarkEnd w:id="24"/>
    <w:bookmarkEnd w:id="25"/>
    <w:bookmarkStart w:id="30" w:name="仮説-48"/>
    <w:p>
      <w:pPr>
        <w:pStyle w:val="Heading2"/>
      </w:pPr>
      <w:r>
        <w:rPr>
          <w:rFonts w:hint="eastAsia"/>
        </w:rPr>
        <w:t xml:space="preserve">仮説</w:t>
      </w:r>
      <w:r>
        <w:t xml:space="preserve"> 4/8</w:t>
      </w:r>
    </w:p>
    <w:p>
      <w:pPr>
        <w:pStyle w:val="FirstParagraph"/>
      </w:pPr>
      <w:r>
        <w:rPr>
          <w:rFonts w:hint="eastAsia"/>
          <w:b/>
          <w:bCs/>
        </w:rPr>
        <w:t xml:space="preserve">米国銅関税・ドメスティックプレミアムがFreeportの米国事業に構造的な超過収益をもたらす</w:t>
      </w:r>
    </w:p>
    <w:bookmarkStart w:id="26" w:name="根拠情報-3"/>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Freeportは米国で精製される銅の約70%を供給する圧倒的な国内シェアを持つ</w:t>
            </w:r>
          </w:p>
        </w:tc>
        <w:tc>
          <w:tcPr/>
          <w:p>
            <w:pPr>
              <w:pStyle w:val="Compact"/>
            </w:pPr>
            <w:r>
              <w:rPr>
                <w:rFonts w:ascii="Times New Roman" w:hAnsi="Times New Roman" w:eastAsia="游明朝"/>
                <w:sz w:val="18"/>
              </w:rPr>
              <w:t xml:space="preserve">Q1 2025 EC, p.4; Q2 2025 EC, p.5</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米国は銅カソード需要の約半分を輸入に依存しており、関税導入で輸入コスト上昇→国内プレミアム形成</w:t>
            </w:r>
          </w:p>
        </w:tc>
        <w:tc>
          <w:tcPr/>
          <w:p>
            <w:pPr>
              <w:pStyle w:val="Compact"/>
            </w:pPr>
            <w:r>
              <w:rPr>
                <w:rFonts w:ascii="Times New Roman" w:hAnsi="Times New Roman" w:eastAsia="游明朝"/>
                <w:sz w:val="18"/>
              </w:rPr>
              <w:t xml:space="preserve">Q1 2025 EC, p.3-4</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トランプ政権が2025年2月に銅を「クリティカルミネラル」に指定し、Section</w:t>
            </w:r>
            <w:r>
              <w:rPr>
                <w:rFonts w:ascii="Times New Roman" w:hAnsi="Times New Roman" w:eastAsia="游明朝"/>
                <w:sz w:val="18"/>
              </w:rPr>
              <w:t xml:space="preserve"> </w:t>
            </w:r>
            <w:r>
              <w:rPr>
                <w:rFonts w:hint="eastAsia" w:ascii="Times New Roman" w:hAnsi="Times New Roman" w:eastAsia="游明朝"/>
                <w:sz w:val="18"/>
              </w:rPr>
              <w:t xml:space="preserve">232調査を開始</w:t>
            </w:r>
          </w:p>
        </w:tc>
        <w:tc>
          <w:tcPr/>
          <w:p>
            <w:pPr>
              <w:pStyle w:val="Compact"/>
            </w:pPr>
            <w:r>
              <w:rPr>
                <w:rFonts w:ascii="Times New Roman" w:hAnsi="Times New Roman" w:eastAsia="游明朝"/>
                <w:sz w:val="18"/>
              </w:rPr>
              <w:t xml:space="preserve">Q1 2025 EC, p.3-4</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米国COMEX価格がLMEに対して歴史的に例のないプレミアムを形成（2025年Q1時点で約13%、約$0.57/lb）</w:t>
            </w:r>
          </w:p>
        </w:tc>
        <w:tc>
          <w:tcPr/>
          <w:p>
            <w:pPr>
              <w:pStyle w:val="Compact"/>
            </w:pPr>
            <w:r>
              <w:rPr>
                <w:rFonts w:ascii="Times New Roman" w:hAnsi="Times New Roman" w:eastAsia="游明朝"/>
                <w:sz w:val="18"/>
              </w:rPr>
              <w:t xml:space="preserve">Q1 2025 EC, p.4</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FCXの米国売上は全体の約1/3を占め、米国での完全統合型操業（鉱山+製錬+精製+リーチ）により国内生産者としてのポジションが明確</w:t>
            </w:r>
          </w:p>
        </w:tc>
        <w:tc>
          <w:tcPr/>
          <w:p>
            <w:pPr>
              <w:pStyle w:val="Compact"/>
            </w:pPr>
            <w:r>
              <w:rPr>
                <w:rFonts w:ascii="Times New Roman" w:hAnsi="Times New Roman" w:eastAsia="游明朝"/>
                <w:sz w:val="18"/>
              </w:rPr>
              <w:t xml:space="preserve">Q1 2025 EC, p.4-5; Q2 2025 EC, p.4-5</w:t>
            </w:r>
          </w:p>
        </w:tc>
      </w:tr>
      <w:tr>
        <w:tc>
          <w:tcPr/>
          <w:p>
            <w:pPr>
              <w:pStyle w:val="Compact"/>
            </w:pPr>
            <w:r>
              <w:rPr>
                <w:rFonts w:ascii="Times New Roman" w:hAnsi="Times New Roman" w:eastAsia="游明朝"/>
                <w:sz w:val="18"/>
              </w:rPr>
              <w:t xml:space="preserve">6</w:t>
            </w:r>
          </w:p>
        </w:tc>
        <w:tc>
          <w:tcPr/>
          <w:p>
            <w:pPr>
              <w:pStyle w:val="Compact"/>
            </w:pPr>
            <w:r>
              <w:rPr>
                <w:rFonts w:hint="eastAsia" w:ascii="Times New Roman" w:hAnsi="Times New Roman" w:eastAsia="游明朝"/>
                <w:sz w:val="18"/>
              </w:rPr>
              <w:t xml:space="preserve">米国政府が許認可改革と国内生産インセンティブを推進しており、FCXのブラウンフィールド拡張を後押し</w:t>
            </w:r>
          </w:p>
        </w:tc>
        <w:tc>
          <w:tcPr/>
          <w:p>
            <w:pPr>
              <w:pStyle w:val="Compact"/>
            </w:pPr>
            <w:r>
              <w:rPr>
                <w:rFonts w:ascii="Times New Roman" w:hAnsi="Times New Roman" w:eastAsia="游明朝"/>
                <w:sz w:val="18"/>
              </w:rPr>
              <w:t xml:space="preserve">Q1 2025 EC, p.4</w:t>
            </w:r>
          </w:p>
        </w:tc>
      </w:tr>
    </w:tbl>
    <w:bookmarkEnd w:id="26"/>
    <w:bookmarkStart w:id="27" w:name="更新情報直近1年-3"/>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強化</w:t>
      </w:r>
    </w:p>
    <w:p>
      <w:pPr>
        <w:pStyle w:val="BodyText"/>
      </w:pPr>
      <w:r>
        <w:rPr>
          <w:rFonts w:hint="eastAsia"/>
          <w:b/>
          <w:bCs/>
        </w:rPr>
        <w:t xml:space="preserve">初期仮説への影響:</w:t>
      </w:r>
      <w:r>
        <w:t xml:space="preserve"> </w:t>
      </w:r>
      <w:r>
        <w:rPr>
          <w:rFonts w:hint="eastAsia"/>
        </w:rPr>
        <w:t xml:space="preserve">初期仮説構築時点（2025年Q1）では米国プレミアムは約13%（$0.57/lb）で年間約$800Mの恩恵だったが、2025年7月8日の50%銅関税発表後にプレミアムが約28%（$1.25/lb）に急拡大し、年間恩恵は$1.7Bに倍増以上。Q4</w:t>
      </w:r>
      <w:r>
        <w:t xml:space="preserve"> </w:t>
      </w:r>
      <w:r>
        <w:rPr>
          <w:rFonts w:hint="eastAsia"/>
        </w:rPr>
        <w:t xml:space="preserve">2025の米国事業営業利益は前年同期比3.5倍と、プレミアムの収益転換率の高さが実証された。関税の恒久性・水準の詳細は未確定だが、構造的に米国銅生産者が優遇される方向は明確化しており、初期仮説の確度は大幅に上昇。</w:t>
      </w:r>
    </w:p>
    <w:p>
      <w:pPr>
        <w:pStyle w:val="Compact"/>
        <w:numPr>
          <w:ilvl w:val="0"/>
          <w:numId w:val="1004"/>
        </w:numPr>
      </w:pPr>
      <w:r>
        <w:rPr>
          <w:rFonts w:hint="eastAsia"/>
        </w:rPr>
        <w:t xml:space="preserve">米国が銅輸入に50%関税を発表（2025年7月8日、8月1日実施予定）。Q2</w:t>
      </w:r>
      <w:r>
        <w:t xml:space="preserve"> 2025 EC, p.4</w:t>
      </w:r>
    </w:p>
    <w:p>
      <w:pPr>
        <w:pStyle w:val="Compact"/>
        <w:numPr>
          <w:ilvl w:val="0"/>
          <w:numId w:val="1004"/>
        </w:numPr>
      </w:pPr>
      <w:r>
        <w:rPr>
          <w:rFonts w:hint="eastAsia"/>
        </w:rPr>
        <w:t xml:space="preserve">米国COMEXプレミアムが約$1.25/lb（LME比+28%）に拡大。年間約$1.7Bの追加利益に相当。Q2</w:t>
      </w:r>
      <w:r>
        <w:t xml:space="preserve"> 2025 EC, p.4</w:t>
      </w:r>
    </w:p>
    <w:p>
      <w:pPr>
        <w:pStyle w:val="Compact"/>
        <w:numPr>
          <w:ilvl w:val="0"/>
          <w:numId w:val="1004"/>
        </w:numPr>
      </w:pPr>
      <w:r>
        <w:t xml:space="preserve">Q4 </w:t>
      </w:r>
      <w:r>
        <w:rPr>
          <w:rFonts w:hint="eastAsia"/>
        </w:rPr>
        <w:t xml:space="preserve">2025の米国事業営業利益が前年同期比3.5倍に。「価格上昇の底線への強い転換」を実証。Q4</w:t>
      </w:r>
      <w:r>
        <w:t xml:space="preserve"> 2025 EC, p.4</w:t>
      </w:r>
    </w:p>
    <w:p>
      <w:pPr>
        <w:pStyle w:val="Compact"/>
        <w:numPr>
          <w:ilvl w:val="0"/>
          <w:numId w:val="1004"/>
        </w:numPr>
      </w:pPr>
      <w:r>
        <w:rPr>
          <w:rFonts w:hint="eastAsia"/>
        </w:rPr>
        <w:t xml:space="preserve">米国とインドネシアの貿易協定が締結され、FCXのインドネシア-米国間のサプライチェーンにも好材料。Q2</w:t>
      </w:r>
      <w:r>
        <w:t xml:space="preserve"> 2025 EC, p.2</w:t>
      </w:r>
    </w:p>
    <w:p>
      <w:pPr>
        <w:pStyle w:val="Compact"/>
        <w:numPr>
          <w:ilvl w:val="0"/>
          <w:numId w:val="1004"/>
        </w:numPr>
      </w:pPr>
      <w:r>
        <w:rPr>
          <w:rFonts w:hint="eastAsia"/>
        </w:rPr>
        <w:t xml:space="preserve">出典:</w:t>
      </w:r>
      <w:r>
        <w:t xml:space="preserve"> Q1 2025 EC (2025-04-24), p.3-4; Q2 2025 EC (2025-07-23), p.2, 4; Q4 2025 EC (2026-01-22), p.4</w:t>
      </w:r>
    </w:p>
    <w:bookmarkEnd w:id="27"/>
    <w:bookmarkStart w:id="28" w:name="納得度-3"/>
    <w:p>
      <w:pPr>
        <w:pStyle w:val="Heading3"/>
      </w:pPr>
      <w:r>
        <w:rPr>
          <w:rFonts w:hint="eastAsia"/>
        </w:rPr>
        <w:t xml:space="preserve">納得度</w:t>
      </w:r>
    </w:p>
    <w:p>
      <w:pPr>
        <w:pStyle w:val="FirstParagraph"/>
      </w:pPr>
      <w:r>
        <w:t xml:space="preserve">□ 90%　□ 70%　□ 50%　□ 30%　□ 10%</w:t>
      </w:r>
    </w:p>
    <w:bookmarkEnd w:id="28"/>
    <w:bookmarkStart w:id="29" w:name="備考任意-3"/>
    <w:p>
      <w:pPr>
        <w:pStyle w:val="Heading3"/>
      </w:pPr>
      <w:r>
        <w:rPr>
          <w:rFonts w:hint="eastAsia"/>
        </w:rPr>
        <w:t xml:space="preserve">備考（任意）</w:t>
      </w:r>
    </w:p>
    <w:p>
      <w:r>
        <w:pict>
          <v:rect style="width:0;height:1.5pt" o:hralign="center" o:hrstd="t" o:hr="t"/>
        </w:pict>
      </w:r>
    </w:p>
    <w:bookmarkEnd w:id="29"/>
    <w:bookmarkEnd w:id="30"/>
    <w:bookmarkStart w:id="35" w:name="仮説-58"/>
    <w:p>
      <w:pPr>
        <w:pStyle w:val="Heading2"/>
      </w:pPr>
      <w:r>
        <w:rPr>
          <w:rFonts w:hint="eastAsia"/>
        </w:rPr>
        <w:t xml:space="preserve">仮説</w:t>
      </w:r>
      <w:r>
        <w:t xml:space="preserve"> 5/8</w:t>
      </w:r>
    </w:p>
    <w:p>
      <w:pPr>
        <w:pStyle w:val="FirstParagraph"/>
      </w:pPr>
      <w:r>
        <w:rPr>
          <w:rFonts w:hint="eastAsia"/>
          <w:b/>
          <w:bCs/>
        </w:rPr>
        <w:t xml:space="preserve">ブラウンフィールド拡張パイプライン（Bagdad拡張・El</w:t>
      </w:r>
      <w:r>
        <w:rPr>
          <w:b/>
          <w:bCs/>
        </w:rPr>
        <w:t xml:space="preserve"> Abra・Safford/Lone </w:t>
      </w:r>
      <w:r>
        <w:rPr>
          <w:rFonts w:hint="eastAsia"/>
          <w:b/>
          <w:bCs/>
        </w:rPr>
        <w:t xml:space="preserve">Star）が2030年代前半に米国銅生産50%超の増産を実現する</w:t>
      </w:r>
    </w:p>
    <w:bookmarkStart w:id="31" w:name="根拠情報-4"/>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Bagdad拡張のフィージビリティスタディ完了。新コンセントレーターと関連インフラの資本コストは約$3.5B。操業を2倍超に拡張し、規模の経済で単価低下を実現</w:t>
            </w:r>
          </w:p>
        </w:tc>
        <w:tc>
          <w:tcPr/>
          <w:p>
            <w:pPr>
              <w:pStyle w:val="Compact"/>
            </w:pPr>
            <w:r>
              <w:rPr>
                <w:rFonts w:ascii="Times New Roman" w:hAnsi="Times New Roman" w:eastAsia="游明朝"/>
                <w:sz w:val="18"/>
              </w:rPr>
              <w:t xml:space="preserve">Q4 2023 EC, p.6-7</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Bagdadの埋蔵量は80年超。自律走行トラックの導入が進行中で、米国大規模鉱山への展開を検証中</w:t>
            </w:r>
          </w:p>
        </w:tc>
        <w:tc>
          <w:tcPr/>
          <w:p>
            <w:pPr>
              <w:pStyle w:val="Compact"/>
            </w:pPr>
            <w:r>
              <w:rPr>
                <w:rFonts w:ascii="Times New Roman" w:hAnsi="Times New Roman" w:eastAsia="游明朝"/>
                <w:sz w:val="18"/>
              </w:rPr>
              <w:t xml:space="preserve">Q3 2023 EC, p.5; Q4 2023 EC, p.6</w:t>
            </w:r>
          </w:p>
        </w:tc>
      </w:tr>
      <w:tr>
        <w:tc>
          <w:tcPr/>
          <w:p>
            <w:pPr>
              <w:pStyle w:val="Compact"/>
            </w:pPr>
            <w:r>
              <w:rPr>
                <w:rFonts w:ascii="Times New Roman" w:hAnsi="Times New Roman" w:eastAsia="游明朝"/>
                <w:sz w:val="18"/>
              </w:rPr>
              <w:t xml:space="preserve">3</w:t>
            </w:r>
          </w:p>
        </w:tc>
        <w:tc>
          <w:tcPr/>
          <w:p>
            <w:pPr>
              <w:pStyle w:val="Compact"/>
            </w:pPr>
            <w:r>
              <w:rPr>
                <w:rFonts w:ascii="Times New Roman" w:hAnsi="Times New Roman" w:eastAsia="游明朝"/>
                <w:sz w:val="18"/>
              </w:rPr>
              <w:t xml:space="preserve">El </w:t>
            </w:r>
            <w:r>
              <w:rPr>
                <w:rFonts w:hint="eastAsia" w:ascii="Times New Roman" w:hAnsi="Times New Roman" w:eastAsia="游明朝"/>
                <w:sz w:val="18"/>
              </w:rPr>
              <w:t xml:space="preserve">Abraはチリにおける大規模資源（Cerro</w:t>
            </w:r>
            <w:r>
              <w:rPr>
                <w:rFonts w:ascii="Times New Roman" w:hAnsi="Times New Roman" w:eastAsia="游明朝"/>
                <w:sz w:val="18"/>
              </w:rPr>
              <w:t xml:space="preserve"> </w:t>
            </w:r>
            <w:r>
              <w:rPr>
                <w:rFonts w:hint="eastAsia" w:ascii="Times New Roman" w:hAnsi="Times New Roman" w:eastAsia="游明朝"/>
                <w:sz w:val="18"/>
              </w:rPr>
              <w:t xml:space="preserve">Verdeクラスのコンセントレーター設置が可能な規模）。Codelcoとのパートナーシップ</w:t>
            </w:r>
          </w:p>
        </w:tc>
        <w:tc>
          <w:tcPr/>
          <w:p>
            <w:pPr>
              <w:pStyle w:val="Compact"/>
            </w:pPr>
            <w:r>
              <w:rPr>
                <w:rFonts w:ascii="Times New Roman" w:hAnsi="Times New Roman" w:eastAsia="游明朝"/>
                <w:sz w:val="18"/>
              </w:rPr>
              <w:t xml:space="preserve">Q3 2023 EC, p.5; Q4 2023 EC, p.7</w:t>
            </w:r>
          </w:p>
        </w:tc>
      </w:tr>
      <w:tr>
        <w:tc>
          <w:tcPr/>
          <w:p>
            <w:pPr>
              <w:pStyle w:val="Compact"/>
            </w:pPr>
            <w:r>
              <w:rPr>
                <w:rFonts w:ascii="Times New Roman" w:hAnsi="Times New Roman" w:eastAsia="游明朝"/>
                <w:sz w:val="18"/>
              </w:rPr>
              <w:t xml:space="preserve">4</w:t>
            </w:r>
          </w:p>
        </w:tc>
        <w:tc>
          <w:tcPr/>
          <w:p>
            <w:pPr>
              <w:pStyle w:val="Compact"/>
            </w:pPr>
            <w:r>
              <w:rPr>
                <w:rFonts w:ascii="Times New Roman" w:hAnsi="Times New Roman" w:eastAsia="游明朝"/>
                <w:sz w:val="18"/>
              </w:rPr>
              <w:t xml:space="preserve">Safford/Lone </w:t>
            </w:r>
            <w:r>
              <w:rPr>
                <w:rFonts w:hint="eastAsia" w:ascii="Times New Roman" w:hAnsi="Times New Roman" w:eastAsia="游明朝"/>
                <w:sz w:val="18"/>
              </w:rPr>
              <w:t xml:space="preserve">Star地区に大規模資源を確認済みで、Morenci隣接の立地利点。FCXの将来のコーナーストーンアセット候補</w:t>
            </w:r>
          </w:p>
        </w:tc>
        <w:tc>
          <w:tcPr/>
          <w:p>
            <w:pPr>
              <w:pStyle w:val="Compact"/>
            </w:pPr>
            <w:r>
              <w:rPr>
                <w:rFonts w:ascii="Times New Roman" w:hAnsi="Times New Roman" w:eastAsia="游明朝"/>
                <w:sz w:val="18"/>
              </w:rPr>
              <w:t xml:space="preserve">Q4 2023 EC, p.7; Q2 2023 EC, p.5-6</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米国プロジェクトは他国比で優位（ロイヤルティなし、連邦税率が低い、マイノリティ持分なし、コミュニティサポートが強い）</w:t>
            </w:r>
          </w:p>
        </w:tc>
        <w:tc>
          <w:tcPr/>
          <w:p>
            <w:pPr>
              <w:pStyle w:val="Compact"/>
            </w:pPr>
            <w:r>
              <w:rPr>
                <w:rFonts w:ascii="Times New Roman" w:hAnsi="Times New Roman" w:eastAsia="游明朝"/>
                <w:sz w:val="18"/>
              </w:rPr>
              <w:t xml:space="preserve">Q4 2023 EC, p.8-9</w:t>
            </w:r>
          </w:p>
        </w:tc>
      </w:tr>
      <w:tr>
        <w:tc>
          <w:tcPr/>
          <w:p>
            <w:pPr>
              <w:pStyle w:val="Compact"/>
            </w:pPr>
            <w:r>
              <w:rPr>
                <w:rFonts w:ascii="Times New Roman" w:hAnsi="Times New Roman" w:eastAsia="游明朝"/>
                <w:sz w:val="18"/>
              </w:rPr>
              <w:t xml:space="preserve">6</w:t>
            </w:r>
          </w:p>
        </w:tc>
        <w:tc>
          <w:tcPr/>
          <w:p>
            <w:pPr>
              <w:pStyle w:val="Compact"/>
            </w:pPr>
            <w:r>
              <w:rPr>
                <w:rFonts w:hint="eastAsia" w:ascii="Times New Roman" w:hAnsi="Times New Roman" w:eastAsia="游明朝"/>
                <w:sz w:val="18"/>
              </w:rPr>
              <w:t xml:space="preserve">プロジェクト執行に豊富な実績（Grasbergの地下転換、インドネシア製錬所建設等）を有する</w:t>
            </w:r>
          </w:p>
        </w:tc>
        <w:tc>
          <w:tcPr/>
          <w:p>
            <w:pPr>
              <w:pStyle w:val="Compact"/>
            </w:pPr>
            <w:r>
              <w:rPr>
                <w:rFonts w:ascii="Times New Roman" w:hAnsi="Times New Roman" w:eastAsia="游明朝"/>
                <w:sz w:val="18"/>
              </w:rPr>
              <w:t xml:space="preserve">Q4 2023 EC, p.7-8</w:t>
            </w:r>
          </w:p>
        </w:tc>
      </w:tr>
    </w:tbl>
    <w:bookmarkEnd w:id="31"/>
    <w:bookmarkStart w:id="32" w:name="更新情報直近1年-4"/>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強化</w:t>
      </w:r>
    </w:p>
    <w:p>
      <w:pPr>
        <w:pStyle w:val="BodyText"/>
      </w:pPr>
      <w:r>
        <w:rPr>
          <w:rFonts w:hint="eastAsia"/>
          <w:b/>
          <w:bCs/>
        </w:rPr>
        <w:t xml:space="preserve">初期仮説への影響:</w:t>
      </w:r>
      <w:r>
        <w:t xml:space="preserve"> </w:t>
      </w:r>
      <w:r>
        <w:rPr>
          <w:rFonts w:hint="eastAsia"/>
        </w:rPr>
        <w:t xml:space="preserve">初期仮説構築時点ではBagdad拡張は「タイミング未定のオプション」という位置づけだったが、直近1年で2026年後半の投資決定を目標に工学設計・ベンダー固定価格交渉が進行中。El</w:t>
      </w:r>
      <w:r>
        <w:t xml:space="preserve"> </w:t>
      </w:r>
      <w:r>
        <w:rPr>
          <w:rFonts w:hint="eastAsia"/>
        </w:rPr>
        <w:t xml:space="preserve">Abraでは17億ポンド超の銅埋蔵量が新規追加され、環境影響評価書の提出が2026年上半期に計画されるなど、許認可プロセスが本格始動。Bagdadの自律走行トラック転換も33台中12台が稼働済みで、技術的リスクの低減が進んでいる。「米国銅生産50%超増産」の実現可能性は初期仮説時点より具体化。</w:t>
      </w:r>
    </w:p>
    <w:p>
      <w:pPr>
        <w:pStyle w:val="Compact"/>
        <w:numPr>
          <w:ilvl w:val="0"/>
          <w:numId w:val="1005"/>
        </w:numPr>
      </w:pPr>
      <w:r>
        <w:rPr>
          <w:rFonts w:hint="eastAsia"/>
        </w:rPr>
        <w:t xml:space="preserve">Bagdad拡張で2026年後半の投資決定を目標に、工学設計の深掘り・経済性再テスト・主要コンポーネントの固定価格確保を進行中。Q4</w:t>
      </w:r>
      <w:r>
        <w:t xml:space="preserve"> 2025 EC, p.6</w:t>
      </w:r>
    </w:p>
    <w:p>
      <w:pPr>
        <w:pStyle w:val="Compact"/>
        <w:numPr>
          <w:ilvl w:val="0"/>
          <w:numId w:val="1005"/>
        </w:numPr>
      </w:pPr>
      <w:r>
        <w:rPr>
          <w:rFonts w:hint="eastAsia"/>
        </w:rPr>
        <w:t xml:space="preserve">Bagdadで33台中12台の自律走行トラック稼働。残りも数カ月以内にサービス開始予定。Q1</w:t>
      </w:r>
      <w:r>
        <w:t xml:space="preserve"> 2025 EC, p.5</w:t>
      </w:r>
    </w:p>
    <w:p>
      <w:pPr>
        <w:pStyle w:val="Compact"/>
        <w:numPr>
          <w:ilvl w:val="0"/>
          <w:numId w:val="1005"/>
        </w:numPr>
      </w:pPr>
      <w:r>
        <w:t xml:space="preserve">El </w:t>
      </w:r>
      <w:r>
        <w:rPr>
          <w:rFonts w:hint="eastAsia"/>
        </w:rPr>
        <w:t xml:space="preserve">Abraで17億ポンド超の銅埋蔵量を新規追加。Cerro</w:t>
      </w:r>
      <w:r>
        <w:t xml:space="preserve"> </w:t>
      </w:r>
      <w:r>
        <w:rPr>
          <w:rFonts w:hint="eastAsia"/>
        </w:rPr>
        <w:t xml:space="preserve">Verdeに近いポジションに。Q4</w:t>
      </w:r>
      <w:r>
        <w:t xml:space="preserve"> 2025 EC, p.5-6</w:t>
      </w:r>
    </w:p>
    <w:p>
      <w:pPr>
        <w:pStyle w:val="Compact"/>
        <w:numPr>
          <w:ilvl w:val="0"/>
          <w:numId w:val="1005"/>
        </w:numPr>
      </w:pPr>
      <w:r>
        <w:t xml:space="preserve">El </w:t>
      </w:r>
      <w:r>
        <w:rPr>
          <w:rFonts w:hint="eastAsia"/>
        </w:rPr>
        <w:t xml:space="preserve">Abraの環境影響評価書を2026年上半期に提出予定。Q4</w:t>
      </w:r>
      <w:r>
        <w:t xml:space="preserve"> 2025 EC, p.6</w:t>
      </w:r>
    </w:p>
    <w:p>
      <w:pPr>
        <w:pStyle w:val="Compact"/>
        <w:numPr>
          <w:ilvl w:val="0"/>
          <w:numId w:val="1005"/>
        </w:numPr>
      </w:pPr>
      <w:r>
        <w:t xml:space="preserve">El </w:t>
      </w:r>
      <w:r>
        <w:rPr>
          <w:rFonts w:hint="eastAsia"/>
        </w:rPr>
        <w:t xml:space="preserve">Abraでリーチパッド延長と加温ストックパイル注入テスト（2026年）を計画中。Q4</w:t>
      </w:r>
      <w:r>
        <w:t xml:space="preserve"> 2025 EC, p.4</w:t>
      </w:r>
    </w:p>
    <w:p>
      <w:pPr>
        <w:pStyle w:val="Compact"/>
        <w:numPr>
          <w:ilvl w:val="0"/>
          <w:numId w:val="1005"/>
        </w:numPr>
      </w:pPr>
      <w:r>
        <w:rPr>
          <w:rFonts w:hint="eastAsia"/>
        </w:rPr>
        <w:t xml:space="preserve">米国で今後4-5年間に銅生産50%超の増加ポテンシャルと明言。Q4</w:t>
      </w:r>
      <w:r>
        <w:t xml:space="preserve"> 2025 EC, p.7</w:t>
      </w:r>
    </w:p>
    <w:p>
      <w:pPr>
        <w:pStyle w:val="Compact"/>
        <w:numPr>
          <w:ilvl w:val="0"/>
          <w:numId w:val="1005"/>
        </w:numPr>
      </w:pPr>
      <w:r>
        <w:rPr>
          <w:rFonts w:hint="eastAsia"/>
        </w:rPr>
        <w:t xml:space="preserve">出典:</w:t>
      </w:r>
      <w:r>
        <w:t xml:space="preserve"> Q1 2025 EC (2025-04-24), p.5; Q4 2025 EC (2026-01-22), p.4-7</w:t>
      </w:r>
    </w:p>
    <w:bookmarkEnd w:id="32"/>
    <w:bookmarkStart w:id="33" w:name="納得度-4"/>
    <w:p>
      <w:pPr>
        <w:pStyle w:val="Heading3"/>
      </w:pPr>
      <w:r>
        <w:rPr>
          <w:rFonts w:hint="eastAsia"/>
        </w:rPr>
        <w:t xml:space="preserve">納得度</w:t>
      </w:r>
    </w:p>
    <w:p>
      <w:pPr>
        <w:pStyle w:val="FirstParagraph"/>
      </w:pPr>
      <w:r>
        <w:t xml:space="preserve">□ 90%　□ 70%　□ 50%　□ 30%　□ 10%</w:t>
      </w:r>
    </w:p>
    <w:bookmarkEnd w:id="33"/>
    <w:bookmarkStart w:id="34" w:name="備考任意-4"/>
    <w:p>
      <w:pPr>
        <w:pStyle w:val="Heading3"/>
      </w:pPr>
      <w:r>
        <w:rPr>
          <w:rFonts w:hint="eastAsia"/>
        </w:rPr>
        <w:t xml:space="preserve">備考（任意）</w:t>
      </w:r>
    </w:p>
    <w:p>
      <w:r>
        <w:pict>
          <v:rect style="width:0;height:1.5pt" o:hralign="center" o:hrstd="t" o:hr="t"/>
        </w:pict>
      </w:r>
    </w:p>
    <w:bookmarkEnd w:id="34"/>
    <w:bookmarkEnd w:id="35"/>
    <w:bookmarkStart w:id="40" w:name="仮説-68"/>
    <w:p>
      <w:pPr>
        <w:pStyle w:val="Heading2"/>
      </w:pPr>
      <w:r>
        <w:rPr>
          <w:rFonts w:hint="eastAsia"/>
        </w:rPr>
        <w:t xml:space="preserve">仮説</w:t>
      </w:r>
      <w:r>
        <w:t xml:space="preserve"> 6/8</w:t>
      </w:r>
    </w:p>
    <w:p>
      <w:pPr>
        <w:pStyle w:val="FirstParagraph"/>
      </w:pPr>
      <w:r>
        <w:rPr>
          <w:rFonts w:hint="eastAsia"/>
          <w:b/>
          <w:bCs/>
        </w:rPr>
        <w:t xml:space="preserve">インドネシア製錬所完成と操業権延長により、PT-FIの長期資産価値が大幅に向上する</w:t>
      </w:r>
    </w:p>
    <w:bookmarkStart w:id="36" w:name="根拠情報-5"/>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世界最大の単一ライン銅製錬施設を建設中。2018年のインドネシア政府との合意に基づく下流投資コミットメントの実行</w:t>
            </w:r>
          </w:p>
        </w:tc>
        <w:tc>
          <w:tcPr/>
          <w:p>
            <w:pPr>
              <w:pStyle w:val="Compact"/>
            </w:pPr>
            <w:r>
              <w:rPr>
                <w:rFonts w:ascii="Times New Roman" w:hAnsi="Times New Roman" w:eastAsia="游明朝"/>
                <w:sz w:val="18"/>
              </w:rPr>
              <w:t xml:space="preserve">Q1 2023 EC, p.6; Q2 2023 EC, p.3</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製錬所完成がインドネシアでの2041年以降の操業権延長の前提条件。延長が実現すれば新たな埋蔵量開発・探鉱が可能に</w:t>
            </w:r>
          </w:p>
        </w:tc>
        <w:tc>
          <w:tcPr/>
          <w:p>
            <w:pPr>
              <w:pStyle w:val="Compact"/>
            </w:pPr>
            <w:r>
              <w:rPr>
                <w:rFonts w:ascii="Times New Roman" w:hAnsi="Times New Roman" w:eastAsia="游明朝"/>
                <w:sz w:val="18"/>
              </w:rPr>
              <w:t xml:space="preserve">Q1 2023 EC, p.10-11; Q2 2024 EC, p.2</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製錬所建設プロジェクトは困難な環境下で予算内・スケジュール通りに進捗。2024年中に建設完了・稼働開始予定</w:t>
            </w:r>
          </w:p>
        </w:tc>
        <w:tc>
          <w:tcPr/>
          <w:p>
            <w:pPr>
              <w:pStyle w:val="Compact"/>
            </w:pPr>
            <w:r>
              <w:rPr>
                <w:rFonts w:ascii="Times New Roman" w:hAnsi="Times New Roman" w:eastAsia="游明朝"/>
                <w:sz w:val="18"/>
              </w:rPr>
              <w:t xml:space="preserve">Q3 2023 EC, p.2; Q4 2023 EC, p.4-5</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完全統合型生産者となることで輸出依存リスクが低減し、インドネシア政府との関係が一層強化</w:t>
            </w:r>
          </w:p>
        </w:tc>
        <w:tc>
          <w:tcPr/>
          <w:p>
            <w:pPr>
              <w:pStyle w:val="Compact"/>
            </w:pPr>
            <w:r>
              <w:rPr>
                <w:rFonts w:ascii="Times New Roman" w:hAnsi="Times New Roman" w:eastAsia="游明朝"/>
                <w:sz w:val="18"/>
              </w:rPr>
              <w:t xml:space="preserve">Q4 2023 EC, p.4-5; Q2 2024 EC, p.2</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貴金属精製所も併設され、インドネシアの全精鉱を国内処理可能に</w:t>
            </w:r>
          </w:p>
        </w:tc>
        <w:tc>
          <w:tcPr/>
          <w:p>
            <w:pPr>
              <w:pStyle w:val="Compact"/>
            </w:pPr>
            <w:r>
              <w:rPr>
                <w:rFonts w:ascii="Times New Roman" w:hAnsi="Times New Roman" w:eastAsia="游明朝"/>
                <w:sz w:val="18"/>
              </w:rPr>
              <w:t xml:space="preserve">Q1 2023 EC, p.6</w:t>
            </w:r>
          </w:p>
        </w:tc>
      </w:tr>
      <w:tr>
        <w:tc>
          <w:tcPr/>
          <w:p>
            <w:pPr>
              <w:pStyle w:val="Compact"/>
            </w:pPr>
            <w:r>
              <w:rPr>
                <w:rFonts w:ascii="Times New Roman" w:hAnsi="Times New Roman" w:eastAsia="游明朝"/>
                <w:sz w:val="18"/>
              </w:rPr>
              <w:t xml:space="preserve">6</w:t>
            </w:r>
          </w:p>
        </w:tc>
        <w:tc>
          <w:tcPr/>
          <w:p>
            <w:pPr>
              <w:pStyle w:val="Compact"/>
            </w:pPr>
            <w:r>
              <w:rPr>
                <w:rFonts w:hint="eastAsia" w:ascii="Times New Roman" w:hAnsi="Times New Roman" w:eastAsia="游明朝"/>
                <w:sz w:val="18"/>
              </w:rPr>
              <w:t xml:space="preserve">Prabowo新大統領政権との関係も良好で、Adkerson会長が30年来の関係を有する</w:t>
            </w:r>
          </w:p>
        </w:tc>
        <w:tc>
          <w:tcPr/>
          <w:p>
            <w:pPr>
              <w:pStyle w:val="Compact"/>
            </w:pPr>
            <w:r>
              <w:rPr>
                <w:rFonts w:ascii="Times New Roman" w:hAnsi="Times New Roman" w:eastAsia="游明朝"/>
                <w:sz w:val="18"/>
              </w:rPr>
              <w:t xml:space="preserve">Q3 2024 EC, p.2</w:t>
            </w:r>
          </w:p>
        </w:tc>
      </w:tr>
    </w:tbl>
    <w:bookmarkEnd w:id="36"/>
    <w:bookmarkStart w:id="37" w:name="更新情報直近1年-5"/>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強化</w:t>
      </w:r>
    </w:p>
    <w:p>
      <w:pPr>
        <w:pStyle w:val="BodyText"/>
      </w:pPr>
      <w:r>
        <w:rPr>
          <w:rFonts w:hint="eastAsia"/>
          <w:b/>
          <w:bCs/>
        </w:rPr>
        <w:t xml:space="preserve">初期仮説への影響:</w:t>
      </w:r>
      <w:r>
        <w:t xml:space="preserve"> </w:t>
      </w:r>
      <w:r>
        <w:rPr>
          <w:rFonts w:hint="eastAsia"/>
        </w:rPr>
        <w:t xml:space="preserve">初期仮説構築時点では製錬所は「建設中〜稼働開始直前」という段階で、2024年10月に火災事故が発生し復旧が課題だった。直近1年で修理は計画を上回るペースで進行し、2025年5月末に予定より1カ月早く稼働再開。Q2</w:t>
      </w:r>
      <w:r>
        <w:t xml:space="preserve"> </w:t>
      </w:r>
      <w:r>
        <w:rPr>
          <w:rFonts w:hint="eastAsia"/>
        </w:rPr>
        <w:t xml:space="preserve">2025でのスタートアップが順調に進み、月末までに最初のカソード生産を見込む。貴金属精製所も2025年3月にPrabowo大統領が開所式に出席し稼働開始済み。完全統合型生産者としての地位が確立されつつあり、操業権延長交渉の追い風となっている。2041年延長の正式合意はまだだが、政府との関係は極めて良好。</w:t>
      </w:r>
    </w:p>
    <w:p>
      <w:pPr>
        <w:pStyle w:val="Compact"/>
        <w:numPr>
          <w:ilvl w:val="0"/>
          <w:numId w:val="1006"/>
        </w:numPr>
      </w:pPr>
      <w:r>
        <w:rPr>
          <w:rFonts w:hint="eastAsia"/>
        </w:rPr>
        <w:t xml:space="preserve">製錬所修理が計画を1カ月前倒しで進行し、2025年5月末に稼働再開。Q1</w:t>
      </w:r>
      <w:r>
        <w:t xml:space="preserve"> 2025 EC, p.3</w:t>
      </w:r>
    </w:p>
    <w:p>
      <w:pPr>
        <w:pStyle w:val="Compact"/>
        <w:numPr>
          <w:ilvl w:val="0"/>
          <w:numId w:val="1006"/>
        </w:numPr>
      </w:pPr>
      <w:r>
        <w:t xml:space="preserve">Q2 </w:t>
      </w:r>
      <w:r>
        <w:rPr>
          <w:rFonts w:hint="eastAsia"/>
        </w:rPr>
        <w:t xml:space="preserve">2025中にスタートアップが進行し、月末までに最初のカソード生産見込み。Q2</w:t>
      </w:r>
      <w:r>
        <w:t xml:space="preserve"> 2025 EC, p.3</w:t>
      </w:r>
    </w:p>
    <w:p>
      <w:pPr>
        <w:pStyle w:val="Compact"/>
        <w:numPr>
          <w:ilvl w:val="0"/>
          <w:numId w:val="1006"/>
        </w:numPr>
      </w:pPr>
      <w:r>
        <w:rPr>
          <w:rFonts w:hint="eastAsia"/>
        </w:rPr>
        <w:t xml:space="preserve">貴金属精製所が稼働開始。2025年3月にPrabowo大統領が開所式に出席。Q1</w:t>
      </w:r>
      <w:r>
        <w:t xml:space="preserve"> 2025 EC, p.2</w:t>
      </w:r>
    </w:p>
    <w:p>
      <w:pPr>
        <w:pStyle w:val="Compact"/>
        <w:numPr>
          <w:ilvl w:val="0"/>
          <w:numId w:val="1006"/>
        </w:numPr>
      </w:pPr>
      <w:r>
        <w:rPr>
          <w:rFonts w:hint="eastAsia"/>
        </w:rPr>
        <w:t xml:space="preserve">2024年末に最初の金バー生産に成功。Q4</w:t>
      </w:r>
      <w:r>
        <w:t xml:space="preserve"> 2024 EC, p.4</w:t>
      </w:r>
    </w:p>
    <w:p>
      <w:pPr>
        <w:pStyle w:val="Compact"/>
        <w:numPr>
          <w:ilvl w:val="0"/>
          <w:numId w:val="1006"/>
        </w:numPr>
      </w:pPr>
      <w:r>
        <w:rPr>
          <w:rFonts w:hint="eastAsia"/>
        </w:rPr>
        <w:t xml:space="preserve">米国-インドネシア貿易協定が締結され、両国関係が改善。Q2</w:t>
      </w:r>
      <w:r>
        <w:t xml:space="preserve"> 2025 EC, p.2</w:t>
      </w:r>
    </w:p>
    <w:p>
      <w:pPr>
        <w:pStyle w:val="Compact"/>
        <w:numPr>
          <w:ilvl w:val="0"/>
          <w:numId w:val="1006"/>
        </w:numPr>
      </w:pPr>
      <w:r>
        <w:rPr>
          <w:rFonts w:hint="eastAsia"/>
        </w:rPr>
        <w:t xml:space="preserve">完全統合型生産者としての地位確立で、操業権延長交渉を進める土台が整う。Q1</w:t>
      </w:r>
      <w:r>
        <w:t xml:space="preserve"> 2025 EC, p.2; Q2 2025 EC, p.2</w:t>
      </w:r>
    </w:p>
    <w:p>
      <w:pPr>
        <w:pStyle w:val="Compact"/>
        <w:numPr>
          <w:ilvl w:val="0"/>
          <w:numId w:val="1006"/>
        </w:numPr>
      </w:pPr>
      <w:r>
        <w:rPr>
          <w:rFonts w:hint="eastAsia"/>
        </w:rPr>
        <w:t xml:space="preserve">出典:</w:t>
      </w:r>
      <w:r>
        <w:t xml:space="preserve"> Q1 2025 EC (2025-04-24), p.2-3; Q2 2025 EC (2025-07-23), p.2-3; Q4 2025 EC (2026-01-22), p.2</w:t>
      </w:r>
    </w:p>
    <w:bookmarkEnd w:id="37"/>
    <w:bookmarkStart w:id="38" w:name="納得度-5"/>
    <w:p>
      <w:pPr>
        <w:pStyle w:val="Heading3"/>
      </w:pPr>
      <w:r>
        <w:rPr>
          <w:rFonts w:hint="eastAsia"/>
        </w:rPr>
        <w:t xml:space="preserve">納得度</w:t>
      </w:r>
    </w:p>
    <w:p>
      <w:pPr>
        <w:pStyle w:val="FirstParagraph"/>
      </w:pPr>
      <w:r>
        <w:t xml:space="preserve">□ 90%　□ 70%　□ 50%　□ 30%　□ 10%</w:t>
      </w:r>
    </w:p>
    <w:bookmarkEnd w:id="38"/>
    <w:bookmarkStart w:id="39" w:name="備考任意-5"/>
    <w:p>
      <w:pPr>
        <w:pStyle w:val="Heading3"/>
      </w:pPr>
      <w:r>
        <w:rPr>
          <w:rFonts w:hint="eastAsia"/>
        </w:rPr>
        <w:t xml:space="preserve">備考（任意）</w:t>
      </w:r>
    </w:p>
    <w:p>
      <w:r>
        <w:pict>
          <v:rect style="width:0;height:1.5pt" o:hralign="center" o:hrstd="t" o:hr="t"/>
        </w:pict>
      </w:r>
    </w:p>
    <w:bookmarkEnd w:id="39"/>
    <w:bookmarkEnd w:id="40"/>
    <w:bookmarkStart w:id="45" w:name="仮説-78"/>
    <w:p>
      <w:pPr>
        <w:pStyle w:val="Heading2"/>
      </w:pPr>
      <w:r>
        <w:rPr>
          <w:rFonts w:hint="eastAsia"/>
        </w:rPr>
        <w:t xml:space="preserve">仮説</w:t>
      </w:r>
      <w:r>
        <w:t xml:space="preserve"> 7/8</w:t>
      </w:r>
    </w:p>
    <w:p>
      <w:pPr>
        <w:pStyle w:val="FirstParagraph"/>
      </w:pPr>
      <w:r>
        <w:rPr>
          <w:rFonts w:hint="eastAsia"/>
          <w:b/>
          <w:bCs/>
        </w:rPr>
        <w:t xml:space="preserve">【リスク仮説】Grasberg地区の操業リスク（泥流・洪水・地下鉱山の技術的リスク）が計画を大幅に毀損するリスク</w:t>
      </w:r>
    </w:p>
    <w:bookmarkStart w:id="41" w:name="根拠情報-6"/>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ascii="Times New Roman" w:hAnsi="Times New Roman" w:eastAsia="游明朝"/>
                <w:sz w:val="18"/>
              </w:rPr>
              <w:t xml:space="preserve">Q1 </w:t>
            </w:r>
            <w:r>
              <w:rPr>
                <w:rFonts w:hint="eastAsia" w:ascii="Times New Roman" w:hAnsi="Times New Roman" w:eastAsia="游明朝"/>
                <w:sz w:val="18"/>
              </w:rPr>
              <w:t xml:space="preserve">2023に大規模洪水イベントが発生し、Grasberg操業が一時的に中断。世界で最も降水量の多い地域の一つに立地</w:t>
            </w:r>
          </w:p>
        </w:tc>
        <w:tc>
          <w:tcPr/>
          <w:p>
            <w:pPr>
              <w:pStyle w:val="Compact"/>
            </w:pPr>
            <w:r>
              <w:rPr>
                <w:rFonts w:ascii="Times New Roman" w:hAnsi="Times New Roman" w:eastAsia="游明朝"/>
                <w:sz w:val="18"/>
              </w:rPr>
              <w:t xml:space="preserve">Q1 2023 EC, p.2</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ブロックケーブ採掘は世界最大規模で高い技術的複雑性を伴う。地下採掘への全面転換完了からまだ数年</w:t>
            </w:r>
          </w:p>
        </w:tc>
        <w:tc>
          <w:tcPr/>
          <w:p>
            <w:pPr>
              <w:pStyle w:val="Compact"/>
            </w:pPr>
            <w:r>
              <w:rPr>
                <w:rFonts w:ascii="Times New Roman" w:hAnsi="Times New Roman" w:eastAsia="游明朝"/>
                <w:sz w:val="18"/>
              </w:rPr>
              <w:t xml:space="preserve">Q4 2023 EC, p.3-4</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インドネシアの輸出ライセンス取得が行政遅延で繰り返し販売に影響（Q2</w:t>
            </w:r>
            <w:r>
              <w:rPr>
                <w:rFonts w:ascii="Times New Roman" w:hAnsi="Times New Roman" w:eastAsia="游明朝"/>
                <w:sz w:val="18"/>
              </w:rPr>
              <w:t xml:space="preserve"> 2023、Q1 </w:t>
            </w:r>
            <w:r>
              <w:rPr>
                <w:rFonts w:hint="eastAsia" w:ascii="Times New Roman" w:hAnsi="Times New Roman" w:eastAsia="游明朝"/>
                <w:sz w:val="18"/>
              </w:rPr>
              <w:t xml:space="preserve">2024等）</w:t>
            </w:r>
          </w:p>
        </w:tc>
        <w:tc>
          <w:tcPr/>
          <w:p>
            <w:pPr>
              <w:pStyle w:val="Compact"/>
            </w:pPr>
            <w:r>
              <w:rPr>
                <w:rFonts w:ascii="Times New Roman" w:hAnsi="Times New Roman" w:eastAsia="游明朝"/>
                <w:sz w:val="18"/>
              </w:rPr>
              <w:t xml:space="preserve">Q2 2023 EC, p.2; Q1 2024 EC, p.5</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新製錬所で火災事故発生（2024年10月）。酸生産施設のガスクリーニング設備が損傷し操業が一時停止</w:t>
            </w:r>
          </w:p>
        </w:tc>
        <w:tc>
          <w:tcPr/>
          <w:p>
            <w:pPr>
              <w:pStyle w:val="Compact"/>
            </w:pPr>
            <w:r>
              <w:rPr>
                <w:rFonts w:ascii="Times New Roman" w:hAnsi="Times New Roman" w:eastAsia="游明朝"/>
                <w:sz w:val="18"/>
              </w:rPr>
              <w:t xml:space="preserve">Q3 2024 EC, p.4</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インドネシア政府との関係は改善傾向だが、輸出関税の引き上げや規制変更リスクは継続</w:t>
            </w:r>
          </w:p>
        </w:tc>
        <w:tc>
          <w:tcPr/>
          <w:p>
            <w:pPr>
              <w:pStyle w:val="Compact"/>
            </w:pPr>
            <w:r>
              <w:rPr>
                <w:rFonts w:ascii="Times New Roman" w:hAnsi="Times New Roman" w:eastAsia="游明朝"/>
                <w:sz w:val="18"/>
              </w:rPr>
              <w:t xml:space="preserve">Q2 2023 EC, p.3; Q3 2023 EC, p.2</w:t>
            </w:r>
          </w:p>
        </w:tc>
      </w:tr>
    </w:tbl>
    <w:bookmarkEnd w:id="41"/>
    <w:bookmarkStart w:id="42" w:name="更新情報直近1年-6"/>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リスク顕在化</w:t>
      </w:r>
    </w:p>
    <w:p>
      <w:pPr>
        <w:pStyle w:val="BodyText"/>
      </w:pPr>
      <w:r>
        <w:rPr>
          <w:rFonts w:hint="eastAsia"/>
          <w:b/>
          <w:bCs/>
        </w:rPr>
        <w:t xml:space="preserve">初期仮説への影響:</w:t>
      </w:r>
      <w:r>
        <w:t xml:space="preserve"> </w:t>
      </w:r>
      <w:r>
        <w:rPr>
          <w:rFonts w:hint="eastAsia"/>
        </w:rPr>
        <w:t xml:space="preserve">初期仮説構築時点では操業リスクは「過去の洪水・ライセンス遅延レベル」として織り込んでいたが、2025年9月にGrasberg</w:t>
      </w:r>
      <w:r>
        <w:t xml:space="preserve"> Block </w:t>
      </w:r>
      <w:r>
        <w:rPr>
          <w:rFonts w:hint="eastAsia"/>
        </w:rPr>
        <w:t xml:space="preserve">Caveで前例のない泥流事故が発生し、同リスクが顕在化。年間銅販売量が計画比約10%減少し、完全復旧は2027年末まで必要。この事故は「より動的なケーブ管理計画」と「外部泥流リスクに対するより堅牢な制御・運用手順」の必要性を浮き彫りにした。完全復旧には2年を要する見込みで、当初のリスク想定を超える深刻度。ただし保険カバレッジ（最大$700M）と、Americas事業の好調がバッファとなっている。</w:t>
      </w:r>
    </w:p>
    <w:p>
      <w:pPr>
        <w:pStyle w:val="Compact"/>
        <w:numPr>
          <w:ilvl w:val="0"/>
          <w:numId w:val="1007"/>
        </w:numPr>
      </w:pPr>
      <w:r>
        <w:rPr>
          <w:rFonts w:hint="eastAsia"/>
        </w:rPr>
        <w:t xml:space="preserve">2025年9月にGrasberg</w:t>
      </w:r>
      <w:r>
        <w:t xml:space="preserve"> Block </w:t>
      </w:r>
      <w:r>
        <w:rPr>
          <w:rFonts w:hint="eastAsia"/>
        </w:rPr>
        <w:t xml:space="preserve">CaveのPB1Cで泥流事故発生。地区全体の操業に影響し、年間銅販売量が計画比約10%減少。Q4</w:t>
      </w:r>
      <w:r>
        <w:t xml:space="preserve"> 2025 EC, p.2, 5</w:t>
      </w:r>
    </w:p>
    <w:p>
      <w:pPr>
        <w:pStyle w:val="Compact"/>
        <w:numPr>
          <w:ilvl w:val="0"/>
          <w:numId w:val="1007"/>
        </w:numPr>
      </w:pPr>
      <w:r>
        <w:t xml:space="preserve">Grasberg Block </w:t>
      </w:r>
      <w:r>
        <w:rPr>
          <w:rFonts w:hint="eastAsia"/>
        </w:rPr>
        <w:t xml:space="preserve">Caveの完全復旧（PB1S+PB1C）は2027年まで必要。PB2・PB3は2026年Q2再開予定。Q4</w:t>
      </w:r>
      <w:r>
        <w:t xml:space="preserve"> 2025 EC, p.5</w:t>
      </w:r>
    </w:p>
    <w:p>
      <w:pPr>
        <w:pStyle w:val="Compact"/>
        <w:numPr>
          <w:ilvl w:val="0"/>
          <w:numId w:val="1007"/>
        </w:numPr>
      </w:pPr>
      <w:r>
        <w:rPr>
          <w:rFonts w:hint="eastAsia"/>
        </w:rPr>
        <w:t xml:space="preserve">事故調査の結果、「より動的なケーブ管理計画」と「外部泥流リスクへのより堅牢な制御」が必要と判明。Q4</w:t>
      </w:r>
      <w:r>
        <w:t xml:space="preserve"> 2025 EC, p.5</w:t>
      </w:r>
    </w:p>
    <w:p>
      <w:pPr>
        <w:pStyle w:val="Compact"/>
        <w:numPr>
          <w:ilvl w:val="0"/>
          <w:numId w:val="1007"/>
        </w:numPr>
      </w:pPr>
      <w:r>
        <w:rPr>
          <w:rFonts w:hint="eastAsia"/>
        </w:rPr>
        <w:t xml:space="preserve">地下損失に対し最大$700Mの損害保険カバレッジあり。Q4</w:t>
      </w:r>
      <w:r>
        <w:t xml:space="preserve"> 2025 EC, p.7</w:t>
      </w:r>
    </w:p>
    <w:p>
      <w:pPr>
        <w:pStyle w:val="Compact"/>
        <w:numPr>
          <w:ilvl w:val="0"/>
          <w:numId w:val="1007"/>
        </w:numPr>
      </w:pPr>
      <w:r>
        <w:rPr>
          <w:rFonts w:hint="eastAsia"/>
        </w:rPr>
        <w:t xml:space="preserve">事故にもかかわらず2025年調整後EBITDAは約$10B（2024年と同水準）。Americas事業の好調が補完。Q4</w:t>
      </w:r>
      <w:r>
        <w:t xml:space="preserve"> 2025 EC, p.2</w:t>
      </w:r>
    </w:p>
    <w:p>
      <w:pPr>
        <w:pStyle w:val="Compact"/>
        <w:numPr>
          <w:ilvl w:val="0"/>
          <w:numId w:val="1007"/>
        </w:numPr>
      </w:pPr>
      <w:r>
        <w:rPr>
          <w:rFonts w:hint="eastAsia"/>
        </w:rPr>
        <w:t xml:space="preserve">2026年後半には四半期約10億ポンドの銅販売ランレートへの回復を見込む。Q4</w:t>
      </w:r>
      <w:r>
        <w:t xml:space="preserve"> 2025 EC, p.7</w:t>
      </w:r>
    </w:p>
    <w:p>
      <w:pPr>
        <w:pStyle w:val="Compact"/>
        <w:numPr>
          <w:ilvl w:val="0"/>
          <w:numId w:val="1007"/>
        </w:numPr>
      </w:pPr>
      <w:r>
        <w:rPr>
          <w:rFonts w:hint="eastAsia"/>
        </w:rPr>
        <w:t xml:space="preserve">出典:</w:t>
      </w:r>
      <w:r>
        <w:t xml:space="preserve"> Q4 2025 EC (2026-01-22), p.2, 5, 7</w:t>
      </w:r>
    </w:p>
    <w:bookmarkEnd w:id="42"/>
    <w:bookmarkStart w:id="43" w:name="納得度-6"/>
    <w:p>
      <w:pPr>
        <w:pStyle w:val="Heading3"/>
      </w:pPr>
      <w:r>
        <w:rPr>
          <w:rFonts w:hint="eastAsia"/>
        </w:rPr>
        <w:t xml:space="preserve">納得度</w:t>
      </w:r>
    </w:p>
    <w:p>
      <w:pPr>
        <w:pStyle w:val="FirstParagraph"/>
      </w:pPr>
      <w:r>
        <w:t xml:space="preserve">□ 90%　□ 70%　□ 50%　□ 30%　□ 10%</w:t>
      </w:r>
    </w:p>
    <w:bookmarkEnd w:id="43"/>
    <w:bookmarkStart w:id="44" w:name="備考任意-6"/>
    <w:p>
      <w:pPr>
        <w:pStyle w:val="Heading3"/>
      </w:pPr>
      <w:r>
        <w:rPr>
          <w:rFonts w:hint="eastAsia"/>
        </w:rPr>
        <w:t xml:space="preserve">備考（任意）</w:t>
      </w:r>
    </w:p>
    <w:p>
      <w:r>
        <w:pict>
          <v:rect style="width:0;height:1.5pt" o:hralign="center" o:hrstd="t" o:hr="t"/>
        </w:pict>
      </w:r>
    </w:p>
    <w:bookmarkEnd w:id="44"/>
    <w:bookmarkEnd w:id="45"/>
    <w:bookmarkStart w:id="50" w:name="仮説-88"/>
    <w:p>
      <w:pPr>
        <w:pStyle w:val="Heading2"/>
      </w:pPr>
      <w:r>
        <w:rPr>
          <w:rFonts w:hint="eastAsia"/>
        </w:rPr>
        <w:t xml:space="preserve">仮説</w:t>
      </w:r>
      <w:r>
        <w:t xml:space="preserve"> 8/8</w:t>
      </w:r>
    </w:p>
    <w:p>
      <w:pPr>
        <w:pStyle w:val="FirstParagraph"/>
      </w:pPr>
      <w:r>
        <w:rPr>
          <w:rFonts w:hint="eastAsia"/>
          <w:b/>
          <w:bCs/>
        </w:rPr>
        <w:t xml:space="preserve">【リスク仮説】米国鉱山の低品位化・コスト上昇が利益率を圧迫し、リーチイニシアティブの効果を相殺するリスク</w:t>
      </w:r>
    </w:p>
    <w:bookmarkStart w:id="46" w:name="根拠情報-7"/>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米国鉱山の品位が年々低下。Q2</w:t>
            </w:r>
            <w:r>
              <w:rPr>
                <w:rFonts w:ascii="Times New Roman" w:hAnsi="Times New Roman" w:eastAsia="游明朝"/>
                <w:sz w:val="18"/>
              </w:rPr>
              <w:t xml:space="preserve"> </w:t>
            </w:r>
            <w:r>
              <w:rPr>
                <w:rFonts w:hint="eastAsia" w:ascii="Times New Roman" w:hAnsi="Times New Roman" w:eastAsia="游明朝"/>
                <w:sz w:val="18"/>
              </w:rPr>
              <w:t xml:space="preserve">2024でミル・リーチともに前年比10%超の品位低下を報告</w:t>
            </w:r>
          </w:p>
        </w:tc>
        <w:tc>
          <w:tcPr/>
          <w:p>
            <w:pPr>
              <w:pStyle w:val="Compact"/>
            </w:pPr>
            <w:r>
              <w:rPr>
                <w:rFonts w:ascii="Times New Roman" w:hAnsi="Times New Roman" w:eastAsia="游明朝"/>
                <w:sz w:val="18"/>
              </w:rPr>
              <w:t xml:space="preserve">Q2 2024 EC, p.4; Q1 2024 EC, p.4</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米国労働市場の逼迫が継続し、採用難・スキル不足が生産性に影響。遠隔地の鉱山では住居問題も</w:t>
            </w:r>
          </w:p>
        </w:tc>
        <w:tc>
          <w:tcPr/>
          <w:p>
            <w:pPr>
              <w:pStyle w:val="Compact"/>
            </w:pPr>
            <w:r>
              <w:rPr>
                <w:rFonts w:ascii="Times New Roman" w:hAnsi="Times New Roman" w:eastAsia="游明朝"/>
                <w:sz w:val="18"/>
              </w:rPr>
              <w:t xml:space="preserve">Q1 2023 EC, p.4, 12-13; Q4 2023 EC, p.3-4</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インフレによるコスト上昇（労務費・サービス・機器コンポーネント）が継続し、エネルギーコストの低下では完全相殺できず</w:t>
            </w:r>
          </w:p>
        </w:tc>
        <w:tc>
          <w:tcPr/>
          <w:p>
            <w:pPr>
              <w:pStyle w:val="Compact"/>
            </w:pPr>
            <w:r>
              <w:rPr>
                <w:rFonts w:ascii="Times New Roman" w:hAnsi="Times New Roman" w:eastAsia="游明朝"/>
                <w:sz w:val="18"/>
              </w:rPr>
              <w:t xml:space="preserve">Q1 2023 EC, p.6-7; Q4 2024 EC, p.3</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米国のユニットネットキャッシュコストが高止まり傾向。2023年通年$1.55/lb見通し時にも米国は$2.5-3.0/lb台で推移</w:t>
            </w:r>
          </w:p>
        </w:tc>
        <w:tc>
          <w:tcPr/>
          <w:p>
            <w:pPr>
              <w:pStyle w:val="Compact"/>
            </w:pPr>
            <w:r>
              <w:rPr>
                <w:rFonts w:ascii="Times New Roman" w:hAnsi="Times New Roman" w:eastAsia="游明朝"/>
                <w:sz w:val="18"/>
              </w:rPr>
              <w:t xml:space="preserve">Q1 2023 EC, p.6; Q3 2024 EC, p.3</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品位低下を補うための設備稼働率向上・自動化・技術導入には時間を要し、2024年時点でも「まだやるべきことがある」と経営陣が認識</w:t>
            </w:r>
          </w:p>
        </w:tc>
        <w:tc>
          <w:tcPr/>
          <w:p>
            <w:pPr>
              <w:pStyle w:val="Compact"/>
            </w:pPr>
            <w:r>
              <w:rPr>
                <w:rFonts w:ascii="Times New Roman" w:hAnsi="Times New Roman" w:eastAsia="游明朝"/>
                <w:sz w:val="18"/>
              </w:rPr>
              <w:t xml:space="preserve">Q1 2024 EC, p.4; Q3 2024 EC, p.3</w:t>
            </w:r>
          </w:p>
        </w:tc>
      </w:tr>
    </w:tbl>
    <w:bookmarkEnd w:id="46"/>
    <w:bookmarkStart w:id="47" w:name="更新情報直近1年-7"/>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リスク低減</w:t>
      </w:r>
    </w:p>
    <w:p>
      <w:pPr>
        <w:pStyle w:val="BodyText"/>
      </w:pPr>
      <w:r>
        <w:rPr>
          <w:rFonts w:hint="eastAsia"/>
          <w:b/>
          <w:bCs/>
        </w:rPr>
        <w:t xml:space="preserve">初期仮説への影響:</w:t>
      </w:r>
      <w:r>
        <w:t xml:space="preserve"> </w:t>
      </w:r>
      <w:r>
        <w:rPr>
          <w:rFonts w:hint="eastAsia"/>
        </w:rPr>
        <w:t xml:space="preserve">初期仮説構築時点では米国の低品位化・コスト上昇が利益率を継続的に圧迫し、改善の具体策が乏しかった。直近1年で、データアナリティクス活用による効率改善、労働力の定着率向上（Morenciの請負時間20%減）、Bagdadでの自律走行トラック転換成功など具体的なコスト削減成果が出始めた。2025年の米国銅生産は前年比5%増加し、2024-2025年の減産トレンドを反転。2027年までに米国ユニットコスト$2.50/lbの目標を設定し、リーチスケーリングと効率改善の組み合わせで達成を目指す。リスクは完全解消されていないが、改善の方向性が具体化しており初期仮説時点よりリスクは低減。</w:t>
      </w:r>
    </w:p>
    <w:p>
      <w:pPr>
        <w:pStyle w:val="Compact"/>
        <w:numPr>
          <w:ilvl w:val="0"/>
          <w:numId w:val="1008"/>
        </w:numPr>
      </w:pPr>
      <w:r>
        <w:rPr>
          <w:rFonts w:hint="eastAsia"/>
        </w:rPr>
        <w:t xml:space="preserve">米国銅生産が2025年に前年比5%増加し、2024-2025年の減産トレンドを反転。Q4</w:t>
      </w:r>
      <w:r>
        <w:t xml:space="preserve"> 2025 EC, p.4</w:t>
      </w:r>
    </w:p>
    <w:p>
      <w:pPr>
        <w:pStyle w:val="Compact"/>
        <w:numPr>
          <w:ilvl w:val="0"/>
          <w:numId w:val="1008"/>
        </w:numPr>
      </w:pPr>
      <w:r>
        <w:rPr>
          <w:rFonts w:hint="eastAsia"/>
        </w:rPr>
        <w:t xml:space="preserve">2026年に米国で8%の増産を計画。2027年までにユニットコスト$2.50/lbを目標設定。Q4</w:t>
      </w:r>
      <w:r>
        <w:t xml:space="preserve"> 2025 EC, p.4, 9</w:t>
      </w:r>
    </w:p>
    <w:p>
      <w:pPr>
        <w:pStyle w:val="Compact"/>
        <w:numPr>
          <w:ilvl w:val="0"/>
          <w:numId w:val="1008"/>
        </w:numPr>
      </w:pPr>
      <w:r>
        <w:rPr>
          <w:rFonts w:hint="eastAsia"/>
        </w:rPr>
        <w:t xml:space="preserve">Morenciの請負時間が直近数四半期で約20%減少し、内製化によるコスト改善が進行。Q1</w:t>
      </w:r>
      <w:r>
        <w:t xml:space="preserve"> 2025 EC, p.5</w:t>
      </w:r>
    </w:p>
    <w:p>
      <w:pPr>
        <w:pStyle w:val="Compact"/>
        <w:numPr>
          <w:ilvl w:val="0"/>
          <w:numId w:val="1008"/>
        </w:numPr>
      </w:pPr>
      <w:r>
        <w:rPr>
          <w:rFonts w:hint="eastAsia"/>
        </w:rPr>
        <w:t xml:space="preserve">Bagdadで33台中12台の自律走行トラックが稼働開始。他の米国鉱山への展開ポテンシャルを検証中。Q1</w:t>
      </w:r>
      <w:r>
        <w:t xml:space="preserve"> 2025 EC, p.5; Q4 2025 EC, p.4</w:t>
      </w:r>
    </w:p>
    <w:p>
      <w:pPr>
        <w:pStyle w:val="Compact"/>
        <w:numPr>
          <w:ilvl w:val="0"/>
          <w:numId w:val="1008"/>
        </w:numPr>
      </w:pPr>
      <w:r>
        <w:rPr>
          <w:rFonts w:hint="eastAsia"/>
        </w:rPr>
        <w:t xml:space="preserve">データアナリティクスを活用した効率改善で、積込・運搬・破砕・積み上げのKPIが改善トレンド。Q3</w:t>
      </w:r>
      <w:r>
        <w:t xml:space="preserve"> 2024 EC, p.3</w:t>
      </w:r>
    </w:p>
    <w:p>
      <w:pPr>
        <w:pStyle w:val="Compact"/>
        <w:numPr>
          <w:ilvl w:val="0"/>
          <w:numId w:val="1008"/>
        </w:numPr>
      </w:pPr>
      <w:r>
        <w:rPr>
          <w:rFonts w:hint="eastAsia"/>
        </w:rPr>
        <w:t xml:space="preserve">ただし南米ユニットコストは$2.57/lbに上昇しており、インフレ圧力は完全には解消されず。Q4</w:t>
      </w:r>
      <w:r>
        <w:t xml:space="preserve"> 2025 EC, p.4</w:t>
      </w:r>
    </w:p>
    <w:p>
      <w:pPr>
        <w:pStyle w:val="Compact"/>
        <w:numPr>
          <w:ilvl w:val="0"/>
          <w:numId w:val="1008"/>
        </w:numPr>
      </w:pPr>
      <w:r>
        <w:rPr>
          <w:rFonts w:hint="eastAsia"/>
        </w:rPr>
        <w:t xml:space="preserve">出典:</w:t>
      </w:r>
      <w:r>
        <w:t xml:space="preserve"> Q1 2025 EC (2025-04-24), p.5; Q4 2025 EC (2026-01-22), p.4, 9</w:t>
      </w:r>
    </w:p>
    <w:bookmarkEnd w:id="47"/>
    <w:bookmarkStart w:id="48" w:name="納得度-7"/>
    <w:p>
      <w:pPr>
        <w:pStyle w:val="Heading3"/>
      </w:pPr>
      <w:r>
        <w:rPr>
          <w:rFonts w:hint="eastAsia"/>
        </w:rPr>
        <w:t xml:space="preserve">納得度</w:t>
      </w:r>
    </w:p>
    <w:p>
      <w:pPr>
        <w:pStyle w:val="FirstParagraph"/>
      </w:pPr>
      <w:r>
        <w:t xml:space="preserve">□ 90%　□ 70%　□ 50%　□ 30%　□ 10%</w:t>
      </w:r>
    </w:p>
    <w:bookmarkEnd w:id="48"/>
    <w:bookmarkStart w:id="49" w:name="備考任意-7"/>
    <w:p>
      <w:pPr>
        <w:pStyle w:val="Heading3"/>
      </w:pPr>
      <w:r>
        <w:rPr>
          <w:rFonts w:hint="eastAsia"/>
        </w:rPr>
        <w:t xml:space="preserve">備考（任意）</w:t>
      </w:r>
    </w:p>
    <w:p>
      <w:r>
        <w:pict>
          <v:rect style="width:0;height:1.5pt" o:hralign="center" o:hrstd="t" o:hr="t"/>
        </w:pict>
      </w:r>
    </w:p>
    <w:bookmarkEnd w:id="49"/>
    <w:bookmarkEnd w:id="50"/>
    <w:bookmarkStart w:id="53" w:name="補足-sec-edgar-財務サマリー"/>
    <w:p>
      <w:pPr>
        <w:pStyle w:val="Heading2"/>
      </w:pPr>
      <w:r>
        <w:rPr>
          <w:rFonts w:hint="eastAsia"/>
        </w:rPr>
        <w:t xml:space="preserve">補足:</w:t>
      </w:r>
      <w:r>
        <w:t xml:space="preserve"> SEC EDGAR </w:t>
      </w:r>
      <w:r>
        <w:rPr>
          <w:rFonts w:hint="eastAsia"/>
        </w:rPr>
        <w:t xml:space="preserve">財務サマリー</w:t>
      </w:r>
    </w:p>
    <w:bookmarkStart w:id="51" w:name="初期仮説構築期間fy2023-fy2024"/>
    <w:p>
      <w:pPr>
        <w:pStyle w:val="Heading3"/>
      </w:pPr>
      <w:r>
        <w:rPr>
          <w:rFonts w:hint="eastAsia"/>
        </w:rPr>
        <w:t xml:space="preserve">初期仮説構築期間（FY2023</w:t>
      </w:r>
      <w:r>
        <w:t xml:space="preserve"> 〜 </w:t>
      </w:r>
      <w:r>
        <w:rPr>
          <w:rFonts w:hint="eastAsia"/>
        </w:rPr>
        <w:t xml:space="preserve">FY2024）</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項目</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FY2024</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FY2023</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増減</w:t>
            </w:r>
          </w:p>
        </w:tc>
      </w:tr>
      <w:tr>
        <w:tc>
          <w:tcPr/>
          <w:p>
            <w:pPr>
              <w:pStyle w:val="Compact"/>
            </w:pPr>
            <w:r>
              <w:rPr>
                <w:rFonts w:hint="eastAsia" w:ascii="Times New Roman" w:hAnsi="Times New Roman" w:eastAsia="游明朝"/>
                <w:sz w:val="18"/>
              </w:rPr>
              <w:t xml:space="preserve">総売上</w:t>
            </w:r>
          </w:p>
        </w:tc>
        <w:tc>
          <w:tcPr/>
          <w:p>
            <w:pPr>
              <w:pStyle w:val="Compact"/>
            </w:pPr>
            <w:r>
              <w:rPr>
                <w:rFonts w:ascii="Times New Roman" w:hAnsi="Times New Roman" w:eastAsia="游明朝"/>
                <w:sz w:val="18"/>
              </w:rPr>
              <w:t xml:space="preserve">$25.5B</w:t>
            </w:r>
          </w:p>
        </w:tc>
        <w:tc>
          <w:tcPr/>
          <w:p>
            <w:pPr>
              <w:pStyle w:val="Compact"/>
            </w:pPr>
            <w:r>
              <w:rPr>
                <w:rFonts w:ascii="Times New Roman" w:hAnsi="Times New Roman" w:eastAsia="游明朝"/>
                <w:sz w:val="18"/>
              </w:rPr>
              <w:t xml:space="preserve">$22.9B</w:t>
            </w:r>
          </w:p>
        </w:tc>
        <w:tc>
          <w:tcPr/>
          <w:p>
            <w:pPr>
              <w:pStyle w:val="Compact"/>
            </w:pPr>
            <w:r>
              <w:rPr>
                <w:rFonts w:ascii="Times New Roman" w:hAnsi="Times New Roman" w:eastAsia="游明朝"/>
                <w:sz w:val="18"/>
              </w:rPr>
              <w:t xml:space="preserve">+11.4%</w:t>
            </w:r>
          </w:p>
        </w:tc>
      </w:tr>
      <w:tr>
        <w:tc>
          <w:tcPr/>
          <w:p>
            <w:pPr>
              <w:pStyle w:val="Compact"/>
            </w:pPr>
            <w:r>
              <w:rPr>
                <w:rFonts w:ascii="Times New Roman" w:hAnsi="Times New Roman" w:eastAsia="游明朝"/>
                <w:sz w:val="18"/>
              </w:rPr>
              <w:t xml:space="preserve">EBITDA</w:t>
            </w:r>
          </w:p>
        </w:tc>
        <w:tc>
          <w:tcPr/>
          <w:p>
            <w:pPr>
              <w:pStyle w:val="Compact"/>
            </w:pPr>
            <w:r>
              <w:rPr>
                <w:rFonts w:ascii="Times New Roman" w:hAnsi="Times New Roman" w:eastAsia="游明朝"/>
                <w:sz w:val="18"/>
              </w:rPr>
              <w:t xml:space="preserve">$10.0B</w:t>
            </w:r>
          </w:p>
        </w:tc>
        <w:tc>
          <w:tcPr/>
          <w:p>
            <w:pPr>
              <w:pStyle w:val="Compact"/>
            </w:pPr>
            <w:r>
              <w:rPr>
                <w:rFonts w:ascii="Times New Roman" w:hAnsi="Times New Roman" w:eastAsia="游明朝"/>
                <w:sz w:val="18"/>
              </w:rPr>
              <w:t xml:space="preserve">$8.8B</w:t>
            </w:r>
          </w:p>
        </w:tc>
        <w:tc>
          <w:tcPr/>
          <w:p>
            <w:pPr>
              <w:pStyle w:val="Compact"/>
            </w:pPr>
            <w:r>
              <w:rPr>
                <w:rFonts w:ascii="Times New Roman" w:hAnsi="Times New Roman" w:eastAsia="游明朝"/>
                <w:sz w:val="18"/>
              </w:rPr>
              <w:t xml:space="preserve">+14%</w:t>
            </w:r>
          </w:p>
        </w:tc>
      </w:tr>
      <w:tr>
        <w:tc>
          <w:tcPr/>
          <w:p>
            <w:pPr>
              <w:pStyle w:val="Compact"/>
            </w:pPr>
            <w:r>
              <w:rPr>
                <w:rFonts w:hint="eastAsia" w:ascii="Times New Roman" w:hAnsi="Times New Roman" w:eastAsia="游明朝"/>
                <w:sz w:val="18"/>
              </w:rPr>
              <w:t xml:space="preserve">営業利益</w:t>
            </w:r>
          </w:p>
        </w:tc>
        <w:tc>
          <w:tcPr/>
          <w:p>
            <w:pPr>
              <w:pStyle w:val="Compact"/>
            </w:pPr>
            <w:r>
              <w:rPr>
                <w:rFonts w:ascii="Times New Roman" w:hAnsi="Times New Roman" w:eastAsia="游明朝"/>
                <w:sz w:val="18"/>
              </w:rPr>
              <w:t xml:space="preserve">$6.2B</w:t>
            </w:r>
          </w:p>
        </w:tc>
        <w:tc>
          <w:tcPr/>
          <w:p>
            <w:pPr>
              <w:pStyle w:val="Compact"/>
            </w:pPr>
            <w:r>
              <w:rPr>
                <w:rFonts w:ascii="Times New Roman" w:hAnsi="Times New Roman" w:eastAsia="游明朝"/>
                <w:sz w:val="18"/>
              </w:rPr>
              <w:t xml:space="preserve">$4.9B</w:t>
            </w:r>
          </w:p>
        </w:tc>
        <w:tc>
          <w:tcPr/>
          <w:p>
            <w:pPr>
              <w:pStyle w:val="Compact"/>
            </w:pPr>
            <w:r>
              <w:rPr>
                <w:rFonts w:ascii="Times New Roman" w:hAnsi="Times New Roman" w:eastAsia="游明朝"/>
                <w:sz w:val="18"/>
              </w:rPr>
              <w:t xml:space="preserve">+27%</w:t>
            </w:r>
          </w:p>
        </w:tc>
      </w:tr>
      <w:tr>
        <w:tc>
          <w:tcPr/>
          <w:p>
            <w:pPr>
              <w:pStyle w:val="Compact"/>
            </w:pPr>
            <w:r>
              <w:rPr>
                <w:rFonts w:hint="eastAsia" w:ascii="Times New Roman" w:hAnsi="Times New Roman" w:eastAsia="游明朝"/>
                <w:sz w:val="18"/>
              </w:rPr>
              <w:t xml:space="preserve">営業CF</w:t>
            </w:r>
          </w:p>
        </w:tc>
        <w:tc>
          <w:tcPr/>
          <w:p>
            <w:pPr>
              <w:pStyle w:val="Compact"/>
            </w:pPr>
            <w:r>
              <w:rPr>
                <w:rFonts w:ascii="Times New Roman" w:hAnsi="Times New Roman" w:eastAsia="游明朝"/>
                <w:sz w:val="18"/>
              </w:rPr>
              <w:t xml:space="preserve">$7.1B</w:t>
            </w:r>
          </w:p>
        </w:tc>
        <w:tc>
          <w:tcPr/>
          <w:p>
            <w:pPr>
              <w:pStyle w:val="Compact"/>
            </w:pPr>
            <w:r>
              <w:rPr>
                <w:rFonts w:ascii="Times New Roman" w:hAnsi="Times New Roman" w:eastAsia="游明朝"/>
                <w:sz w:val="18"/>
              </w:rPr>
              <w:t xml:space="preserve">$5.3B</w:t>
            </w:r>
          </w:p>
        </w:tc>
        <w:tc>
          <w:tcPr/>
          <w:p>
            <w:pPr>
              <w:pStyle w:val="Compact"/>
            </w:pPr>
            <w:r>
              <w:rPr>
                <w:rFonts w:ascii="Times New Roman" w:hAnsi="Times New Roman" w:eastAsia="游明朝"/>
                <w:sz w:val="18"/>
              </w:rPr>
              <w:t xml:space="preserve">+35%</w:t>
            </w:r>
          </w:p>
        </w:tc>
      </w:tr>
      <w:tr>
        <w:tc>
          <w:tcPr/>
          <w:p>
            <w:pPr>
              <w:pStyle w:val="Compact"/>
            </w:pPr>
            <w:r>
              <w:rPr>
                <w:rFonts w:hint="eastAsia" w:ascii="Times New Roman" w:hAnsi="Times New Roman" w:eastAsia="游明朝"/>
                <w:sz w:val="18"/>
              </w:rPr>
              <w:t xml:space="preserve">平均銅実現価格</w:t>
            </w:r>
          </w:p>
        </w:tc>
        <w:tc>
          <w:tcPr/>
          <w:p>
            <w:pPr>
              <w:pStyle w:val="Compact"/>
            </w:pPr>
            <w:r>
              <w:rPr>
                <w:rFonts w:ascii="Times New Roman" w:hAnsi="Times New Roman" w:eastAsia="游明朝"/>
                <w:sz w:val="18"/>
              </w:rPr>
              <w:t xml:space="preserve">$4.21/lb</w:t>
            </w:r>
          </w:p>
        </w:tc>
        <w:tc>
          <w:tcPr/>
          <w:p>
            <w:pPr>
              <w:pStyle w:val="Compact"/>
            </w:pPr>
            <w:r>
              <w:rPr>
                <w:rFonts w:ascii="Times New Roman" w:hAnsi="Times New Roman" w:eastAsia="游明朝"/>
                <w:sz w:val="18"/>
              </w:rPr>
              <w:t xml:space="preserve">$3.82/lb</w:t>
            </w:r>
          </w:p>
        </w:tc>
        <w:tc>
          <w:tcPr/>
          <w:p>
            <w:pPr>
              <w:pStyle w:val="Compact"/>
            </w:pPr>
            <w:r>
              <w:rPr>
                <w:rFonts w:ascii="Times New Roman" w:hAnsi="Times New Roman" w:eastAsia="游明朝"/>
                <w:sz w:val="18"/>
              </w:rPr>
              <w:t xml:space="preserve">+10%</w:t>
            </w:r>
          </w:p>
        </w:tc>
      </w:tr>
    </w:tbl>
    <w:p>
      <w:pPr>
        <w:pStyle w:val="BodyText"/>
      </w:pPr>
      <w:r>
        <w:rPr>
          <w:rFonts w:hint="eastAsia"/>
        </w:rPr>
        <w:t xml:space="preserve">注:</w:t>
      </w:r>
      <w:r>
        <w:t xml:space="preserve"> FY2024データは Q4 2024 EC (2025-01-23) </w:t>
      </w:r>
      <w:r>
        <w:rPr>
          <w:rFonts w:hint="eastAsia"/>
        </w:rPr>
        <w:t xml:space="preserve">の経営陣報告値。</w:t>
      </w:r>
    </w:p>
    <w:bookmarkEnd w:id="51"/>
    <w:bookmarkStart w:id="52" w:name="更新情報期間fy2025-10-k-filed-2026-02-13"/>
    <w:p>
      <w:pPr>
        <w:pStyle w:val="Heading3"/>
      </w:pPr>
      <w:r>
        <w:rPr>
          <w:rFonts w:hint="eastAsia"/>
        </w:rPr>
        <w:t xml:space="preserve">更新情報期間（FY2025</w:t>
      </w:r>
      <w:r>
        <w:t xml:space="preserve"> 10-K, filed </w:t>
      </w:r>
      <w:r>
        <w:rPr>
          <w:rFonts w:hint="eastAsia"/>
        </w:rPr>
        <w:t xml:space="preserve">2026-02-13）</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項目</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FY2025</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FY2024</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増減</w:t>
            </w:r>
          </w:p>
        </w:tc>
      </w:tr>
      <w:tr>
        <w:tc>
          <w:tcPr/>
          <w:p>
            <w:pPr>
              <w:pStyle w:val="Compact"/>
            </w:pPr>
            <w:r>
              <w:rPr>
                <w:rFonts w:hint="eastAsia" w:ascii="Times New Roman" w:hAnsi="Times New Roman" w:eastAsia="游明朝"/>
                <w:sz w:val="18"/>
              </w:rPr>
              <w:t xml:space="preserve">総売上</w:t>
            </w:r>
          </w:p>
        </w:tc>
        <w:tc>
          <w:tcPr/>
          <w:p>
            <w:pPr>
              <w:pStyle w:val="Compact"/>
            </w:pPr>
            <w:r>
              <w:rPr>
                <w:rFonts w:ascii="Times New Roman" w:hAnsi="Times New Roman" w:eastAsia="游明朝"/>
                <w:sz w:val="18"/>
              </w:rPr>
              <w:t xml:space="preserve">$25.9B</w:t>
            </w:r>
          </w:p>
        </w:tc>
        <w:tc>
          <w:tcPr/>
          <w:p>
            <w:pPr>
              <w:pStyle w:val="Compact"/>
            </w:pPr>
            <w:r>
              <w:rPr>
                <w:rFonts w:ascii="Times New Roman" w:hAnsi="Times New Roman" w:eastAsia="游明朝"/>
                <w:sz w:val="18"/>
              </w:rPr>
              <w:t xml:space="preserve">$25.5B</w:t>
            </w:r>
          </w:p>
        </w:tc>
        <w:tc>
          <w:tcPr/>
          <w:p>
            <w:pPr>
              <w:pStyle w:val="Compact"/>
            </w:pPr>
            <w:r>
              <w:rPr>
                <w:rFonts w:ascii="Times New Roman" w:hAnsi="Times New Roman" w:eastAsia="游明朝"/>
                <w:sz w:val="18"/>
              </w:rPr>
              <w:t xml:space="preserve">+2%</w:t>
            </w:r>
          </w:p>
        </w:tc>
      </w:tr>
      <w:tr>
        <w:tc>
          <w:tcPr/>
          <w:p>
            <w:pPr>
              <w:pStyle w:val="Compact"/>
            </w:pPr>
            <w:r>
              <w:rPr>
                <w:rFonts w:hint="eastAsia" w:ascii="Times New Roman" w:hAnsi="Times New Roman" w:eastAsia="游明朝"/>
                <w:sz w:val="18"/>
              </w:rPr>
              <w:t xml:space="preserve">営業利益</w:t>
            </w:r>
          </w:p>
        </w:tc>
        <w:tc>
          <w:tcPr/>
          <w:p>
            <w:pPr>
              <w:pStyle w:val="Compact"/>
            </w:pPr>
            <w:r>
              <w:rPr>
                <w:rFonts w:ascii="Times New Roman" w:hAnsi="Times New Roman" w:eastAsia="游明朝"/>
                <w:sz w:val="18"/>
              </w:rPr>
              <w:t xml:space="preserve">$6.5B</w:t>
            </w:r>
          </w:p>
        </w:tc>
        <w:tc>
          <w:tcPr/>
          <w:p>
            <w:pPr>
              <w:pStyle w:val="Compact"/>
            </w:pPr>
            <w:r>
              <w:rPr>
                <w:rFonts w:ascii="Times New Roman" w:hAnsi="Times New Roman" w:eastAsia="游明朝"/>
                <w:sz w:val="18"/>
              </w:rPr>
              <w:t xml:space="preserve">$6.2B</w:t>
            </w:r>
          </w:p>
        </w:tc>
        <w:tc>
          <w:tcPr/>
          <w:p>
            <w:pPr>
              <w:pStyle w:val="Compact"/>
            </w:pPr>
            <w:r>
              <w:rPr>
                <w:rFonts w:ascii="Times New Roman" w:hAnsi="Times New Roman" w:eastAsia="游明朝"/>
                <w:sz w:val="18"/>
              </w:rPr>
              <w:t xml:space="preserve">+5%</w:t>
            </w:r>
          </w:p>
        </w:tc>
      </w:tr>
      <w:tr>
        <w:tc>
          <w:tcPr/>
          <w:p>
            <w:pPr>
              <w:pStyle w:val="Compact"/>
            </w:pPr>
            <w:r>
              <w:rPr>
                <w:rFonts w:hint="eastAsia" w:ascii="Times New Roman" w:hAnsi="Times New Roman" w:eastAsia="游明朝"/>
                <w:sz w:val="18"/>
              </w:rPr>
              <w:t xml:space="preserve">純利益</w:t>
            </w:r>
          </w:p>
        </w:tc>
        <w:tc>
          <w:tcPr/>
          <w:p>
            <w:pPr>
              <w:pStyle w:val="Compact"/>
            </w:pPr>
            <w:r>
              <w:rPr>
                <w:rFonts w:ascii="Times New Roman" w:hAnsi="Times New Roman" w:eastAsia="游明朝"/>
                <w:sz w:val="18"/>
              </w:rPr>
              <w:t xml:space="preserve">$2.2B</w:t>
            </w:r>
          </w:p>
        </w:tc>
        <w:tc>
          <w:tcPr/>
          <w:p>
            <w:pPr>
              <w:pStyle w:val="Compact"/>
            </w:pPr>
            <w:r>
              <w:rPr>
                <w:rFonts w:ascii="Times New Roman" w:hAnsi="Times New Roman" w:eastAsia="游明朝"/>
                <w:sz w:val="18"/>
              </w:rPr>
              <w:t xml:space="preserve">—</w:t>
            </w:r>
          </w:p>
        </w:tc>
        <w:tc>
          <w:tcPr/>
          <w:p>
            <w:pPr>
              <w:pStyle w:val="Compact"/>
            </w:pPr>
            <w:r>
              <w:rPr>
                <w:rFonts w:ascii="Times New Roman" w:hAnsi="Times New Roman" w:eastAsia="游明朝"/>
                <w:sz w:val="18"/>
              </w:rPr>
              <w:t xml:space="preserve">—</w:t>
            </w:r>
          </w:p>
        </w:tc>
      </w:tr>
      <w:tr>
        <w:tc>
          <w:tcPr/>
          <w:p>
            <w:pPr>
              <w:pStyle w:val="Compact"/>
            </w:pPr>
            <w:r>
              <w:rPr>
                <w:rFonts w:hint="eastAsia" w:ascii="Times New Roman" w:hAnsi="Times New Roman" w:eastAsia="游明朝"/>
                <w:sz w:val="18"/>
              </w:rPr>
              <w:t xml:space="preserve">営業CF</w:t>
            </w:r>
          </w:p>
        </w:tc>
        <w:tc>
          <w:tcPr/>
          <w:p>
            <w:pPr>
              <w:pStyle w:val="Compact"/>
            </w:pPr>
            <w:r>
              <w:rPr>
                <w:rFonts w:ascii="Times New Roman" w:hAnsi="Times New Roman" w:eastAsia="游明朝"/>
                <w:sz w:val="18"/>
              </w:rPr>
              <w:t xml:space="preserve">$5.6B</w:t>
            </w:r>
          </w:p>
        </w:tc>
        <w:tc>
          <w:tcPr/>
          <w:p>
            <w:pPr>
              <w:pStyle w:val="Compact"/>
            </w:pPr>
            <w:r>
              <w:rPr>
                <w:rFonts w:ascii="Times New Roman" w:hAnsi="Times New Roman" w:eastAsia="游明朝"/>
                <w:sz w:val="18"/>
              </w:rPr>
              <w:t xml:space="preserve">$7.1B</w:t>
            </w:r>
          </w:p>
        </w:tc>
        <w:tc>
          <w:tcPr/>
          <w:p>
            <w:pPr>
              <w:pStyle w:val="Compact"/>
            </w:pPr>
            <w:r>
              <w:rPr>
                <w:rFonts w:ascii="Times New Roman" w:hAnsi="Times New Roman" w:eastAsia="游明朝"/>
                <w:sz w:val="18"/>
              </w:rPr>
              <w:t xml:space="preserve">▲21%</w:t>
            </w:r>
          </w:p>
        </w:tc>
      </w:tr>
    </w:tbl>
    <w:p>
      <w:pPr>
        <w:pStyle w:val="BodyText"/>
      </w:pPr>
      <w:r>
        <w:rPr>
          <w:rFonts w:hint="eastAsia"/>
        </w:rPr>
        <w:t xml:space="preserve">注:</w:t>
      </w:r>
      <w:r>
        <w:t xml:space="preserve"> </w:t>
      </w:r>
      <w:r>
        <w:rPr>
          <w:rFonts w:hint="eastAsia"/>
        </w:rPr>
        <w:t xml:space="preserve">FY2025はGrasberg泥流事故（2025年9月）による銅販売量約10%減の影響を受けた。営業CFの減少は主にこの影響。調整後EBITDA約$10Bは2024年と同水準を維持（Americas事業の好調と銅価格上昇が補完）。</w:t>
      </w:r>
    </w:p>
    <w:bookmarkEnd w:id="52"/>
    <w:bookmarkEnd w:id="53"/>
    <w:bookmarkEnd w:id="54"/>
    <w:sectPr>
      <w:footnotePr>
        <w:numRestart w:val="eachSect"/>
      </w:footnotePr>
      <w:pgMar w:bottom="850" w:left="850"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theme="minorBidi" w:eastAsia="游明朝" w:eastAsiaTheme="minorEastAsia" w:hAnsi="Times New Roman"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游明朝" w:hAnsi="Times New Roman"/>
      <w:sz w:val="21"/>
    </w:rPr>
  </w:style>
  <w:style w:styleId="BodyText" w:type="paragraph">
    <w:name w:val="Body Text"/>
    <w:basedOn w:val="Normal"/>
    <w:link w:val="BodyTextChar"/>
    <w:qFormat/>
    <w:pPr>
      <w:spacing w:after="180" w:before="180"/>
    </w:pPr>
    <w:rPr>
      <w:rFonts w:ascii="Times New Roman" w:eastAsia="游明朝" w:hAnsi="Times New Roman"/>
      <w:sz w:val="21"/>
    </w:rPr>
  </w:style>
  <w:style w:customStyle="1" w:styleId="FirstParagraph" w:type="paragraph">
    <w:name w:val="First Paragraph"/>
    <w:basedOn w:val="BodyText"/>
    <w:next w:val="BodyText"/>
    <w:qFormat/>
    <w:rPr>
      <w:rFonts w:ascii="Times New Roman" w:eastAsia="游明朝" w:hAnsi="Times New Roman"/>
      <w:sz w:val="21"/>
    </w:rPr>
  </w:style>
  <w:style w:customStyle="1" w:styleId="Compact" w:type="paragraph">
    <w:name w:val="Compact"/>
    <w:basedOn w:val="BodyText"/>
    <w:qFormat/>
    <w:pPr>
      <w:spacing w:after="36" w:before="36"/>
    </w:pPr>
    <w:rPr>
      <w:rFonts w:ascii="Times New Roman" w:eastAsia="游明朝" w:hAnsi="Times New Roman"/>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游明朝"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游明朝"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游明朝"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游明朝" w:eastAsiaTheme="majorEastAsia" w:hAnsi="Times New Roman"/>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游明朝" w:eastAsiaTheme="majorEastAsia" w:hAnsi="Times New Roman"/>
      <w:b/>
      <w:color w:themeColor="accent1" w:themeShade="BF" w:val="0F4761"/>
      <w:sz w:val="2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eastAsia="游明朝" w:hAnsi="Times New Roman"/>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游明朝"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2026-04-10T01:22:44Z</dcterms:created>
  <dcterms:modified xsi:type="dcterms:W3CDTF">2026-04-10T01:22:44Z</dcterms:modified>
</cp:coreProperties>
</file>

<file path=docProps/custom.xml><?xml version="1.0" encoding="utf-8"?>
<Properties xmlns="http://schemas.openxmlformats.org/officeDocument/2006/custom-properties" xmlns:vt="http://schemas.openxmlformats.org/officeDocument/2006/docPropsVTypes"/>
</file>