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gev-us-ge-vernova-投資仮説qa"/>
    <w:p>
      <w:pPr>
        <w:pStyle w:val="Heading1"/>
      </w:pPr>
      <w:r>
        <w:t xml:space="preserve">GEV US (GE Vernova) — </w:t>
      </w:r>
      <w:r>
        <w:rPr>
          <w:rFonts w:hint="eastAsia"/>
        </w:rPr>
        <w:t xml:space="preserve">投資仮説Q&amp;A</w:t>
      </w:r>
    </w:p>
    <w:p>
      <w:pPr>
        <w:pStyle w:val="FirstParagraph"/>
      </w:pPr>
      <w:r>
        <w:rPr>
          <w:rFonts w:hint="eastAsia"/>
        </w:rPr>
        <w:t xml:space="preserve">基準日:</w:t>
      </w:r>
      <w:r>
        <w:t xml:space="preserve"> 2026-04-10</w:t>
      </w:r>
    </w:p>
    <w:bookmarkStart w:id="9" w:name="このqaの目的と回答方法"/>
    <w:p>
      <w:pPr>
        <w:pStyle w:val="Heading2"/>
      </w:pPr>
      <w:r>
        <w:rPr>
          <w:rFonts w:hint="eastAsia"/>
        </w:rPr>
        <w:t xml:space="preserve">このQ&amp;Aの目的と回答方法</w:t>
      </w:r>
    </w:p>
    <w:p>
      <w:pPr>
        <w:pStyle w:val="FirstParagraph"/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AIが生成した8つの投資仮説候補に対して、アナリストの「納得度」を収集し、情報の取捨選択基準を抽出する。</w:t>
      </w:r>
    </w:p>
    <w:p>
      <w:pPr>
        <w:pStyle w:val="BodyText"/>
      </w:pPr>
      <w:r>
        <w:rPr>
          <w:rFonts w:hint="eastAsia"/>
          <w:b/>
          <w:bCs/>
        </w:rPr>
        <w:t xml:space="preserve">問い</w:t>
      </w:r>
      <w:r>
        <w:t xml:space="preserve">: </w:t>
      </w:r>
      <w:r>
        <w:rPr>
          <w:rFonts w:hint="eastAsia"/>
        </w:rPr>
        <w:t xml:space="preserve">以下の情報と投資仮説を踏まえて、</w:t>
      </w:r>
      <w:r>
        <w:rPr>
          <w:rFonts w:hint="eastAsia"/>
          <w:b/>
          <w:bCs/>
        </w:rPr>
        <w:t xml:space="preserve">あなたはこの銘柄をBUYしますか？</w:t>
      </w:r>
    </w:p>
    <w:p>
      <w:pPr>
        <w:pStyle w:val="BodyText"/>
      </w:pPr>
      <w:r>
        <w:rPr>
          <w:rFonts w:hint="eastAsia"/>
          <w:b/>
          <w:bCs/>
        </w:rPr>
        <w:t xml:space="preserve">総合判断</w:t>
      </w:r>
      <w:r>
        <w:t xml:space="preserve">:</w:t>
      </w:r>
      <w:r>
        <w:t xml:space="preserve"> </w:t>
      </w:r>
      <w:r>
        <w:t xml:space="preserve">□ BUY　□ SELL　□ </w:t>
      </w:r>
      <w:r>
        <w:rPr>
          <w:rFonts w:hint="eastAsia"/>
        </w:rPr>
        <w:t xml:space="preserve">判断保留</w:t>
      </w:r>
    </w:p>
    <w:p>
      <w:pPr>
        <w:pStyle w:val="BodyText"/>
      </w:pPr>
      <w:r>
        <w:rPr>
          <w:rFonts w:hint="eastAsia"/>
          <w:b/>
          <w:bCs/>
        </w:rPr>
        <w:t xml:space="preserve">理由（任意）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各仮説の回答方法</w:t>
      </w:r>
      <w:r>
        <w:t xml:space="preserve">: </w:t>
      </w:r>
      <w:r>
        <w:rPr>
          <w:rFonts w:hint="eastAsia"/>
        </w:rPr>
        <w:t xml:space="preserve">各仮説について「この仮説がBUY判断にどの程度寄与するか」の納得度を選んでください。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納得度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90%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この仮説は極めて重要。BUY判断の核心的な前提となる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重要な補強材料。これ単独ではBUYの決め手にならないが、判断を強く支持する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認識はしているが、判断への影響は中立的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やや懐疑的。前提が甘い、または不確実性が高い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この仮説は投資判断にほぼ無関係、または前提が間違っている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※リスク仮説（仮説7,</w:t>
      </w:r>
      <w:r>
        <w:t xml:space="preserve"> </w:t>
      </w:r>
      <w:r>
        <w:rPr>
          <w:rFonts w:hint="eastAsia"/>
        </w:rPr>
        <w:t xml:space="preserve">8）の場合:</w:t>
      </w:r>
      <w:r>
        <w:t xml:space="preserve"> </w:t>
      </w:r>
      <w:r>
        <w:rPr>
          <w:rFonts w:hint="eastAsia"/>
        </w:rPr>
        <w:t xml:space="preserve">「このリスクがBUY判断をどの程度毀損するか」を評価してください。90%=深刻なリスク、10%=無視できるリスク。</w:t>
      </w:r>
    </w:p>
    <w:p>
      <w:r>
        <w:pict>
          <v:rect style="width:0;height:1.5pt" o:hralign="center" o:hrstd="t" o:hr="t"/>
        </w:pict>
      </w:r>
    </w:p>
    <w:bookmarkEnd w:id="9"/>
    <w:bookmarkStart w:id="10" w:name="ソース情報"/>
    <w:p>
      <w:pPr>
        <w:pStyle w:val="Heading2"/>
      </w:pPr>
      <w:r>
        <w:rPr>
          <w:rFonts w:hint="eastAsia"/>
        </w:rPr>
        <w:t xml:space="preserve">ソース情報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区分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ソース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(2024-04-25) 〜 Q4 2024 (2025-01-22)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初期仮説構築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(10-K)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Earnings Call Transcript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2025 (2025-04-23) 〜 Q4 2025 (2026-01-28)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更新情報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SEC EDGAR (10-K)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</w:t>
      </w:r>
      <w:r>
        <w:t xml:space="preserve">: </w:t>
      </w:r>
      <w:r>
        <w:rPr>
          <w:rFonts w:hint="eastAsia"/>
        </w:rPr>
        <w:t xml:space="preserve">価格/バリュエーション（ITG,</w:t>
      </w:r>
      <w:r>
        <w:t xml:space="preserve"> PER, </w:t>
      </w:r>
      <w:r>
        <w:rPr>
          <w:rFonts w:hint="eastAsia"/>
        </w:rPr>
        <w:t xml:space="preserve">相対PE等）に関する仮説は、現時点でデータソースが不足しているため含まれていません。今後データを拡充して対応予定です。</w:t>
      </w:r>
    </w:p>
    <w:p>
      <w:r>
        <w:pict>
          <v:rect style="width:0;height:1.5pt" o:hralign="center" o:hrstd="t" o:hr="t"/>
        </w:pict>
      </w:r>
    </w:p>
    <w:bookmarkEnd w:id="10"/>
    <w:bookmarkStart w:id="15" w:name="仮説-18"/>
    <w:p>
      <w:pPr>
        <w:pStyle w:val="Heading2"/>
      </w:pPr>
      <w:r>
        <w:rPr>
          <w:rFonts w:hint="eastAsia"/>
        </w:rPr>
        <w:t xml:space="preserve">仮説</w:t>
      </w:r>
      <w:r>
        <w:t xml:space="preserve"> 1/8</w:t>
      </w:r>
    </w:p>
    <w:p>
      <w:pPr>
        <w:pStyle w:val="FirstParagraph"/>
      </w:pPr>
      <w:r>
        <w:rPr>
          <w:rFonts w:hint="eastAsia"/>
          <w:b/>
          <w:bCs/>
        </w:rPr>
        <w:t xml:space="preserve">ガスパワー機器の需要急増と価格上昇が、2028年までにPowerセグメントのEBITDAマージンを16-18%に押し上げる</w:t>
      </w:r>
    </w:p>
    <w:bookmarkStart w:id="11" w:name="根拠情報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2024年通年で約20GWのガスタービン受注を獲得、前年比2倍。さらに9GWのスロット予約契約（SRA）を確保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重量級ガスタービンの年間生産能力を55基から70-80基へ拡大する計画を発表（2026年後半から稼働）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2024でHA型ガスタービン8基受注（前年通年と同数）、Q4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2024では24基の重量級ガスタービン受注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p.4; 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2024年末時点で受注の装備品マージンが2023年末比で約5ポイント拡大。プレミアム価格環境が継続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ガスサービスのアップグレード売上が年間約$2Bあり、2020年代末までに50%成長する見通し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p.2; 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Power部門は2024年通年で7%の売上成長と約200bpのマージン拡大を達成。サービスが売上の約70%を占める安定構造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</w:t>
            </w:r>
          </w:p>
        </w:tc>
      </w:tr>
    </w:tbl>
    <w:bookmarkEnd w:id="11"/>
    <w:bookmarkStart w:id="12" w:name="更新情報直近1年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SRA含め約29GWの契約ベースだったが、直近1年で83GWまで急拡大し、2026年末に100GW到達を見込む。SRAの価格は既存バックログ比で10-20ポイント高く、価格上昇は加速中。2026年中に年間20GW生産体制への移行が予定通り進行し、2027年以降のマージン大幅拡大の基盤が整っている。初期仮説の16-18%マージン目標は経営陣ガイダンスとも合致し、確度が高まっ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ガスタービンのバックログ+SRAが2025年末で83GWに到達（年初50GW→年末83GW）。Q4</w:t>
      </w:r>
      <w:r>
        <w:t xml:space="preserve"> 2025 EC, p.2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SRAの価格が既存バックログ比で10-20ポイント高い。2026年も価格強化が継続する見通し。Q4</w:t>
      </w:r>
      <w:r>
        <w:t xml:space="preserve"> 2025 EC, p.9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2025年通年でPower受注が50%超成長。サービスバックログが$70Bに到達（前年比+$9B）。Q4</w:t>
      </w:r>
      <w:r>
        <w:t xml:space="preserve"> 2025 EC, p.5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Power部門FY2025マージンは14.7%に拡大（前年比+100bp）。Q4部門マージンは16.9%を達成。Q4</w:t>
      </w:r>
      <w:r>
        <w:t xml:space="preserve"> 2025 EC, p.5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2026年ガイダンスでPower</w:t>
      </w:r>
      <w:r>
        <w:t xml:space="preserve"> </w:t>
      </w:r>
      <w:r>
        <w:rPr>
          <w:rFonts w:hint="eastAsia"/>
        </w:rPr>
        <w:t xml:space="preserve">EBITDAマージン16-18%を提示。2028年までに20%のGEV全社マージン目標。Q4</w:t>
      </w:r>
      <w:r>
        <w:t xml:space="preserve"> 2025 EC, p.7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出典:</w:t>
      </w:r>
      <w:r>
        <w:t xml:space="preserve"> Q1 2025 EC (2025-04-23), p.2-3, 5; Q2 2025 EC (2025-07-23), p.2, 6; Q3 2025 EC (2025-10-22), p.4-5, 7; Q4 2025 EC (2026-01-28), p.2-3, 5, 7, 9</w:t>
      </w:r>
    </w:p>
    <w:bookmarkEnd w:id="12"/>
    <w:bookmarkStart w:id="13" w:name="納得度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3"/>
    <w:bookmarkStart w:id="14" w:name="備考任意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仮説-28"/>
    <w:p>
      <w:pPr>
        <w:pStyle w:val="Heading2"/>
      </w:pPr>
      <w:r>
        <w:rPr>
          <w:rFonts w:hint="eastAsia"/>
        </w:rPr>
        <w:t xml:space="preserve">仮説</w:t>
      </w:r>
      <w:r>
        <w:t xml:space="preserve"> 2/8</w:t>
      </w:r>
    </w:p>
    <w:p>
      <w:pPr>
        <w:pStyle w:val="FirstParagraph"/>
      </w:pPr>
      <w:r>
        <w:rPr>
          <w:rFonts w:hint="eastAsia"/>
          <w:b/>
          <w:bCs/>
        </w:rPr>
        <w:t xml:space="preserve">Electrificationセグメントが送配電インフラ投資の加速を受け、2028年までに売上$20B+・EBITDAマージン22%に到達する</w:t>
      </w:r>
    </w:p>
    <w:bookmarkStart w:id="16" w:name="根拠情報-1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Electrification装備品バックログが2022年末$6Bから2024年末$20Bへ3倍以上に成長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p.2; 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2024年通年で売上18%成長、マージン520bp拡大して9%に到達。全事業が黒字化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2024に初の二桁EBITDAマージンを達成（約700bp拡大）。以後、恒常的に二桁マージンを見込む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p.2,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バックログマージンが2年間で5ポイント拡大し、その50%超が2026年以降に収益化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北米が最も成長が速い市場。スイッチギア・変圧器への需要が急増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p.2; Q3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2025年ガイダンスでmid-to-high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teens売上成長、11-13%マージンを提示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p.7</w:t>
            </w:r>
          </w:p>
        </w:tc>
      </w:tr>
    </w:tbl>
    <w:bookmarkEnd w:id="16"/>
    <w:bookmarkStart w:id="17" w:name="更新情報直近1年-1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初期仮説構築時点ではバックログ$20B・マージン9%だったが、直近1年で装備品バックログが$31Bに急拡大し、FY2025マージンは14.9%に到達。Q4</w:t>
      </w:r>
      <w:r>
        <w:t xml:space="preserve"> </w:t>
      </w:r>
      <w:r>
        <w:rPr>
          <w:rFonts w:hint="eastAsia"/>
        </w:rPr>
        <w:t xml:space="preserve">2025には17.1%を記録。さらにProlec</w:t>
      </w:r>
      <w:r>
        <w:t xml:space="preserve"> </w:t>
      </w:r>
      <w:r>
        <w:rPr>
          <w:rFonts w:hint="eastAsia"/>
        </w:rPr>
        <w:t xml:space="preserve">GE（$3B売上・25%マージンの変圧器事業）の買収を発表し、2028年に$4B超の増分売上が加わる。2028年にElectrificationマージン22%目標を掲げており、organic成長+Prolecで$20B+の売上達成は初期仮説時点より大幅に確度が上がっ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Electrification装備品バックログが$31B（FY2025末）、前年比+$10B超。Q4</w:t>
      </w:r>
      <w:r>
        <w:t xml:space="preserve"> 2025 EC, p.6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FY2025マージン14.9%（前年比+560bp）。Q4</w:t>
      </w:r>
      <w:r>
        <w:t xml:space="preserve"> </w:t>
      </w:r>
      <w:r>
        <w:rPr>
          <w:rFonts w:hint="eastAsia"/>
        </w:rPr>
        <w:t xml:space="preserve">2025では17.1%を達成。Q4</w:t>
      </w:r>
      <w:r>
        <w:t xml:space="preserve"> 2025 EC, p.6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2025年にデータセンター向けElectrification受注が$2B超（前年の3倍以上）。Q4</w:t>
      </w:r>
      <w:r>
        <w:t xml:space="preserve"> 2025 EC, p.2</w:t>
      </w:r>
    </w:p>
    <w:p>
      <w:pPr>
        <w:pStyle w:val="Compact"/>
        <w:numPr>
          <w:ilvl w:val="0"/>
          <w:numId w:val="1002"/>
        </w:numPr>
      </w:pPr>
      <w:r>
        <w:t xml:space="preserve">Prolec </w:t>
      </w:r>
      <w:r>
        <w:rPr>
          <w:rFonts w:hint="eastAsia"/>
        </w:rPr>
        <w:t xml:space="preserve">GE買収を$5.275Bで発表。2025年売上$3B・25%マージン。2028年に売上$4B超・EBITDA</w:t>
      </w:r>
      <w:r>
        <w:t xml:space="preserve"> </w:t>
      </w:r>
      <w:r>
        <w:rPr>
          <w:rFonts w:hint="eastAsia"/>
        </w:rPr>
        <w:t xml:space="preserve">$1B超を見込む。Q3</w:t>
      </w:r>
      <w:r>
        <w:t xml:space="preserve"> 2025 EC, p.2-3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2026年ガイダンスでElectrification売上$13.5-14B（organic</w:t>
      </w:r>
      <w:r>
        <w:t xml:space="preserve"> </w:t>
      </w:r>
      <w:r>
        <w:rPr>
          <w:rFonts w:hint="eastAsia"/>
        </w:rPr>
        <w:t xml:space="preserve">20%+Prolec約$3B）、マージン17-19%。Q4</w:t>
      </w:r>
      <w:r>
        <w:t xml:space="preserve"> 2025 EC, p.7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2028年までにElectrificationマージン22%、high-teens</w:t>
      </w:r>
      <w:r>
        <w:t xml:space="preserve"> </w:t>
      </w:r>
      <w:r>
        <w:rPr>
          <w:rFonts w:hint="eastAsia"/>
        </w:rPr>
        <w:t xml:space="preserve">organic成長+Prolec</w:t>
      </w:r>
      <w:r>
        <w:t xml:space="preserve"> </w:t>
      </w:r>
      <w:r>
        <w:rPr>
          <w:rFonts w:hint="eastAsia"/>
        </w:rPr>
        <w:t xml:space="preserve">$4Bの見通し。Q4</w:t>
      </w:r>
      <w:r>
        <w:t xml:space="preserve"> 2025 EC, p.7-8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出典:</w:t>
      </w:r>
      <w:r>
        <w:t xml:space="preserve"> Q1 2025 EC (2025-04-23), p.6; Q2 2025 EC (2025-07-23), p.2-3, 7-8; Q3 2025 EC (2025-10-22), p.2-4, 7-8; Q4 2025 EC (2026-01-28), p.2-3, 6-8</w:t>
      </w:r>
    </w:p>
    <w:bookmarkEnd w:id="17"/>
    <w:bookmarkStart w:id="18" w:name="納得度-1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18"/>
    <w:bookmarkStart w:id="19" w:name="備考任意-1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仮説-38"/>
    <w:p>
      <w:pPr>
        <w:pStyle w:val="Heading2"/>
      </w:pPr>
      <w:r>
        <w:rPr>
          <w:rFonts w:hint="eastAsia"/>
        </w:rPr>
        <w:t xml:space="preserve">仮説</w:t>
      </w:r>
      <w:r>
        <w:t xml:space="preserve"> 3/8</w:t>
      </w:r>
    </w:p>
    <w:p>
      <w:pPr>
        <w:pStyle w:val="FirstParagraph"/>
      </w:pPr>
      <w:r>
        <w:rPr>
          <w:rFonts w:hint="eastAsia"/>
          <w:b/>
          <w:bCs/>
        </w:rPr>
        <w:t xml:space="preserve">データセンター/AI需要がガスパワーとElectrification双方の長期需要を構造的に押し上げる</w:t>
      </w:r>
    </w:p>
    <w:bookmarkStart w:id="21" w:name="根拠情報-2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データセンターによる電力需要増がガスタービン需要の主要ドライバーの一つとして言及。ハイパースケーラーとの活発な議論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p.10; Q3 2024 EC, p.9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9GWのSRAはAI関連データセンター需要と関連する米国負荷成長に紐づく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ハイパースケーラーからの需要は2025年に本格化する見込みで、北米中心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Electrificationでデータセンター向け受注が2024年に$600M。スイッチギア・変圧器需要が急増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2025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「投資スーパーサイクルの初期段階」にあり、製造業成長・EV・データセンターが電力需要を牽引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p.1-2; Q4 2024 EC, p.2</w:t>
            </w:r>
          </w:p>
        </w:tc>
      </w:tr>
    </w:tbl>
    <w:bookmarkEnd w:id="21"/>
    <w:bookmarkStart w:id="22" w:name="更新情報直近1年-2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データセンター需要はまだ「emerging」段階で定量化が困難だったが、直近1年でElectrification向けデータセンター受注がFY2024の$600MからFY2025は$2B超に3倍以上成長。ガスタービンではアエロデリバティブ受注がデータセンター直結需要で急増（FY2025で63基受注）。ハイパースケーラーとの技術協業契約も締結済み。「投資スーパーサイクル」は数十年単位の構造変化であり、初期仮説時点より定量的なエビデンスが蓄積され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Electrificationデータセンター向け受注がFY2025で$2B超（FY2024の3倍以上）。Q4</w:t>
      </w:r>
      <w:r>
        <w:t xml:space="preserve"> 2025 EC, p.2</w:t>
      </w:r>
    </w:p>
    <w:p>
      <w:pPr>
        <w:pStyle w:val="Compact"/>
        <w:numPr>
          <w:ilvl w:val="0"/>
          <w:numId w:val="1003"/>
        </w:numPr>
      </w:pPr>
      <w:r>
        <w:t xml:space="preserve">Q3 </w:t>
      </w:r>
      <w:r>
        <w:rPr>
          <w:rFonts w:hint="eastAsia"/>
        </w:rPr>
        <w:t xml:space="preserve">2025だけでハイパースケーラーからElectrification受注$400M。年間$900M（FY2024:</w:t>
      </w:r>
      <w:r>
        <w:t xml:space="preserve"> </w:t>
      </w:r>
      <w:r>
        <w:rPr>
          <w:rFonts w:hint="eastAsia"/>
        </w:rPr>
        <w:t xml:space="preserve">$600M）。Q3</w:t>
      </w:r>
      <w:r>
        <w:t xml:space="preserve"> 2025 EC, p.5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アエロデリバティブの受注がデータセンター需要で急増。FY2025で63基受注（大幅増）。Q4</w:t>
      </w:r>
      <w:r>
        <w:t xml:space="preserve"> 2025 EC, p.5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ハイパースケーラーとの「データセンター内スコープ」に関する初の技術協業資金契約を締結。Q3</w:t>
      </w:r>
      <w:r>
        <w:t xml:space="preserve"> 2025 EC, p.5</w:t>
      </w:r>
    </w:p>
    <w:p>
      <w:pPr>
        <w:pStyle w:val="Compact"/>
        <w:numPr>
          <w:ilvl w:val="0"/>
          <w:numId w:val="1003"/>
        </w:numPr>
      </w:pPr>
      <w:r>
        <w:t xml:space="preserve">Prolec </w:t>
      </w:r>
      <w:r>
        <w:rPr>
          <w:rFonts w:hint="eastAsia"/>
        </w:rPr>
        <w:t xml:space="preserve">GEでもデータセンター向け売上比率がFY2024の10%→FY2025で20%に倍増。Q3</w:t>
      </w:r>
      <w:r>
        <w:t xml:space="preserve"> 2025 EC, p.10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北米の負荷成長規模はWW2後の工業化以来最大と経営陣が言及。Q1</w:t>
      </w:r>
      <w:r>
        <w:t xml:space="preserve"> 2025 EC, p.2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出典:</w:t>
      </w:r>
      <w:r>
        <w:t xml:space="preserve"> Q1 2025 EC (2025-04-23), p.2; Q2 2025 EC (2025-07-23), p.2; Q3 2025 EC (2025-10-22), p.5, 10; Q4 2025 EC (2026-01-28), p.2, 5</w:t>
      </w:r>
    </w:p>
    <w:bookmarkEnd w:id="22"/>
    <w:bookmarkStart w:id="23" w:name="納得度-2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3"/>
    <w:bookmarkStart w:id="24" w:name="備考任意-2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仮説-48"/>
    <w:p>
      <w:pPr>
        <w:pStyle w:val="Heading2"/>
      </w:pPr>
      <w:r>
        <w:rPr>
          <w:rFonts w:hint="eastAsia"/>
        </w:rPr>
        <w:t xml:space="preserve">仮説</w:t>
      </w:r>
      <w:r>
        <w:t xml:space="preserve"> 4/8</w:t>
      </w:r>
    </w:p>
    <w:p>
      <w:pPr>
        <w:pStyle w:val="FirstParagraph"/>
      </w:pPr>
      <w:r>
        <w:rPr>
          <w:rFonts w:hint="eastAsia"/>
          <w:b/>
          <w:bCs/>
        </w:rPr>
        <w:t xml:space="preserve">リーン経営の深化とG&amp;A削減が全セグメントにわたるオペレーティングレバレッジを生み、FCFの構造的拡大を支える</w:t>
      </w:r>
    </w:p>
    <w:bookmarkStart w:id="26" w:name="根拠情報-3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FY2024でFCFが$1.7B（前年比+$1.3B改善）。2025年ガイダンスは$2-2.5B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Lean経営による具体的改善例：シンガポールのガスパワー施設でリワーク25%削減、機械コスト50%削減、同じ面積で出力3倍化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2024で800超のKaizenイベント実施。WIP在庫50%削減、出力15%増加の具体的成果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2024年にG&amp;Aを約$200M削減。Electrificationでは新しい標準業務によりDSOを4日短縮し約$80MのFCF改善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設備品バックログマージンが2年間で$6B以上増加。価格上昇とより規律ある引受けが反映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現金残高が$4.2B（スピン時）→$8.2B（FY2024末）に倍増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</w:t>
            </w:r>
          </w:p>
        </w:tc>
      </w:tr>
    </w:tbl>
    <w:bookmarkEnd w:id="26"/>
    <w:bookmarkStart w:id="27" w:name="更新情報直近1年-3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初期仮説構築時点ではFCF</w:t>
      </w:r>
      <w:r>
        <w:t xml:space="preserve"> </w:t>
      </w:r>
      <w:r>
        <w:rPr>
          <w:rFonts w:hint="eastAsia"/>
        </w:rPr>
        <w:t xml:space="preserve">$1.7Bだったが、FY2025で$3.7B（前年比2倍超）に急拡大。2026年ガイダンスは$5-5.5Bとさらに加速。G&amp;A削減は$600M目標に対しFY2024で$170M、FY2025で同程度削減済み。加えて$250-275Mの構造改革プログラムを発表し、2026年から年間$250Mの追加削減を見込む。リーンによる生産性改善は自動化・AI投資と結合し始めており、マージン拡大の持続性は初期仮説を上回る。</w:t>
      </w:r>
    </w:p>
    <w:p>
      <w:pPr>
        <w:pStyle w:val="Compact"/>
        <w:numPr>
          <w:ilvl w:val="0"/>
          <w:numId w:val="1004"/>
        </w:numPr>
      </w:pPr>
      <w:r>
        <w:t xml:space="preserve">FY2025 </w:t>
      </w:r>
      <w:r>
        <w:rPr>
          <w:rFonts w:hint="eastAsia"/>
        </w:rPr>
        <w:t xml:space="preserve">FCFが$3.7B（前年比+$2B、2倍超）。現金残高は約$9Bに増加。Q4</w:t>
      </w:r>
      <w:r>
        <w:t xml:space="preserve"> 2025 EC, p.3-4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2026年FCFガイダンスは$5-5.5B（Prolec含む）。2025-2028年累計で$24B以上のFCF見通し。Q4</w:t>
      </w:r>
      <w:r>
        <w:t xml:space="preserve"> 2025 EC, p.7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$250-275Mの構造改革プログラムを発表。2026年から年間$250MのG&amp;A削減効果。Q2</w:t>
      </w:r>
      <w:r>
        <w:t xml:space="preserve"> 2025 EC, p.4, 8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FY2025でDSOを2日短縮し$200M超のFCF改善。Q4</w:t>
      </w:r>
      <w:r>
        <w:t xml:space="preserve"> 2025 EC, p.5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2月にCEO</w:t>
      </w:r>
      <w:r>
        <w:t xml:space="preserve"> Kaizen </w:t>
      </w:r>
      <w:r>
        <w:rPr>
          <w:rFonts w:hint="eastAsia"/>
        </w:rPr>
        <w:t xml:space="preserve">Weekで13か国120超のKaizenを実施。$150Mの増収機会を特定。Q1</w:t>
      </w:r>
      <w:r>
        <w:t xml:space="preserve"> 2025 EC, p.4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ロボティクス・AI投資が本格化。ガスタービン制御エンジニアリングでAI活用開始。Q3</w:t>
      </w:r>
      <w:r>
        <w:t xml:space="preserve"> 2025 EC, p.5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出典:</w:t>
      </w:r>
      <w:r>
        <w:t xml:space="preserve"> Q1 2025 EC (2025-04-23), p.4-5; Q2 2025 EC (2025-07-23), p.4, 8; Q3 2025 EC (2025-10-22), p.5, 7; Q4 2025 EC (2026-01-28), p.3-5, 7-8</w:t>
      </w:r>
    </w:p>
    <w:bookmarkEnd w:id="27"/>
    <w:bookmarkStart w:id="28" w:name="納得度-3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28"/>
    <w:bookmarkStart w:id="29" w:name="備考任意-3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仮説-58"/>
    <w:p>
      <w:pPr>
        <w:pStyle w:val="Heading2"/>
      </w:pPr>
      <w:r>
        <w:rPr>
          <w:rFonts w:hint="eastAsia"/>
        </w:rPr>
        <w:t xml:space="preserve">仮説</w:t>
      </w:r>
      <w:r>
        <w:t xml:space="preserve"> 5/8</w:t>
      </w:r>
    </w:p>
    <w:p>
      <w:pPr>
        <w:pStyle w:val="FirstParagraph"/>
      </w:pPr>
      <w:r>
        <w:rPr>
          <w:rFonts w:hint="eastAsia"/>
          <w:b/>
          <w:bCs/>
        </w:rPr>
        <w:t xml:space="preserve">SMR（小型モジュール炉）と既存原子力アップグレードが2030年代のPowerセグメントに新たな成長ドライバーを提供する</w:t>
      </w:r>
    </w:p>
    <w:bookmarkStart w:id="31" w:name="根拠情報-4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米国で65基の原子力プラントにGEV技術が搭載。既存設備のアップレート・再稼働で5GWの増分容量の機会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p.2; Q3 2024 EC, p.11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BWRX-300（300MW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SMR）の初号機がカナダ・オンタリオで2029年に商業運転開始予定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Duke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Energy、AEP等の大手米国ユーティリティがSMRコンソーシアムに参加（2032-2034年の米国プロジェクト）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日本で原子力再稼働の議論が加速。18基の未再稼働プラントがある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米国初のSMR商業運転は2032年以降を見込む。財務的影響は次の10年から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p.11</w:t>
            </w:r>
          </w:p>
        </w:tc>
      </w:tr>
    </w:tbl>
    <w:bookmarkEnd w:id="31"/>
    <w:bookmarkStart w:id="32" w:name="更新情報直近1年-4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SMRは「次の10年の話」で具体的な進展が限定的だったが、直近1年でオンタリオのNRCが建設許可を発行、TVAのクリンチリバーサイトでNRCが申請を正式受理と、規制面で重要なマイルストーンを通過。Samsungとのグローバル戦略提携も発表。スチームサービス受注がFY2025で大幅成長（Q2で+30%等）し、既存原子力のアップグレード需要は先行して財務貢献を開始。2030年代の成長ドライバーとしての確度は上がったが、商業的収益化の時期は引き続き不確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オンタリオ電力公社（OPG）がSMR建設許可を取得（2025年4月）。現在ダーリントンで建設進行中。Q1</w:t>
      </w:r>
      <w:r>
        <w:t xml:space="preserve"> 2025 EC, p.3; Q4 2025 EC, p.5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TVAクリンチリバーサイトのNRC申請が正式受理され、審査プロセス開始。Q2</w:t>
      </w:r>
      <w:r>
        <w:t xml:space="preserve"> 2025 EC, p.2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Samsungと戦略提携を発表し、BWRX-300の北米外展開を推進。Q3</w:t>
      </w:r>
      <w:r>
        <w:t xml:space="preserve"> 2025 EC, p.5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スチームサービス受注がQ2</w:t>
      </w:r>
      <w:r>
        <w:t xml:space="preserve"> </w:t>
      </w:r>
      <w:r>
        <w:rPr>
          <w:rFonts w:hint="eastAsia"/>
        </w:rPr>
        <w:t xml:space="preserve">2025で+30%（原子力延命・アップグレード需要）。Q2</w:t>
      </w:r>
      <w:r>
        <w:t xml:space="preserve"> 2025 EC, p.2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米国初のSMR商業運転を2030年後半と見込む。複数ユーティリティ・ハイパースケーラーと生産的議論を継続。Q1</w:t>
      </w:r>
      <w:r>
        <w:t xml:space="preserve"> 2025 EC, p.3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原子力はPower部門の2025-2026年マージンの圧迫要因（R&amp;D投資）だが、次の10年で価値を生む投資。Q4</w:t>
      </w:r>
      <w:r>
        <w:t xml:space="preserve"> 2025 EC, p.8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出典:</w:t>
      </w:r>
      <w:r>
        <w:t xml:space="preserve"> Q1 2025 EC (2025-04-23), p.3; Q2 2025 EC (2025-07-23), p.2; Q3 2025 EC (2025-10-22), p.5; Q4 2025 EC (2026-01-28), p.5, 8</w:t>
      </w:r>
    </w:p>
    <w:bookmarkEnd w:id="32"/>
    <w:bookmarkStart w:id="33" w:name="納得度-4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3"/>
    <w:bookmarkStart w:id="34" w:name="備考任意-4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仮説-68"/>
    <w:p>
      <w:pPr>
        <w:pStyle w:val="Heading2"/>
      </w:pPr>
      <w:r>
        <w:rPr>
          <w:rFonts w:hint="eastAsia"/>
        </w:rPr>
        <w:t xml:space="preserve">仮説</w:t>
      </w:r>
      <w:r>
        <w:t xml:space="preserve"> 6/8</w:t>
      </w:r>
    </w:p>
    <w:p>
      <w:pPr>
        <w:pStyle w:val="FirstParagraph"/>
      </w:pPr>
      <w:r>
        <w:rPr>
          <w:rFonts w:hint="eastAsia"/>
          <w:b/>
          <w:bCs/>
        </w:rPr>
        <w:t xml:space="preserve">規律ある資本配分（自社株買い・配当・M&amp;A・ポートフォリオ最適化）が株主価値を持続的に向上させる</w:t>
      </w:r>
    </w:p>
    <w:bookmarkStart w:id="36" w:name="根拠情報-5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GEV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T&amp;Dインド株式16%売却で約$700Mの税前収入、China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XD持分売却で追加収入を確保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p.3; 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初の配当（年間$1/株）と$6Bの自社株買い枠を設定（2024年12月Investor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Day）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投資適格格付けの維持にコミット。スピン後$4.2B→FY2024末$8.2Bにキャッシュ倍増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2024年にBD実績として部分売却2件・供給チェーン垂直統合に言及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株主還元の一方で、ガスパワー・Electrification・原子力への設備投資を加速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p.4-5</w:t>
            </w:r>
          </w:p>
        </w:tc>
      </w:tr>
    </w:tbl>
    <w:bookmarkEnd w:id="36"/>
    <w:bookmarkStart w:id="37" w:name="更新情報直近1年-5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強化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初期仮説構築時点では配当・自社株買いの実績はほぼゼロだったが、FY2025で$3.6Bの株主還元を実施（8M株以上を買い戻し）。Prolec</w:t>
      </w:r>
      <w:r>
        <w:t xml:space="preserve"> </w:t>
      </w:r>
      <w:r>
        <w:rPr>
          <w:rFonts w:hint="eastAsia"/>
        </w:rPr>
        <w:t xml:space="preserve">GE買収（$5.275B）は最もaccretiveなM&amp;Aとして決定され、Woodward</w:t>
      </w:r>
      <w:r>
        <w:t xml:space="preserve"> </w:t>
      </w:r>
      <w:r>
        <w:rPr>
          <w:rFonts w:hint="eastAsia"/>
        </w:rPr>
        <w:t xml:space="preserve">ガスタービン部品事業、Alteia（AI/可視化技術）の買収も完了。自社株買い枠を$10Bに引き上げ、配当も2倍に増額。S&amp;PとFitchの格付け引き上げも追い風。「成長投資+株主還元+M&amp;A」の3本柱が想定以上のペースで実行されている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FY2025で$3.6Bの株主還元（$2.2B自社株買い+配当）。8M株以上を平均$357で買い戻し。Q3</w:t>
      </w:r>
      <w:r>
        <w:t xml:space="preserve"> 2025 EC, p.5; Q4 2025 EC, p.3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自社株買い枠を$6B→$10Bに増額。2026年配当を前年比2倍に増額。Q4</w:t>
      </w:r>
      <w:r>
        <w:t xml:space="preserve"> 2025 EC, p.3</w:t>
      </w:r>
    </w:p>
    <w:p>
      <w:pPr>
        <w:pStyle w:val="Compact"/>
        <w:numPr>
          <w:ilvl w:val="0"/>
          <w:numId w:val="1006"/>
        </w:numPr>
      </w:pPr>
      <w:r>
        <w:t xml:space="preserve">Prolec </w:t>
      </w:r>
      <w:r>
        <w:rPr>
          <w:rFonts w:hint="eastAsia"/>
        </w:rPr>
        <w:t xml:space="preserve">GE買収を$5.275Bで発表（50%キャッシュ、50%債務）。即座にEBITDA</w:t>
      </w:r>
      <w:r>
        <w:t xml:space="preserve"> </w:t>
      </w:r>
      <w:r>
        <w:rPr>
          <w:rFonts w:hint="eastAsia"/>
        </w:rPr>
        <w:t xml:space="preserve">accretive。買収後も債務/EBITDA</w:t>
      </w:r>
      <w:r>
        <w:t xml:space="preserve"> </w:t>
      </w:r>
      <w:r>
        <w:rPr>
          <w:rFonts w:hint="eastAsia"/>
        </w:rPr>
        <w:t xml:space="preserve">1x未満を維持。Q3</w:t>
      </w:r>
      <w:r>
        <w:t xml:space="preserve"> 2025 EC, p.2-3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Woodwardガスタービン部品事業買収完了。100日で労働時間50,000→90,000時間への道筋を確認。Q2</w:t>
      </w:r>
      <w:r>
        <w:t xml:space="preserve"> 2025 EC, p.3-4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S&amp;PとFitch双方が投資適格格付けを引き上げ、見通しをPositiveに。Q4</w:t>
      </w:r>
      <w:r>
        <w:t xml:space="preserve"> 2025 EC, p.4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製造ソフトウェア事業を約$600Mで売却合意（ポートフォリオ最適化）。Q3</w:t>
      </w:r>
      <w:r>
        <w:t xml:space="preserve"> 2025 EC, p.7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出典:</w:t>
      </w:r>
      <w:r>
        <w:t xml:space="preserve"> Q1 2025 EC (2025-04-23), p.4; Q2 2025 EC (2025-07-23), p.3-4; Q3 2025 EC (2025-10-22), p.5, 7; Q4 2025 EC (2026-01-28), p.3-4</w:t>
      </w:r>
    </w:p>
    <w:bookmarkEnd w:id="37"/>
    <w:bookmarkStart w:id="38" w:name="納得度-5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38"/>
    <w:bookmarkStart w:id="39" w:name="備考任意-5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仮説-78"/>
    <w:p>
      <w:pPr>
        <w:pStyle w:val="Heading2"/>
      </w:pPr>
      <w:r>
        <w:rPr>
          <w:rFonts w:hint="eastAsia"/>
        </w:rPr>
        <w:t xml:space="preserve">仮説</w:t>
      </w:r>
      <w:r>
        <w:t xml:space="preserve"> 7/8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【リスク仮説】オンショア風力の受注回復遅延と米国政策不確実性がWindセグメントの黒字化を遅らせるリスク</w:t>
      </w:r>
    </w:p>
    <w:bookmarkStart w:id="41" w:name="根拠情報-6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北米のオンショア風力受注インフレクションの時期が不確実。顧客は系統接続キュー・金利・許認可で苦戦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p.3; 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2024年通年でWind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EBITDA損失を約半減したが、依然赤字（オフショア$1B損失が主因）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オンショア風力は2024年にhigh</w:t>
            </w:r>
            <w:r>
              <w:rPr>
                <w:rFonts w:ascii="Times New Roman" w:hAnsi="Times New Roman" w:eastAsia="游明朝"/>
                <w:sz w:val="18"/>
              </w:rPr>
              <w:t xml:space="preserve"> single digit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EBITDAマージンを達成したが、売上はほぼフラット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2025年ガイダンスでWindは売上mid</w:t>
            </w:r>
            <w:r>
              <w:rPr>
                <w:rFonts w:ascii="Times New Roman" w:hAnsi="Times New Roman" w:eastAsia="游明朝"/>
                <w:sz w:val="18"/>
              </w:rPr>
              <w:t xml:space="preserve"> single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digit減少、EBITDA損失$200-400Mを見込む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Q4 2024 EC, p.7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オンショアの受注インフレクションは「2025年の受注→2026年の収益」が最も早いシナリオ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p.8</w:t>
            </w:r>
          </w:p>
        </w:tc>
      </w:tr>
    </w:tbl>
    <w:bookmarkEnd w:id="41"/>
    <w:bookmarkStart w:id="42" w:name="更新情報直近1年-6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リスク顕在化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「2025年受注→2026年売上インフレクション」を最も楽観的なシナリオとしていたが、米国のオンショア風力受注は2025年を通じて低迷が継続。許認可遅延と関税不確実性が重なり、2026年の売上はlow-double-digit減少を見込む状況に。さらに2025年12月の米国政府によるオフショア風力全面停止命令がVineyard</w:t>
      </w:r>
      <w:r>
        <w:t xml:space="preserve"> </w:t>
      </w:r>
      <w:r>
        <w:rPr>
          <w:rFonts w:hint="eastAsia"/>
        </w:rPr>
        <w:t xml:space="preserve">Wind完工を遅延させ、FY2025</w:t>
      </w:r>
      <w:r>
        <w:t xml:space="preserve"> </w:t>
      </w:r>
      <w:r>
        <w:rPr>
          <w:rFonts w:hint="eastAsia"/>
        </w:rPr>
        <w:t xml:space="preserve">Wind損失は当初目標$400Mに対し$600Mに拡大。2026年もWind損失$400Mを見込み、セグメント黒字化の時期はさらに後ろ倒しになった。</w:t>
      </w:r>
    </w:p>
    <w:p>
      <w:pPr>
        <w:pStyle w:val="Compact"/>
        <w:numPr>
          <w:ilvl w:val="0"/>
          <w:numId w:val="1007"/>
        </w:numPr>
      </w:pPr>
      <w:r>
        <w:t xml:space="preserve">FY2025 Wind </w:t>
      </w:r>
      <w:r>
        <w:rPr>
          <w:rFonts w:hint="eastAsia"/>
        </w:rPr>
        <w:t xml:space="preserve">EBITDA損失は約$600M（当初目標$400M）。12月の米国政府オフショア停止命令が主因。Q4</w:t>
      </w:r>
      <w:r>
        <w:t xml:space="preserve"> 2025 EC, p.5-6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米国オンショア風力受注は2025年を通じて低迷。許認可遅延・関税不確実性が継続。Q3</w:t>
      </w:r>
      <w:r>
        <w:t xml:space="preserve"> 2025 EC, p.5; Q4 2025 EC, p.5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2026年Wind売上はlow-double-digit減少見通し。EBITDA損失は約$400M。Q4</w:t>
      </w:r>
      <w:r>
        <w:t xml:space="preserve"> 2025 EC, p.6</w:t>
      </w:r>
    </w:p>
    <w:p>
      <w:pPr>
        <w:pStyle w:val="Compact"/>
        <w:numPr>
          <w:ilvl w:val="0"/>
          <w:numId w:val="1007"/>
        </w:numPr>
      </w:pPr>
      <w:r>
        <w:t xml:space="preserve">Vineyard </w:t>
      </w:r>
      <w:r>
        <w:rPr>
          <w:rFonts w:hint="eastAsia"/>
        </w:rPr>
        <w:t xml:space="preserve">Wind完工目前（残11タービン）で停止命令。2026年3月までに完了できない場合、約$250Mの売上影響。Q4</w:t>
      </w:r>
      <w:r>
        <w:t xml:space="preserve"> 2025 EC, p.6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ただし、7月の税法成立後にリパワリング需要で顧客エンゲージメントが増加する兆しも。Q2</w:t>
      </w:r>
      <w:r>
        <w:t xml:space="preserve"> 2025 EC, p.3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オンショア風力のインフレクション時期は依然として見通し困難。Q4</w:t>
      </w:r>
      <w:r>
        <w:t xml:space="preserve"> 2025 EC, p.5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出典:</w:t>
      </w:r>
      <w:r>
        <w:t xml:space="preserve"> Q1 2025 EC (2025-04-23), p.6; Q2 2025 EC (2025-07-23), p.3, 6-7; Q3 2025 EC (2025-10-22), p.5, 7-8; Q4 2025 EC (2026-01-28), p.2, 5-6</w:t>
      </w:r>
    </w:p>
    <w:bookmarkEnd w:id="42"/>
    <w:bookmarkStart w:id="43" w:name="納得度-6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3"/>
    <w:bookmarkStart w:id="44" w:name="備考任意-6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仮説-88"/>
    <w:p>
      <w:pPr>
        <w:pStyle w:val="Heading2"/>
      </w:pPr>
      <w:r>
        <w:rPr>
          <w:rFonts w:hint="eastAsia"/>
        </w:rPr>
        <w:t xml:space="preserve">仮説</w:t>
      </w:r>
      <w:r>
        <w:t xml:space="preserve"> 8/8</w:t>
      </w:r>
    </w:p>
    <w:p>
      <w:pPr>
        <w:pStyle w:val="FirstParagraph"/>
      </w:pPr>
      <w:r>
        <w:rPr>
          <w:rFonts w:hint="eastAsia"/>
          <w:b/>
          <w:bCs/>
        </w:rPr>
        <w:t xml:space="preserve">【リスク仮説】関税・インフレ・サプライチェーン制約がマージン拡大ペースを鈍化させるリスク</w:t>
      </w:r>
    </w:p>
    <w:bookmarkStart w:id="46" w:name="根拠情報-7"/>
    <w:p>
      <w:pPr>
        <w:pStyle w:val="Heading3"/>
      </w:pPr>
      <w:r>
        <w:rPr>
          <w:rFonts w:hint="eastAsia"/>
        </w:rPr>
        <w:t xml:space="preserve">根拠情報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3168"/>
        <w:gridCol w:w="3168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#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情報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出典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インフレが全セグメントのマージン拡大のオフセット要因として継続的に言及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p.4; Q2 2024 EC, p.4; Q4 2024 EC, p.5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ガスパワーのサプライチェーン（鋳造品・鍛造品）が能力拡大のボトルネック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独立会社としてのスタンドアロンコスト（IT、財務、HR）が追加負担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Q1 2024 EC, p.2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オフショア風力の品質問題（Vineyard</w:t>
            </w:r>
            <w:r>
              <w:rPr>
                <w:rFonts w:ascii="Times New Roman" w:hAnsi="Times New Roman" w:eastAsia="游明朝"/>
                <w:sz w:val="18"/>
              </w:rPr>
              <w:t xml:space="preserve"> </w:t>
            </w:r>
            <w:r>
              <w:rPr>
                <w:rFonts w:hint="eastAsia" w:ascii="Times New Roman" w:hAnsi="Times New Roman" w:eastAsia="游明朝"/>
                <w:sz w:val="18"/>
              </w:rPr>
              <w:t xml:space="preserve">Windブレード事故）で$700Mの追加損失計上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Q3 2024 EC, p.4-5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生産能力拡大にCapEx投資が必要。2024年はガスパワー中心にCapExが増加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Q2 2024 EC, p.5-6</w:t>
            </w:r>
          </w:p>
        </w:tc>
      </w:tr>
    </w:tbl>
    <w:bookmarkEnd w:id="46"/>
    <w:bookmarkStart w:id="47" w:name="更新情報直近1年-7"/>
    <w:p>
      <w:pPr>
        <w:pStyle w:val="Heading3"/>
      </w:pPr>
      <w:r>
        <w:rPr>
          <w:rFonts w:hint="eastAsia"/>
        </w:rPr>
        <w:t xml:space="preserve">更新情報（直近1年）</w:t>
      </w:r>
    </w:p>
    <w:p>
      <w:pPr>
        <w:pStyle w:val="FirstParagraph"/>
      </w:pPr>
      <w:r>
        <w:rPr>
          <w:rFonts w:hint="eastAsia"/>
          <w:b/>
          <w:bCs/>
        </w:rPr>
        <w:t xml:space="preserve">変化: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弱体化（リスク低減方向）</w:t>
      </w:r>
    </w:p>
    <w:p>
      <w:pPr>
        <w:pStyle w:val="BodyText"/>
      </w:pPr>
      <w:r>
        <w:rPr>
          <w:rFonts w:hint="eastAsia"/>
          <w:b/>
          <w:bCs/>
        </w:rPr>
        <w:t xml:space="preserve">初期仮説への影響:</w:t>
      </w:r>
      <w:r>
        <w:t xml:space="preserve"> </w:t>
      </w:r>
      <w:r>
        <w:rPr>
          <w:rFonts w:hint="eastAsia"/>
        </w:rPr>
        <w:t xml:space="preserve">初期仮説構築時点ではインフレ・サプライチェーン・スタンドアロンコストのトリプルヘッドウィンドがマージン拡大を制約するリスクが高かったが、直近1年で関税影響は$300-400M（約1ptのマージン圧迫）と定量化され、しかもそのレンジの下限に収束。GEVはcontractual</w:t>
      </w:r>
      <w:r>
        <w:t xml:space="preserve"> </w:t>
      </w:r>
      <w:r>
        <w:rPr>
          <w:rFonts w:hint="eastAsia"/>
        </w:rPr>
        <w:t xml:space="preserve">provisions・G&amp;A加速削減・サプライチェーン多元化で対処中。ガスパワーのサプライチェーンは能力拡大が順調に進み、2026年中盤に20GW年産体制に到達予定。結果として全社マージンはFY2025で前年比+210bp拡大しており、リスクは当初想定より抑制されている。ただし関税環境は流動的であり、完全には払拭されていない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関税影響はFY2025で$300-400Mのレンジ下限に収束（約1ptのマージン圧迫）。Q3</w:t>
      </w:r>
      <w:r>
        <w:t xml:space="preserve"> 2025 EC, p.8; Q4 2025 EC, p.7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関税対策として既存契約のcontractual</w:t>
      </w:r>
      <w:r>
        <w:t xml:space="preserve"> </w:t>
      </w:r>
      <w:r>
        <w:rPr>
          <w:rFonts w:hint="eastAsia"/>
        </w:rPr>
        <w:t xml:space="preserve">provisions活用、G&amp;Aコスト削減加速、free</w:t>
      </w:r>
      <w:r>
        <w:t xml:space="preserve"> trade </w:t>
      </w:r>
      <w:r>
        <w:rPr>
          <w:rFonts w:hint="eastAsia"/>
        </w:rPr>
        <w:t xml:space="preserve">zone活用を推進。Q1</w:t>
      </w:r>
      <w:r>
        <w:t xml:space="preserve"> 2025 EC, p.2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ガスパワーのサプライチェーン能力拡大は順調。FY2025で200台超の新規機械を工場に設置、約1,000人の生産労働者を追加。Q3</w:t>
      </w:r>
      <w:r>
        <w:t xml:space="preserve"> 2025 EC, p.5; Q4 2025 EC, p.3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FY2025全社EBITDA</w:t>
      </w:r>
      <w:r>
        <w:t xml:space="preserve"> margin </w:t>
      </w:r>
      <w:r>
        <w:rPr>
          <w:rFonts w:hint="eastAsia"/>
        </w:rPr>
        <w:t xml:space="preserve">+210bp拡大、関税影響を吸収してなお拡大。Q4</w:t>
      </w:r>
      <w:r>
        <w:t xml:space="preserve"> 2025 EC, p.4-5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ただし、2026年のWind部門では1H出荷分に関税のcontractual</w:t>
      </w:r>
      <w:r>
        <w:t xml:space="preserve"> </w:t>
      </w:r>
      <w:r>
        <w:rPr>
          <w:rFonts w:hint="eastAsia"/>
        </w:rPr>
        <w:t xml:space="preserve">protectionがなく、セグメントマージンに影響。Q4</w:t>
      </w:r>
      <w:r>
        <w:t xml:space="preserve"> 2025 EC, p.6</w:t>
      </w:r>
    </w:p>
    <w:p>
      <w:pPr>
        <w:pStyle w:val="Compact"/>
        <w:numPr>
          <w:ilvl w:val="0"/>
          <w:numId w:val="1008"/>
        </w:numPr>
      </w:pPr>
      <w:r>
        <w:t xml:space="preserve">Prolec </w:t>
      </w:r>
      <w:r>
        <w:rPr>
          <w:rFonts w:hint="eastAsia"/>
        </w:rPr>
        <w:t xml:space="preserve">GEの工場は5つが米国内、1つがUSMCA準拠のメキシコにあり、関税リスクが低い。Q3</w:t>
      </w:r>
      <w:r>
        <w:t xml:space="preserve"> 2025 EC, p.2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出典:</w:t>
      </w:r>
      <w:r>
        <w:t xml:space="preserve"> Q1 2025 EC (2025-04-23), p.2, 6; Q2 2025 EC (2025-07-23), p.4; Q3 2025 EC (2025-10-22), p.2, 5, 8; Q4 2025 EC (2026-01-28), p.3, 6-7</w:t>
      </w:r>
    </w:p>
    <w:bookmarkEnd w:id="47"/>
    <w:bookmarkStart w:id="48" w:name="納得度-7"/>
    <w:p>
      <w:pPr>
        <w:pStyle w:val="Heading3"/>
      </w:pPr>
      <w:r>
        <w:rPr>
          <w:rFonts w:hint="eastAsia"/>
        </w:rPr>
        <w:t xml:space="preserve">納得度</w:t>
      </w:r>
    </w:p>
    <w:p>
      <w:pPr>
        <w:pStyle w:val="FirstParagraph"/>
      </w:pPr>
      <w:r>
        <w:t xml:space="preserve">□ 90%　□ 70%　□ 50%　□ 30%　□ 10%</w:t>
      </w:r>
    </w:p>
    <w:bookmarkEnd w:id="48"/>
    <w:bookmarkStart w:id="49" w:name="備考任意-7"/>
    <w:p>
      <w:pPr>
        <w:pStyle w:val="Heading3"/>
      </w:pPr>
      <w:r>
        <w:rPr>
          <w:rFonts w:hint="eastAsia"/>
        </w:rPr>
        <w:t xml:space="preserve">備考（任意）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補足-sec-edgar-財務サマリー"/>
    <w:p>
      <w:pPr>
        <w:pStyle w:val="Heading2"/>
      </w:pPr>
      <w:r>
        <w:rPr>
          <w:rFonts w:hint="eastAsia"/>
        </w:rPr>
        <w:t xml:space="preserve">補足:</w:t>
      </w:r>
      <w:r>
        <w:t xml:space="preserve"> SEC EDGAR </w:t>
      </w:r>
      <w:r>
        <w:rPr>
          <w:rFonts w:hint="eastAsia"/>
        </w:rPr>
        <w:t xml:space="preserve">財務サマリー</w:t>
      </w:r>
    </w:p>
    <w:bookmarkStart w:id="51" w:name="初期仮説構築期間fy2024-10-k"/>
    <w:p>
      <w:pPr>
        <w:pStyle w:val="Heading3"/>
      </w:pPr>
      <w:r>
        <w:rPr>
          <w:rFonts w:hint="eastAsia"/>
        </w:rPr>
        <w:t xml:space="preserve">初期仮説構築期間（FY2024</w:t>
      </w:r>
      <w:r>
        <w:t xml:space="preserve"> </w:t>
      </w:r>
      <w:r>
        <w:rPr>
          <w:rFonts w:hint="eastAsia"/>
        </w:rPr>
        <w:t xml:space="preserve">10-K）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$34.9B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$33.2B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$693M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▲$484M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黒字転換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EBITDA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$2.1B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$1.0B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+110%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EBITDA Margin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6.1%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3.1%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+300bp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$1.7B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$0.4B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+$1.3B</w:t>
            </w:r>
          </w:p>
        </w:tc>
      </w:tr>
    </w:tbl>
    <w:bookmarkEnd w:id="51"/>
    <w:bookmarkStart w:id="52" w:name="更新情報期間fy2025-10-k-filed-2026-01-29"/>
    <w:p>
      <w:pPr>
        <w:pStyle w:val="Heading3"/>
      </w:pPr>
      <w:r>
        <w:rPr>
          <w:rFonts w:hint="eastAsia"/>
        </w:rPr>
        <w:t xml:space="preserve">更新情報期間（FY2025</w:t>
      </w:r>
      <w:r>
        <w:t xml:space="preserve"> 10-K, filed </w:t>
      </w:r>
      <w:r>
        <w:rPr>
          <w:rFonts w:hint="eastAsia"/>
        </w:rPr>
        <w:t xml:space="preserve">2026-01-29）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項目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FY2024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  <w:bottom w:val="double" w:sz="4" w:space="0" w:color="000000"/>
            </w:tcBorders>
          </w:tcPr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増減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総売上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$38.0B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$34.9B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Times New Roman" w:hAnsi="Times New Roman" w:eastAsia="游明朝"/>
                <w:sz w:val="18"/>
              </w:rPr>
              <w:t xml:space="preserve">営業利益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$1,388M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$693M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Adjusted EBITDA Margin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8.3%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6.1%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+210bp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FCF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$3.7B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$1.7B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+$2.0B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Diluted EPS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$17.69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Times New Roman" w:hAnsi="Times New Roman" w:eastAsia="游明朝"/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注:</w:t>
      </w:r>
      <w:r>
        <w:t xml:space="preserve"> FY2025のNet </w:t>
      </w:r>
      <w:r>
        <w:rPr>
          <w:rFonts w:hint="eastAsia"/>
        </w:rPr>
        <w:t xml:space="preserve">Incomeは$4.9Bで、ポートフォリオ売却益・税効果等の一時項目を含む。Adjusted</w:t>
      </w:r>
      <w:r>
        <w:t xml:space="preserve"> </w:t>
      </w:r>
      <w:r>
        <w:rPr>
          <w:rFonts w:hint="eastAsia"/>
        </w:rPr>
        <w:t xml:space="preserve">EBITDAベースが事業の実態に近い。</w:t>
      </w:r>
    </w:p>
    <w:bookmarkEnd w:id="52"/>
    <w:bookmarkEnd w:id="53"/>
    <w:bookmarkEnd w:id="54"/>
    <w:sectPr>
      <w:footnotePr>
        <w:numRestart w:val="eachSect"/>
      </w:footnotePr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theme="minorBidi" w:eastAsia="游明朝" w:eastAsiaTheme="minorEastAsia" w:hAnsi="Times New Roman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eastAsia="游明朝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eastAsia="游明朝" w:hAnsi="Times New Roman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eastAsia="游明朝" w:hAnsi="Times New Roman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eastAsia="游明朝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="游明朝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="游明朝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="游明朝" w:eastAsiaTheme="majorEastAsia" w:hAnsi="Times New Roman"/>
      <w:b/>
      <w:color w:themeColor="accent1" w:themeShade="BF" w:val="0F4761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eastAsia="游明朝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游明朝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2026-04-10T01:22:44Z</dcterms:created>
  <dcterms:modified xsi:type="dcterms:W3CDTF">2026-04-10T01:22:44Z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