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jpm-us-jpmorgan-chase-投資仮説qa"/>
    <w:p>
      <w:pPr>
        <w:pStyle w:val="Heading1"/>
      </w:pPr>
      <w:r>
        <w:t xml:space="preserve">JPM US (JPMorgan Chase) — </w:t>
      </w:r>
      <w:r>
        <w:rPr>
          <w:rFonts w:hint="eastAsia"/>
        </w:rPr>
        <w:t xml:space="preserve">投資仮説Q&amp;A</w:t>
      </w:r>
    </w:p>
    <w:p>
      <w:pPr>
        <w:pStyle w:val="FirstParagraph"/>
      </w:pPr>
      <w:r>
        <w:rPr>
          <w:rFonts w:hint="eastAsia"/>
        </w:rPr>
        <w:t xml:space="preserve">基準日:</w:t>
      </w:r>
      <w:r>
        <w:t xml:space="preserve"> 2026-04-10</w:t>
      </w:r>
    </w:p>
    <w:bookmarkStart w:id="9" w:name="このqaの目的と回答方法"/>
    <w:p>
      <w:pPr>
        <w:pStyle w:val="Heading2"/>
      </w:pPr>
      <w:r>
        <w:rPr>
          <w:rFonts w:hint="eastAsia"/>
        </w:rPr>
        <w:t xml:space="preserve">このQ&amp;Aの目的と回答方法</w:t>
      </w:r>
    </w:p>
    <w:p>
      <w:pPr>
        <w:pStyle w:val="FirstParagraph"/>
      </w:pPr>
      <w:r>
        <w:rPr>
          <w:rFonts w:hint="eastAsia"/>
          <w:b/>
          <w:bCs/>
        </w:rPr>
        <w:t xml:space="preserve">目的</w:t>
      </w:r>
      <w:r>
        <w:t xml:space="preserve">: </w:t>
      </w:r>
      <w:r>
        <w:rPr>
          <w:rFonts w:hint="eastAsia"/>
        </w:rPr>
        <w:t xml:space="preserve">AIが生成した8つの投資仮説候補に対して、アナリストの「納得度」を収集し、情報の取捨選択基準を抽出する。</w:t>
      </w:r>
    </w:p>
    <w:p>
      <w:pPr>
        <w:pStyle w:val="BodyText"/>
      </w:pPr>
      <w:r>
        <w:rPr>
          <w:rFonts w:hint="eastAsia"/>
          <w:b/>
          <w:bCs/>
        </w:rPr>
        <w:t xml:space="preserve">問い</w:t>
      </w:r>
      <w:r>
        <w:t xml:space="preserve">: </w:t>
      </w:r>
      <w:r>
        <w:rPr>
          <w:rFonts w:hint="eastAsia"/>
        </w:rPr>
        <w:t xml:space="preserve">以下の情報と投資仮説を踏まえて、</w:t>
      </w:r>
      <w:r>
        <w:rPr>
          <w:rFonts w:hint="eastAsia"/>
          <w:b/>
          <w:bCs/>
        </w:rPr>
        <w:t xml:space="preserve">あなたはこの銘柄をBUYしますか？</w:t>
      </w:r>
    </w:p>
    <w:p>
      <w:pPr>
        <w:pStyle w:val="BodyText"/>
      </w:pPr>
      <w:r>
        <w:rPr>
          <w:rFonts w:hint="eastAsia"/>
          <w:b/>
          <w:bCs/>
        </w:rPr>
        <w:t xml:space="preserve">総合判断</w:t>
      </w:r>
      <w:r>
        <w:t xml:space="preserve">:</w:t>
      </w:r>
      <w:r>
        <w:t xml:space="preserve"> </w:t>
      </w:r>
      <w:r>
        <w:t xml:space="preserve">□ BUY　□ SELL　□ </w:t>
      </w:r>
      <w:r>
        <w:rPr>
          <w:rFonts w:hint="eastAsia"/>
        </w:rPr>
        <w:t xml:space="preserve">判断保留</w:t>
      </w:r>
    </w:p>
    <w:p>
      <w:pPr>
        <w:pStyle w:val="BodyText"/>
      </w:pPr>
      <w:r>
        <w:rPr>
          <w:rFonts w:hint="eastAsia"/>
          <w:b/>
          <w:bCs/>
        </w:rPr>
        <w:t xml:space="preserve">理由（任意）</w:t>
      </w:r>
      <w:r>
        <w:t xml:space="preserve">:</w:t>
      </w:r>
    </w:p>
    <w:p>
      <w:r>
        <w:pict>
          <v:rect style="width:0;height:1.5pt" o:hralign="center" o:hrstd="t" o:hr="t"/>
        </w:pict>
      </w:r>
    </w:p>
    <w:p>
      <w:pPr>
        <w:pStyle w:val="FirstParagraph"/>
      </w:pPr>
      <w:r>
        <w:rPr>
          <w:rFonts w:hint="eastAsia"/>
          <w:b/>
          <w:bCs/>
        </w:rPr>
        <w:t xml:space="preserve">各仮説の回答方法</w:t>
      </w:r>
      <w:r>
        <w:t xml:space="preserve">: </w:t>
      </w:r>
      <w:r>
        <w:rPr>
          <w:rFonts w:hint="eastAsia"/>
        </w:rPr>
        <w:t xml:space="preserve">各仮説について「この仮説がBUY判断にどの程度寄与するか」の納得度を選んでください。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5"/>
        <w:gridCol w:w="3394"/>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納得度</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意味</w:t>
            </w:r>
          </w:p>
        </w:tc>
      </w:tr>
      <w:tr>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この仮説は極めて重要。BUY判断の核心的な前提となる</w:t>
            </w:r>
          </w:p>
        </w:tc>
      </w:tr>
      <w:tr>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重要な補強材料。これ単独ではBUYの決め手にならないが、判断を強く支持する</w:t>
            </w:r>
          </w:p>
        </w:tc>
      </w:tr>
      <w:tr>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認識はしているが、判断への影響は中立的</w:t>
            </w:r>
          </w:p>
        </w:tc>
      </w:tr>
      <w:tr>
        <w:tc>
          <w:tcPr/>
          <w:p>
            <w:pPr>
              <w:pStyle w:val="Compact"/>
            </w:pPr>
            <w:r>
              <w:rPr>
                <w:rFonts w:ascii="Times New Roman" w:hAnsi="Times New Roman" w:eastAsia="游明朝"/>
                <w:sz w:val="18"/>
              </w:rPr>
              <w:t xml:space="preserve">30%</w:t>
            </w:r>
          </w:p>
        </w:tc>
        <w:tc>
          <w:tcPr/>
          <w:p>
            <w:pPr>
              <w:pStyle w:val="Compact"/>
            </w:pPr>
            <w:r>
              <w:rPr>
                <w:rFonts w:hint="eastAsia" w:ascii="Times New Roman" w:hAnsi="Times New Roman" w:eastAsia="游明朝"/>
                <w:sz w:val="18"/>
              </w:rPr>
              <w:t xml:space="preserve">やや懐疑的。前提が甘い、または不確実性が高い</w:t>
            </w:r>
          </w:p>
        </w:tc>
      </w:tr>
      <w:tr>
        <w:tc>
          <w:tcPr/>
          <w:p>
            <w:pPr>
              <w:pStyle w:val="Compact"/>
            </w:pPr>
            <w:r>
              <w:rPr>
                <w:rFonts w:ascii="Times New Roman" w:hAnsi="Times New Roman" w:eastAsia="游明朝"/>
                <w:sz w:val="18"/>
              </w:rPr>
              <w:t xml:space="preserve">10%</w:t>
            </w:r>
          </w:p>
        </w:tc>
        <w:tc>
          <w:tcPr/>
          <w:p>
            <w:pPr>
              <w:pStyle w:val="Compact"/>
            </w:pPr>
            <w:r>
              <w:rPr>
                <w:rFonts w:hint="eastAsia" w:ascii="Times New Roman" w:hAnsi="Times New Roman" w:eastAsia="游明朝"/>
                <w:sz w:val="18"/>
              </w:rPr>
              <w:t xml:space="preserve">この仮説は投資判断にほぼ無関係、または前提が間違っている</w:t>
            </w:r>
          </w:p>
        </w:tc>
      </w:tr>
    </w:tbl>
    <w:p>
      <w:pPr>
        <w:pStyle w:val="BodyText"/>
      </w:pPr>
      <w:r>
        <w:rPr>
          <w:rFonts w:hint="eastAsia"/>
        </w:rPr>
        <w:t xml:space="preserve">※リスク仮説（仮説7,</w:t>
      </w:r>
      <w:r>
        <w:t xml:space="preserve"> </w:t>
      </w:r>
      <w:r>
        <w:rPr>
          <w:rFonts w:hint="eastAsia"/>
        </w:rPr>
        <w:t xml:space="preserve">8）の場合:</w:t>
      </w:r>
      <w:r>
        <w:t xml:space="preserve"> </w:t>
      </w:r>
      <w:r>
        <w:rPr>
          <w:rFonts w:hint="eastAsia"/>
        </w:rPr>
        <w:t xml:space="preserve">「このリスクがBUY判断をどの程度毀損するか」を評価してください。90%=深刻なリスク、10%=無視できるリスク。</w:t>
      </w:r>
    </w:p>
    <w:p>
      <w:r>
        <w:pict>
          <v:rect style="width:0;height:1.5pt" o:hralign="center" o:hrstd="t" o:hr="t"/>
        </w:pict>
      </w:r>
    </w:p>
    <w:bookmarkEnd w:id="9"/>
    <w:bookmarkStart w:id="10" w:name="ソース情報"/>
    <w:p>
      <w:pPr>
        <w:pStyle w:val="Heading2"/>
      </w:pPr>
      <w:r>
        <w:rPr>
          <w:rFonts w:hint="eastAsia"/>
        </w:rPr>
        <w:t xml:space="preserve">ソース情報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3168"/>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区分</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ソース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期間</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2023 (2023-04-14) 〜 Q4 2024 (2025-01-15)</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SEC EDGAR (10-K, 10-Q)</w:t>
            </w:r>
          </w:p>
        </w:tc>
        <w:tc>
          <w:tcPr/>
          <w:p>
            <w:pPr>
              <w:pStyle w:val="Compact"/>
            </w:pPr>
            <w:r>
              <w:rPr>
                <w:rFonts w:ascii="Times New Roman" w:hAnsi="Times New Roman" w:eastAsia="游明朝"/>
                <w:sz w:val="18"/>
              </w:rPr>
              <w:t xml:space="preserve">FY2022 〜 FY2024</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Q2 2025 (2025-07-15) 〜 Q4 2025 (2026-01-13)</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FY2025</w:t>
            </w:r>
          </w:p>
        </w:tc>
      </w:tr>
    </w:tbl>
    <w:p>
      <w:pPr>
        <w:pStyle w:val="BodyText"/>
      </w:pPr>
      <w:r>
        <w:rPr>
          <w:rFonts w:hint="eastAsia"/>
          <w:b/>
          <w:bCs/>
        </w:rPr>
        <w:t xml:space="preserve">注</w:t>
      </w:r>
      <w:r>
        <w:t xml:space="preserve">: </w:t>
      </w:r>
      <w:r>
        <w:rPr>
          <w:rFonts w:hint="eastAsia"/>
        </w:rPr>
        <w:t xml:space="preserve">価格/バリュエーション（ITG,</w:t>
      </w:r>
      <w:r>
        <w:t xml:space="preserve"> PER, </w:t>
      </w:r>
      <w:r>
        <w:rPr>
          <w:rFonts w:hint="eastAsia"/>
        </w:rPr>
        <w:t xml:space="preserve">相対PE等）に関する仮説は、現時点でデータソースが不足しているため含まれていません。今後データを拡充して対応予定です。</w:t>
      </w:r>
    </w:p>
    <w:p>
      <w:r>
        <w:pict>
          <v:rect style="width:0;height:1.5pt" o:hralign="center" o:hrstd="t" o:hr="t"/>
        </w:pict>
      </w:r>
    </w:p>
    <w:bookmarkEnd w:id="10"/>
    <w:bookmarkStart w:id="15" w:name="仮説-18"/>
    <w:p>
      <w:pPr>
        <w:pStyle w:val="Heading2"/>
      </w:pPr>
      <w:r>
        <w:rPr>
          <w:rFonts w:hint="eastAsia"/>
        </w:rPr>
        <w:t xml:space="preserve">仮説</w:t>
      </w:r>
      <w:r>
        <w:t xml:space="preserve"> 1/8</w:t>
      </w:r>
    </w:p>
    <w:p>
      <w:pPr>
        <w:pStyle w:val="FirstParagraph"/>
      </w:pPr>
      <w:r>
        <w:rPr>
          <w:b/>
          <w:bCs/>
        </w:rPr>
        <w:t xml:space="preserve">NII </w:t>
      </w:r>
      <w:r>
        <w:rPr>
          <w:rFonts w:hint="eastAsia"/>
          <w:b/>
          <w:bCs/>
        </w:rPr>
        <w:t xml:space="preserve">ex-Marketsが金利サイクルの底打ちを経て2026年に$95B水準へ回復し、収益基盤の安定成長を支える</w:t>
      </w:r>
    </w:p>
    <w:bookmarkStart w:id="11" w:name="根拠情報"/>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2023年NII</w:t>
            </w:r>
            <w:r>
              <w:rPr>
                <w:rFonts w:ascii="Times New Roman" w:hAnsi="Times New Roman" w:eastAsia="游明朝"/>
                <w:sz w:val="18"/>
              </w:rPr>
              <w:t xml:space="preserve"> </w:t>
            </w:r>
            <w:r>
              <w:rPr>
                <w:rFonts w:hint="eastAsia" w:ascii="Times New Roman" w:hAnsi="Times New Roman" w:eastAsia="游明朝"/>
                <w:sz w:val="18"/>
              </w:rPr>
              <w:t xml:space="preserve">ex-Marketsが$88.5Bに到達（年初ガイダンス$73Bから大幅上方修正）、高金利環境の恩恵を最大化</w:t>
            </w:r>
          </w:p>
        </w:tc>
        <w:tc>
          <w:tcPr/>
          <w:p>
            <w:pPr>
              <w:pStyle w:val="Compact"/>
            </w:pPr>
            <w:r>
              <w:rPr>
                <w:rFonts w:ascii="Times New Roman" w:hAnsi="Times New Roman" w:eastAsia="游明朝"/>
                <w:sz w:val="18"/>
              </w:rPr>
              <w:t xml:space="preserve">Q3 2023 EC, p.5; Q4 2023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経営陣が「持続可能なNII</w:t>
            </w:r>
            <w:r>
              <w:rPr>
                <w:rFonts w:ascii="Times New Roman" w:hAnsi="Times New Roman" w:eastAsia="游明朝"/>
                <w:sz w:val="18"/>
              </w:rPr>
              <w:t xml:space="preserve"> </w:t>
            </w:r>
            <w:r>
              <w:rPr>
                <w:rFonts w:hint="eastAsia" w:ascii="Times New Roman" w:hAnsi="Times New Roman" w:eastAsia="游明朝"/>
                <w:sz w:val="18"/>
              </w:rPr>
              <w:t xml:space="preserve">ex-Markets水準はmid-70s」と繰り返し述べつつ、実際の到達は大幅に遅延</w:t>
            </w:r>
          </w:p>
        </w:tc>
        <w:tc>
          <w:tcPr/>
          <w:p>
            <w:pPr>
              <w:pStyle w:val="Compact"/>
            </w:pPr>
            <w:r>
              <w:rPr>
                <w:rFonts w:ascii="Times New Roman" w:hAnsi="Times New Roman" w:eastAsia="游明朝"/>
                <w:sz w:val="18"/>
              </w:rPr>
              <w:t xml:space="preserve">Q1 2023 EC, p.4; Q2 2023 EC, p.4-5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預金リプライシングが想定より遅いペースで進行。CD戦略が奏功し、yield-seeking</w:t>
            </w:r>
            <w:r>
              <w:rPr>
                <w:rFonts w:ascii="Times New Roman" w:hAnsi="Times New Roman" w:eastAsia="游明朝"/>
                <w:sz w:val="18"/>
              </w:rPr>
              <w:t xml:space="preserve"> </w:t>
            </w:r>
            <w:r>
              <w:rPr>
                <w:rFonts w:hint="eastAsia" w:ascii="Times New Roman" w:hAnsi="Times New Roman" w:eastAsia="游明朝"/>
                <w:sz w:val="18"/>
              </w:rPr>
              <w:t xml:space="preserve">flowを自社内で捕捉</w:t>
            </w:r>
          </w:p>
        </w:tc>
        <w:tc>
          <w:tcPr/>
          <w:p>
            <w:pPr>
              <w:pStyle w:val="Compact"/>
            </w:pPr>
            <w:r>
              <w:rPr>
                <w:rFonts w:ascii="Times New Roman" w:hAnsi="Times New Roman" w:eastAsia="游明朝"/>
                <w:sz w:val="18"/>
              </w:rPr>
              <w:t xml:space="preserve">Q2 2023 EC, p.5; Q3 2023 EC, p.5-6</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2024年NII</w:t>
            </w:r>
            <w:r>
              <w:rPr>
                <w:rFonts w:ascii="Times New Roman" w:hAnsi="Times New Roman" w:eastAsia="游明朝"/>
                <w:sz w:val="18"/>
              </w:rPr>
              <w:t xml:space="preserve"> </w:t>
            </w:r>
            <w:r>
              <w:rPr>
                <w:rFonts w:hint="eastAsia" w:ascii="Times New Roman" w:hAnsi="Times New Roman" w:eastAsia="游明朝"/>
                <w:sz w:val="18"/>
              </w:rPr>
              <w:t xml:space="preserve">ex-Marketsガイダンスを$88B→$89B→$91.5Bと段階的に引き上げ</w:t>
            </w:r>
          </w:p>
        </w:tc>
        <w:tc>
          <w:tcPr/>
          <w:p>
            <w:pPr>
              <w:pStyle w:val="Compact"/>
            </w:pPr>
            <w:r>
              <w:rPr>
                <w:rFonts w:ascii="Times New Roman" w:hAnsi="Times New Roman" w:eastAsia="游明朝"/>
                <w:sz w:val="18"/>
              </w:rPr>
              <w:t xml:space="preserve">Q4 2023 EC, p.3; Q1 2024 EC, p.4; Q3 2024 EC, p.3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カード残高のrevolve正常化が継続し、カードNIIが構造的にNIIを下支え（カード残高YoY+11-21%成長）</w:t>
            </w:r>
          </w:p>
        </w:tc>
        <w:tc>
          <w:tcPr/>
          <w:p>
            <w:pPr>
              <w:pStyle w:val="Compact"/>
            </w:pPr>
            <w:r>
              <w:rPr>
                <w:rFonts w:ascii="Times New Roman" w:hAnsi="Times New Roman" w:eastAsia="游明朝"/>
                <w:sz w:val="18"/>
              </w:rPr>
              <w:t xml:space="preserve">Q1 2023 EC, p.2; Q4 2024 EC, p.2</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証券再投資活動がNIIに貢献。バランスシートミックスの改善効果が累積的に積み上がる</w:t>
            </w:r>
          </w:p>
        </w:tc>
        <w:tc>
          <w:tcPr/>
          <w:p>
            <w:pPr>
              <w:pStyle w:val="Compact"/>
            </w:pPr>
            <w:r>
              <w:rPr>
                <w:rFonts w:ascii="Times New Roman" w:hAnsi="Times New Roman" w:eastAsia="游明朝"/>
                <w:sz w:val="18"/>
              </w:rPr>
              <w:t xml:space="preserve">Q3 2024 EC, p.1-2; Q4 2024 EC, p.1</w:t>
            </w:r>
          </w:p>
        </w:tc>
      </w:tr>
    </w:tbl>
    <w:bookmarkEnd w:id="11"/>
    <w:bookmarkStart w:id="12" w:name="更新情報直近1年"/>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初期仮説構築時点では「持続可能なNII水準はmid-70s」とされ、2024年後半からの利下げで大幅な減少が懸念されていた。しかし直近1年で2025年NII</w:t>
      </w:r>
      <w:r>
        <w:t xml:space="preserve"> </w:t>
      </w:r>
      <w:r>
        <w:rPr>
          <w:rFonts w:hint="eastAsia"/>
        </w:rPr>
        <w:t xml:space="preserve">ex-Marketsは$92Bと当初の悲観的見通しを大きく上回り、2026年は$95Bガイダンスが示された。利下げ影響はカード残高成長・ホールセール預金成長・証券再投資で吸収されており、NII底打ちは2025年半ばに完了。初期仮説の「NII正常化」リスクは大幅に低減した。</w:t>
      </w:r>
    </w:p>
    <w:p>
      <w:pPr>
        <w:pStyle w:val="Compact"/>
        <w:numPr>
          <w:ilvl w:val="0"/>
          <w:numId w:val="1001"/>
        </w:numPr>
      </w:pPr>
      <w:r>
        <w:rPr>
          <w:rFonts w:hint="eastAsia"/>
        </w:rPr>
        <w:t xml:space="preserve">2025年NII</w:t>
      </w:r>
      <w:r>
        <w:t xml:space="preserve"> </w:t>
      </w:r>
      <w:r>
        <w:rPr>
          <w:rFonts w:hint="eastAsia"/>
        </w:rPr>
        <w:t xml:space="preserve">ex-Marketsは通年$92Bに着地（年初ガイダンス$90Bから上方修正）。2026年は$95Bガイダンス。Q4</w:t>
      </w:r>
      <w:r>
        <w:t xml:space="preserve"> 2025 EC, p.3</w:t>
      </w:r>
    </w:p>
    <w:p>
      <w:pPr>
        <w:pStyle w:val="Compact"/>
        <w:numPr>
          <w:ilvl w:val="0"/>
          <w:numId w:val="1001"/>
        </w:numPr>
      </w:pPr>
      <w:r>
        <w:rPr>
          <w:rFonts w:hint="eastAsia"/>
        </w:rPr>
        <w:t xml:space="preserve">NII底打ちは2025年半ばに完了し、下期から成長トレンドへ転換。Q4</w:t>
      </w:r>
      <w:r>
        <w:t xml:space="preserve"> 2024 EC, p.3</w:t>
      </w:r>
    </w:p>
    <w:p>
      <w:pPr>
        <w:pStyle w:val="Compact"/>
        <w:numPr>
          <w:ilvl w:val="0"/>
          <w:numId w:val="1001"/>
        </w:numPr>
      </w:pPr>
      <w:r>
        <w:rPr>
          <w:rFonts w:hint="eastAsia"/>
        </w:rPr>
        <w:t xml:space="preserve">ホールセール預金がYoY+16%と大幅成長、Payments・Securities</w:t>
      </w:r>
      <w:r>
        <w:t xml:space="preserve"> </w:t>
      </w:r>
      <w:r>
        <w:rPr>
          <w:rFonts w:hint="eastAsia"/>
        </w:rPr>
        <w:t xml:space="preserve">Services主導。Q2</w:t>
      </w:r>
      <w:r>
        <w:t xml:space="preserve"> 2025 EC, p.3</w:t>
      </w:r>
    </w:p>
    <w:p>
      <w:pPr>
        <w:pStyle w:val="Compact"/>
        <w:numPr>
          <w:ilvl w:val="0"/>
          <w:numId w:val="1001"/>
        </w:numPr>
      </w:pPr>
      <w:r>
        <w:rPr>
          <w:rFonts w:hint="eastAsia"/>
        </w:rPr>
        <w:t xml:space="preserve">消費者預金は安定化、yield-seeking</w:t>
      </w:r>
      <w:r>
        <w:t xml:space="preserve"> </w:t>
      </w:r>
      <w:r>
        <w:rPr>
          <w:rFonts w:hint="eastAsia"/>
        </w:rPr>
        <w:t xml:space="preserve">flowは大幅に低下したもののゼロではない。Q4</w:t>
      </w:r>
      <w:r>
        <w:t xml:space="preserve"> 2025 EC, p.5</w:t>
      </w:r>
    </w:p>
    <w:p>
      <w:pPr>
        <w:pStyle w:val="Compact"/>
        <w:numPr>
          <w:ilvl w:val="0"/>
          <w:numId w:val="1001"/>
        </w:numPr>
      </w:pPr>
      <w:r>
        <w:rPr>
          <w:rFonts w:hint="eastAsia"/>
        </w:rPr>
        <w:t xml:space="preserve">カード残高はrevolve正常化の追い風が終了し成長率は鈍化するものの、引き続き健全なアカウント獲得が継続。Q4</w:t>
      </w:r>
      <w:r>
        <w:t xml:space="preserve"> 2025 EC, p.3</w:t>
      </w:r>
    </w:p>
    <w:p>
      <w:pPr>
        <w:pStyle w:val="Compact"/>
        <w:numPr>
          <w:ilvl w:val="0"/>
          <w:numId w:val="1001"/>
        </w:numPr>
      </w:pPr>
      <w:r>
        <w:rPr>
          <w:rFonts w:hint="eastAsia"/>
        </w:rPr>
        <w:t xml:space="preserve">出典:</w:t>
      </w:r>
      <w:r>
        <w:t xml:space="preserve"> Q2 2025 EC (2025-07-15), p.1-3; Q3 2025 EC (2025-10-14), p.2; Q4 2025 EC (2026-01-13), p.1-3</w:t>
      </w:r>
    </w:p>
    <w:bookmarkEnd w:id="12"/>
    <w:bookmarkStart w:id="13" w:name="納得度"/>
    <w:p>
      <w:pPr>
        <w:pStyle w:val="Heading3"/>
      </w:pPr>
      <w:r>
        <w:rPr>
          <w:rFonts w:hint="eastAsia"/>
        </w:rPr>
        <w:t xml:space="preserve">納得度</w:t>
      </w:r>
    </w:p>
    <w:p>
      <w:pPr>
        <w:pStyle w:val="FirstParagraph"/>
      </w:pPr>
      <w:r>
        <w:t xml:space="preserve">□ 90%　□ 70%　□ 50%　□ 30%　□ 10%</w:t>
      </w:r>
    </w:p>
    <w:bookmarkEnd w:id="13"/>
    <w:bookmarkStart w:id="14" w:name="備考任意"/>
    <w:p>
      <w:pPr>
        <w:pStyle w:val="Heading3"/>
      </w:pPr>
      <w:r>
        <w:rPr>
          <w:rFonts w:hint="eastAsia"/>
        </w:rPr>
        <w:t xml:space="preserve">備考（任意）</w:t>
      </w:r>
    </w:p>
    <w:p>
      <w:r>
        <w:pict>
          <v:rect style="width:0;height:1.5pt" o:hralign="center" o:hrstd="t" o:hr="t"/>
        </w:pict>
      </w:r>
    </w:p>
    <w:bookmarkEnd w:id="14"/>
    <w:bookmarkEnd w:id="15"/>
    <w:bookmarkStart w:id="20" w:name="仮説-28"/>
    <w:p>
      <w:pPr>
        <w:pStyle w:val="Heading2"/>
      </w:pPr>
      <w:r>
        <w:rPr>
          <w:rFonts w:hint="eastAsia"/>
        </w:rPr>
        <w:t xml:space="preserve">仮説</w:t>
      </w:r>
      <w:r>
        <w:t xml:space="preserve"> 2/8</w:t>
      </w:r>
    </w:p>
    <w:p>
      <w:pPr>
        <w:pStyle w:val="FirstParagraph"/>
      </w:pPr>
      <w:r>
        <w:rPr>
          <w:rFonts w:hint="eastAsia"/>
          <w:b/>
          <w:bCs/>
        </w:rPr>
        <w:t xml:space="preserve">CIBのマーケット・IB収益がウォレットシェア#1を維持しつつ構造的に拡大し、フィーベース収益の柱となる</w:t>
      </w:r>
    </w:p>
    <w:bookmarkStart w:id="16" w:name="根拠情報-1"/>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IBフィーウォレットシェアが2023年通年8.8%、2024年通年9.3%と#1を維持・拡大</w:t>
            </w:r>
          </w:p>
        </w:tc>
        <w:tc>
          <w:tcPr/>
          <w:p>
            <w:pPr>
              <w:pStyle w:val="Compact"/>
            </w:pPr>
            <w:r>
              <w:rPr>
                <w:rFonts w:ascii="Times New Roman" w:hAnsi="Times New Roman" w:eastAsia="游明朝"/>
                <w:sz w:val="18"/>
              </w:rPr>
              <w:t xml:space="preserve">Q4 2023 EC, p.2; Q4 2024 EC, p.2</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2024年Q2にIBフィーがYoY+50%と大幅回復。Debt</w:t>
            </w:r>
            <w:r>
              <w:rPr>
                <w:rFonts w:ascii="Times New Roman" w:hAnsi="Times New Roman" w:eastAsia="游明朝"/>
                <w:sz w:val="18"/>
              </w:rPr>
              <w:t xml:space="preserve"> underwriting +51%、Equity underwriting +56%</w:t>
            </w:r>
          </w:p>
        </w:tc>
        <w:tc>
          <w:tcPr/>
          <w:p>
            <w:pPr>
              <w:pStyle w:val="Compact"/>
            </w:pPr>
            <w:r>
              <w:rPr>
                <w:rFonts w:ascii="Times New Roman" w:hAnsi="Times New Roman" w:eastAsia="游明朝"/>
                <w:sz w:val="18"/>
              </w:rPr>
              <w:t xml:space="preserve">Q2 2024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Markets収益が2024年に過去最高を記録。Equities事業がQ3</w:t>
            </w:r>
            <w:r>
              <w:rPr>
                <w:rFonts w:ascii="Times New Roman" w:hAnsi="Times New Roman" w:eastAsia="游明朝"/>
                <w:sz w:val="18"/>
              </w:rPr>
              <w:t xml:space="preserve"> </w:t>
            </w:r>
            <w:r>
              <w:rPr>
                <w:rFonts w:hint="eastAsia" w:ascii="Times New Roman" w:hAnsi="Times New Roman" w:eastAsia="游明朝"/>
                <w:sz w:val="18"/>
              </w:rPr>
              <w:t xml:space="preserve">2024にYoY+27%、特にPrimeとDerivativesが強い</w:t>
            </w:r>
          </w:p>
        </w:tc>
        <w:tc>
          <w:tcPr/>
          <w:p>
            <w:pPr>
              <w:pStyle w:val="Compact"/>
            </w:pPr>
            <w:r>
              <w:rPr>
                <w:rFonts w:ascii="Times New Roman" w:hAnsi="Times New Roman" w:eastAsia="游明朝"/>
                <w:sz w:val="18"/>
              </w:rPr>
              <w:t xml:space="preserve">Q3 2024 EC, p.3; Q4 2024 EC, p.2</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Securitized </w:t>
            </w:r>
            <w:r>
              <w:rPr>
                <w:rFonts w:hint="eastAsia" w:ascii="Times New Roman" w:hAnsi="Times New Roman" w:eastAsia="游明朝"/>
                <w:sz w:val="18"/>
              </w:rPr>
              <w:t xml:space="preserve">Products事業が複数四半期連続で強いパフォーマンス</w:t>
            </w:r>
          </w:p>
        </w:tc>
        <w:tc>
          <w:tcPr/>
          <w:p>
            <w:pPr>
              <w:pStyle w:val="Compact"/>
            </w:pPr>
            <w:r>
              <w:rPr>
                <w:rFonts w:ascii="Times New Roman" w:hAnsi="Times New Roman" w:eastAsia="游明朝"/>
                <w:sz w:val="18"/>
              </w:rPr>
              <w:t xml:space="preserve">Q4 2023 EC, p.2; Q2 2024 EC, p.3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Payments収益が安定成長基盤を形成。2024年Q4は$4.7B（YoY+3%）</w:t>
            </w:r>
          </w:p>
        </w:tc>
        <w:tc>
          <w:tcPr/>
          <w:p>
            <w:pPr>
              <w:pStyle w:val="Compact"/>
            </w:pPr>
            <w:r>
              <w:rPr>
                <w:rFonts w:ascii="Times New Roman" w:hAnsi="Times New Roman" w:eastAsia="游明朝"/>
                <w:sz w:val="18"/>
              </w:rPr>
              <w:t xml:space="preserve">Q4 2024 EC, p.2</w:t>
            </w:r>
          </w:p>
        </w:tc>
      </w:tr>
      <w:tr>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Security </w:t>
            </w:r>
            <w:r>
              <w:rPr>
                <w:rFonts w:hint="eastAsia" w:ascii="Times New Roman" w:hAnsi="Times New Roman" w:eastAsia="游明朝"/>
                <w:sz w:val="18"/>
              </w:rPr>
              <w:t xml:space="preserve">Services収益がYoY+10%成長、手数料成長と高い市場水準が牽引</w:t>
            </w:r>
          </w:p>
        </w:tc>
        <w:tc>
          <w:tcPr/>
          <w:p>
            <w:pPr>
              <w:pStyle w:val="Compact"/>
            </w:pPr>
            <w:r>
              <w:rPr>
                <w:rFonts w:ascii="Times New Roman" w:hAnsi="Times New Roman" w:eastAsia="游明朝"/>
                <w:sz w:val="18"/>
              </w:rPr>
              <w:t xml:space="preserve">Q4 2024 EC, p.2</w:t>
            </w:r>
          </w:p>
        </w:tc>
      </w:tr>
    </w:tbl>
    <w:bookmarkEnd w:id="16"/>
    <w:bookmarkStart w:id="17" w:name="更新情報直近1年-1"/>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初期仮説構築時点ではIBフィー回復とMarkets正常化が主要テーマだったが、直近1年でMarketsが「正常化」を超えて構造的に拡大した。Fixed</w:t>
      </w:r>
      <w:r>
        <w:t xml:space="preserve"> Income YoY+7-21%、Equities </w:t>
      </w:r>
      <w:r>
        <w:rPr>
          <w:rFonts w:hint="eastAsia"/>
        </w:rPr>
        <w:t xml:space="preserve">YoY+15-40%と異常値レベルの成長が3四半期連続で実現。IBフィーは2025年通年でやや正常化したが、パイプラインは堅調で2026年は大型案件のパイプアップが期待される。CIB全体の収益力は初期仮説の想定を上回っている。</w:t>
      </w:r>
    </w:p>
    <w:p>
      <w:pPr>
        <w:pStyle w:val="Compact"/>
        <w:numPr>
          <w:ilvl w:val="0"/>
          <w:numId w:val="1002"/>
        </w:numPr>
      </w:pPr>
      <w:r>
        <w:t xml:space="preserve">Q3 2025 </w:t>
      </w:r>
      <w:r>
        <w:rPr>
          <w:rFonts w:hint="eastAsia"/>
        </w:rPr>
        <w:t xml:space="preserve">Markets収益:</w:t>
      </w:r>
      <w:r>
        <w:t xml:space="preserve"> Fixed Income YoY+21%、Equities </w:t>
      </w:r>
      <w:r>
        <w:rPr>
          <w:rFonts w:hint="eastAsia"/>
        </w:rPr>
        <w:t xml:space="preserve">YoY+33%（Prime特に好調）。Q3</w:t>
      </w:r>
      <w:r>
        <w:t xml:space="preserve"> 2025 EC, p.2</w:t>
      </w:r>
    </w:p>
    <w:p>
      <w:pPr>
        <w:pStyle w:val="Compact"/>
        <w:numPr>
          <w:ilvl w:val="0"/>
          <w:numId w:val="1002"/>
        </w:numPr>
      </w:pPr>
      <w:r>
        <w:t xml:space="preserve">Q4 2025 </w:t>
      </w:r>
      <w:r>
        <w:rPr>
          <w:rFonts w:hint="eastAsia"/>
        </w:rPr>
        <w:t xml:space="preserve">Markets収益:</w:t>
      </w:r>
      <w:r>
        <w:t xml:space="preserve"> Fixed Income YoY+7%、Equities </w:t>
      </w:r>
      <w:r>
        <w:rPr>
          <w:rFonts w:hint="eastAsia"/>
        </w:rPr>
        <w:t xml:space="preserve">YoY+40%。CIB売上$19.4B。Q4</w:t>
      </w:r>
      <w:r>
        <w:t xml:space="preserve"> 2025 EC, p.2</w:t>
      </w:r>
    </w:p>
    <w:p>
      <w:pPr>
        <w:pStyle w:val="Compact"/>
        <w:numPr>
          <w:ilvl w:val="0"/>
          <w:numId w:val="1002"/>
        </w:numPr>
      </w:pPr>
      <w:r>
        <w:t xml:space="preserve">IBフィーはQ4 </w:t>
      </w:r>
      <w:r>
        <w:rPr>
          <w:rFonts w:hint="eastAsia"/>
        </w:rPr>
        <w:t xml:space="preserve">2025にYoY-5%も、一部大型案件が2026年にずれ込んだ影響。パイプラインは堅調で2026年に強い顧客エンゲージメントと案件活動を期待。Q4</w:t>
      </w:r>
      <w:r>
        <w:t xml:space="preserve"> 2025 EC, p.2</w:t>
      </w:r>
    </w:p>
    <w:p>
      <w:pPr>
        <w:pStyle w:val="Compact"/>
        <w:numPr>
          <w:ilvl w:val="0"/>
          <w:numId w:val="1002"/>
        </w:numPr>
      </w:pPr>
      <w:r>
        <w:rPr>
          <w:rFonts w:hint="eastAsia"/>
        </w:rPr>
        <w:t xml:space="preserve">ウォレットシェア2025年通年で引き続き#1を維持（年間ベース）。Q3</w:t>
      </w:r>
      <w:r>
        <w:t xml:space="preserve"> 2025 EC, p.2</w:t>
      </w:r>
    </w:p>
    <w:p>
      <w:pPr>
        <w:pStyle w:val="Compact"/>
        <w:numPr>
          <w:ilvl w:val="0"/>
          <w:numId w:val="1002"/>
        </w:numPr>
      </w:pPr>
      <w:r>
        <w:t xml:space="preserve">Payments・Securities </w:t>
      </w:r>
      <w:r>
        <w:rPr>
          <w:rFonts w:hint="eastAsia"/>
        </w:rPr>
        <w:t xml:space="preserve">Servicesも二桁成長を継続。Q2</w:t>
      </w:r>
      <w:r>
        <w:t xml:space="preserve"> 2025 EC, p.2-3</w:t>
      </w:r>
    </w:p>
    <w:p>
      <w:pPr>
        <w:pStyle w:val="Compact"/>
        <w:numPr>
          <w:ilvl w:val="0"/>
          <w:numId w:val="1002"/>
        </w:numPr>
      </w:pPr>
      <w:r>
        <w:rPr>
          <w:rFonts w:hint="eastAsia"/>
        </w:rPr>
        <w:t xml:space="preserve">出典:</w:t>
      </w:r>
      <w:r>
        <w:t xml:space="preserve"> Q2 2025 EC (2025-07-15), p.2-3; Q3 2025 EC (2025-10-14), p.2; Q4 2025 EC (2026-01-13), p.2</w:t>
      </w:r>
    </w:p>
    <w:bookmarkEnd w:id="17"/>
    <w:bookmarkStart w:id="18" w:name="納得度-1"/>
    <w:p>
      <w:pPr>
        <w:pStyle w:val="Heading3"/>
      </w:pPr>
      <w:r>
        <w:rPr>
          <w:rFonts w:hint="eastAsia"/>
        </w:rPr>
        <w:t xml:space="preserve">納得度</w:t>
      </w:r>
    </w:p>
    <w:p>
      <w:pPr>
        <w:pStyle w:val="FirstParagraph"/>
      </w:pPr>
      <w:r>
        <w:t xml:space="preserve">□ 90%　□ 70%　□ 50%　□ 30%　□ 10%</w:t>
      </w:r>
    </w:p>
    <w:bookmarkEnd w:id="18"/>
    <w:bookmarkStart w:id="19" w:name="備考任意-1"/>
    <w:p>
      <w:pPr>
        <w:pStyle w:val="Heading3"/>
      </w:pPr>
      <w:r>
        <w:rPr>
          <w:rFonts w:hint="eastAsia"/>
        </w:rPr>
        <w:t xml:space="preserve">備考（任意）</w:t>
      </w:r>
    </w:p>
    <w:p>
      <w:r>
        <w:pict>
          <v:rect style="width:0;height:1.5pt" o:hralign="center" o:hrstd="t" o:hr="t"/>
        </w:pict>
      </w:r>
    </w:p>
    <w:bookmarkEnd w:id="19"/>
    <w:bookmarkEnd w:id="20"/>
    <w:bookmarkStart w:id="25" w:name="仮説-38"/>
    <w:p>
      <w:pPr>
        <w:pStyle w:val="Heading2"/>
      </w:pPr>
      <w:r>
        <w:rPr>
          <w:rFonts w:hint="eastAsia"/>
        </w:rPr>
        <w:t xml:space="preserve">仮説</w:t>
      </w:r>
      <w:r>
        <w:t xml:space="preserve"> 3/8</w:t>
      </w:r>
    </w:p>
    <w:p>
      <w:pPr>
        <w:pStyle w:val="FirstParagraph"/>
      </w:pPr>
      <w:r>
        <w:rPr>
          <w:rFonts w:hint="eastAsia"/>
          <w:b/>
          <w:bCs/>
        </w:rPr>
        <w:t xml:space="preserve">AWMのAUM・顧客資産が構造的に拡大し、安定的な管理報酬収入の成長エンジンとなる</w:t>
      </w:r>
    </w:p>
    <w:bookmarkStart w:id="21" w:name="根拠情報-2"/>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AWM </w:t>
            </w:r>
            <w:r>
              <w:rPr>
                <w:rFonts w:hint="eastAsia" w:ascii="Times New Roman" w:hAnsi="Times New Roman" w:eastAsia="游明朝"/>
                <w:sz w:val="18"/>
              </w:rPr>
              <w:t xml:space="preserve">AUMが$3.0T（Q1</w:t>
            </w:r>
            <w:r>
              <w:rPr>
                <w:rFonts w:ascii="Times New Roman" w:hAnsi="Times New Roman" w:eastAsia="游明朝"/>
                <w:sz w:val="18"/>
              </w:rPr>
              <w:t xml:space="preserve"> </w:t>
            </w:r>
            <w:r>
              <w:rPr>
                <w:rFonts w:hint="eastAsia" w:ascii="Times New Roman" w:hAnsi="Times New Roman" w:eastAsia="游明朝"/>
                <w:sz w:val="18"/>
              </w:rPr>
              <w:t xml:space="preserve">2023）→$4.0T（Q4</w:t>
            </w:r>
            <w:r>
              <w:rPr>
                <w:rFonts w:ascii="Times New Roman" w:hAnsi="Times New Roman" w:eastAsia="游明朝"/>
                <w:sz w:val="18"/>
              </w:rPr>
              <w:t xml:space="preserve"> </w:t>
            </w:r>
            <w:r>
              <w:rPr>
                <w:rFonts w:hint="eastAsia" w:ascii="Times New Roman" w:hAnsi="Times New Roman" w:eastAsia="游明朝"/>
                <w:sz w:val="18"/>
              </w:rPr>
              <w:t xml:space="preserve">2024）へ33%拡大。顧客資産は$4.3T→$5.9Tへ37%拡大</w:t>
            </w:r>
          </w:p>
        </w:tc>
        <w:tc>
          <w:tcPr/>
          <w:p>
            <w:pPr>
              <w:pStyle w:val="Compact"/>
            </w:pPr>
            <w:r>
              <w:rPr>
                <w:rFonts w:ascii="Times New Roman" w:hAnsi="Times New Roman" w:eastAsia="游明朝"/>
                <w:sz w:val="18"/>
              </w:rPr>
              <w:t xml:space="preserve">Q1 2023 EC, p.4; Q4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2023年に長期ネットインフロー$140B（過去最高）、2024年に$224B（再び過去最高）と加速</w:t>
            </w:r>
          </w:p>
        </w:tc>
        <w:tc>
          <w:tcPr/>
          <w:p>
            <w:pPr>
              <w:pStyle w:val="Compact"/>
            </w:pPr>
            <w:r>
              <w:rPr>
                <w:rFonts w:ascii="Times New Roman" w:hAnsi="Times New Roman" w:eastAsia="游明朝"/>
                <w:sz w:val="18"/>
              </w:rPr>
              <w:t xml:space="preserve">Q4 2023 EC, p.3; Q4 2024 EC, p.1</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2024年に顧客資産ネットインフロー$468B（過去最高）。全チャネル・地域・アセットクラスでポジティブ</w:t>
            </w:r>
          </w:p>
        </w:tc>
        <w:tc>
          <w:tcPr/>
          <w:p>
            <w:pPr>
              <w:pStyle w:val="Compact"/>
            </w:pPr>
            <w:r>
              <w:rPr>
                <w:rFonts w:ascii="Times New Roman" w:hAnsi="Times New Roman" w:eastAsia="游明朝"/>
                <w:sz w:val="18"/>
              </w:rPr>
              <w:t xml:space="preserve">Q4 2024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プライベートバンキングアドバイザーチームの継続的拡大が成長を支える</w:t>
            </w:r>
          </w:p>
        </w:tc>
        <w:tc>
          <w:tcPr/>
          <w:p>
            <w:pPr>
              <w:pStyle w:val="Compact"/>
            </w:pPr>
            <w:r>
              <w:rPr>
                <w:rFonts w:ascii="Times New Roman" w:hAnsi="Times New Roman" w:eastAsia="游明朝"/>
                <w:sz w:val="18"/>
              </w:rPr>
              <w:t xml:space="preserve">Q1 2023 EC, p.4; Q3 2024 EC, p.3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プレタックスマージンが28-35%で安定的に推移、スケールメリットが発現</w:t>
            </w:r>
          </w:p>
        </w:tc>
        <w:tc>
          <w:tcPr/>
          <w:p>
            <w:pPr>
              <w:pStyle w:val="Compact"/>
            </w:pPr>
            <w:r>
              <w:rPr>
                <w:rFonts w:ascii="Times New Roman" w:hAnsi="Times New Roman" w:eastAsia="游明朝"/>
                <w:sz w:val="18"/>
              </w:rPr>
              <w:t xml:space="preserve">Q4 2023 EC, p.3; Q4 2024 EC, p.3</w:t>
            </w:r>
          </w:p>
        </w:tc>
      </w:tr>
      <w:tr>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CCBのWealth </w:t>
            </w:r>
            <w:r>
              <w:rPr>
                <w:rFonts w:hint="eastAsia" w:ascii="Times New Roman" w:hAnsi="Times New Roman" w:eastAsia="游明朝"/>
                <w:sz w:val="18"/>
              </w:rPr>
              <w:t xml:space="preserve">Management事業からの紹介が増加し、ブランチネットワークとの連携が強化</w:t>
            </w:r>
          </w:p>
        </w:tc>
        <w:tc>
          <w:tcPr/>
          <w:p>
            <w:pPr>
              <w:pStyle w:val="Compact"/>
            </w:pPr>
            <w:r>
              <w:rPr>
                <w:rFonts w:ascii="Times New Roman" w:hAnsi="Times New Roman" w:eastAsia="游明朝"/>
                <w:sz w:val="18"/>
              </w:rPr>
              <w:t xml:space="preserve">Q3 2024 EC, p.2</w:t>
            </w:r>
          </w:p>
        </w:tc>
      </w:tr>
    </w:tbl>
    <w:bookmarkEnd w:id="21"/>
    <w:bookmarkStart w:id="22" w:name="更新情報直近1年-2"/>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AUMが$4.0Tに到達し長期インフロー$224Bが過去最高だったが、直近1年でAUMは$4.6Tへさらに15%拡大し、2025年通年の顧客資産ネットインフロー$553Bが再び過去最高を更新。プレタックスマージンも35-38%に改善し、AWMの収益貢献の質は初期仮説時点より明確に向上。管理報酬の安定成長基盤としてのAWMの位置づけは一段と強固になった。</w:t>
      </w:r>
    </w:p>
    <w:p>
      <w:pPr>
        <w:pStyle w:val="Compact"/>
        <w:numPr>
          <w:ilvl w:val="0"/>
          <w:numId w:val="1003"/>
        </w:numPr>
      </w:pPr>
      <w:r>
        <w:t xml:space="preserve">AUM </w:t>
      </w:r>
      <w:r>
        <w:rPr>
          <w:rFonts w:hint="eastAsia"/>
        </w:rPr>
        <w:t xml:space="preserve">$4.6T（Q3</w:t>
      </w:r>
      <w:r>
        <w:t xml:space="preserve"> </w:t>
      </w:r>
      <w:r>
        <w:rPr>
          <w:rFonts w:hint="eastAsia"/>
        </w:rPr>
        <w:t xml:space="preserve">2025）、顧客資産$6.8T。ともにYoY+18-20%。Q3</w:t>
      </w:r>
      <w:r>
        <w:t xml:space="preserve"> 2025 EC, p.2</w:t>
      </w:r>
    </w:p>
    <w:p>
      <w:pPr>
        <w:pStyle w:val="Compact"/>
        <w:numPr>
          <w:ilvl w:val="0"/>
          <w:numId w:val="1003"/>
        </w:numPr>
      </w:pPr>
      <w:r>
        <w:rPr>
          <w:rFonts w:hint="eastAsia"/>
        </w:rPr>
        <w:t xml:space="preserve">2025年通年の顧客資産ネットインフロー$553B（前年$468B、過去最高更新）。Q4</w:t>
      </w:r>
      <w:r>
        <w:t xml:space="preserve"> 2025 EC, p.2</w:t>
      </w:r>
    </w:p>
    <w:p>
      <w:pPr>
        <w:pStyle w:val="Compact"/>
        <w:numPr>
          <w:ilvl w:val="0"/>
          <w:numId w:val="1003"/>
        </w:numPr>
      </w:pPr>
      <w:r>
        <w:rPr>
          <w:rFonts w:hint="eastAsia"/>
        </w:rPr>
        <w:t xml:space="preserve">長期ネットインフロー2025年通年$209B。全チャネル・地域・アセットクラスでポジティブ。Q4</w:t>
      </w:r>
      <w:r>
        <w:t xml:space="preserve"> 2025 EC, p.2</w:t>
      </w:r>
    </w:p>
    <w:p>
      <w:pPr>
        <w:pStyle w:val="Compact"/>
        <w:numPr>
          <w:ilvl w:val="0"/>
          <w:numId w:val="1003"/>
        </w:numPr>
      </w:pPr>
      <w:r>
        <w:t xml:space="preserve">Q4 2025 </w:t>
      </w:r>
      <w:r>
        <w:rPr>
          <w:rFonts w:hint="eastAsia"/>
        </w:rPr>
        <w:t xml:space="preserve">AWM売上$6.5B（YoY+13%）、プレタックスマージン38%（過去最高水準）。Q4</w:t>
      </w:r>
      <w:r>
        <w:t xml:space="preserve"> 2025 EC, p.2</w:t>
      </w:r>
    </w:p>
    <w:p>
      <w:pPr>
        <w:pStyle w:val="Compact"/>
        <w:numPr>
          <w:ilvl w:val="0"/>
          <w:numId w:val="1003"/>
        </w:numPr>
      </w:pPr>
      <w:r>
        <w:t xml:space="preserve">Q3 2025 </w:t>
      </w:r>
      <w:r>
        <w:rPr>
          <w:rFonts w:hint="eastAsia"/>
        </w:rPr>
        <w:t xml:space="preserve">AWM売上$6.1B（YoY+12%、過去最高）。Q3</w:t>
      </w:r>
      <w:r>
        <w:t xml:space="preserve"> 2025 EC, p.2</w:t>
      </w:r>
    </w:p>
    <w:p>
      <w:pPr>
        <w:pStyle w:val="Compact"/>
        <w:numPr>
          <w:ilvl w:val="0"/>
          <w:numId w:val="1003"/>
        </w:numPr>
      </w:pPr>
      <w:r>
        <w:rPr>
          <w:rFonts w:hint="eastAsia"/>
        </w:rPr>
        <w:t xml:space="preserve">出典:</w:t>
      </w:r>
      <w:r>
        <w:t xml:space="preserve"> Q2 2025 EC (2025-07-15), p.3; Q3 2025 EC (2025-10-14), p.2; Q4 2025 EC (2026-01-13), p.2</w:t>
      </w:r>
    </w:p>
    <w:bookmarkEnd w:id="22"/>
    <w:bookmarkStart w:id="23" w:name="納得度-2"/>
    <w:p>
      <w:pPr>
        <w:pStyle w:val="Heading3"/>
      </w:pPr>
      <w:r>
        <w:rPr>
          <w:rFonts w:hint="eastAsia"/>
        </w:rPr>
        <w:t xml:space="preserve">納得度</w:t>
      </w:r>
    </w:p>
    <w:p>
      <w:pPr>
        <w:pStyle w:val="FirstParagraph"/>
      </w:pPr>
      <w:r>
        <w:t xml:space="preserve">□ 90%　□ 70%　□ 50%　□ 30%　□ 10%</w:t>
      </w:r>
    </w:p>
    <w:bookmarkEnd w:id="23"/>
    <w:bookmarkStart w:id="24" w:name="備考任意-2"/>
    <w:p>
      <w:pPr>
        <w:pStyle w:val="Heading3"/>
      </w:pPr>
      <w:r>
        <w:rPr>
          <w:rFonts w:hint="eastAsia"/>
        </w:rPr>
        <w:t xml:space="preserve">備考（任意）</w:t>
      </w:r>
    </w:p>
    <w:p>
      <w:r>
        <w:pict>
          <v:rect style="width:0;height:1.5pt" o:hralign="center" o:hrstd="t" o:hr="t"/>
        </w:pict>
      </w:r>
    </w:p>
    <w:bookmarkEnd w:id="24"/>
    <w:bookmarkEnd w:id="25"/>
    <w:bookmarkStart w:id="30" w:name="仮説-48"/>
    <w:p>
      <w:pPr>
        <w:pStyle w:val="Heading2"/>
      </w:pPr>
      <w:r>
        <w:rPr>
          <w:rFonts w:hint="eastAsia"/>
        </w:rPr>
        <w:t xml:space="preserve">仮説</w:t>
      </w:r>
      <w:r>
        <w:t xml:space="preserve"> 4/8</w:t>
      </w:r>
    </w:p>
    <w:p>
      <w:pPr>
        <w:pStyle w:val="FirstParagraph"/>
      </w:pPr>
      <w:r>
        <w:rPr>
          <w:rFonts w:hint="eastAsia"/>
          <w:b/>
          <w:bCs/>
        </w:rPr>
        <w:t xml:space="preserve">カード事業の規模拡大（アカウント獲得・残高成長）が消費者金融ビジネスの収益成長を牽引する</w:t>
      </w:r>
    </w:p>
    <w:bookmarkStart w:id="26" w:name="根拠情報-3"/>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カード残高がYoY+21%（Q1</w:t>
            </w:r>
            <w:r>
              <w:rPr>
                <w:rFonts w:ascii="Times New Roman" w:hAnsi="Times New Roman" w:eastAsia="游明朝"/>
                <w:sz w:val="18"/>
              </w:rPr>
              <w:t xml:space="preserve"> </w:t>
            </w:r>
            <w:r>
              <w:rPr>
                <w:rFonts w:hint="eastAsia" w:ascii="Times New Roman" w:hAnsi="Times New Roman" w:eastAsia="游明朝"/>
                <w:sz w:val="18"/>
              </w:rPr>
              <w:t xml:space="preserve">2023）→+14%（Q4</w:t>
            </w:r>
            <w:r>
              <w:rPr>
                <w:rFonts w:ascii="Times New Roman" w:hAnsi="Times New Roman" w:eastAsia="游明朝"/>
                <w:sz w:val="18"/>
              </w:rPr>
              <w:t xml:space="preserve"> </w:t>
            </w:r>
            <w:r>
              <w:rPr>
                <w:rFonts w:hint="eastAsia" w:ascii="Times New Roman" w:hAnsi="Times New Roman" w:eastAsia="游明朝"/>
                <w:sz w:val="18"/>
              </w:rPr>
              <w:t xml:space="preserve">2023）→+11%（Q4</w:t>
            </w:r>
            <w:r>
              <w:rPr>
                <w:rFonts w:ascii="Times New Roman" w:hAnsi="Times New Roman" w:eastAsia="游明朝"/>
                <w:sz w:val="18"/>
              </w:rPr>
              <w:t xml:space="preserve"> </w:t>
            </w:r>
            <w:r>
              <w:rPr>
                <w:rFonts w:hint="eastAsia" w:ascii="Times New Roman" w:hAnsi="Times New Roman" w:eastAsia="游明朝"/>
                <w:sz w:val="18"/>
              </w:rPr>
              <w:t xml:space="preserve">2024）と持続的に成長。revolve正常化と新規アカウント獲得の両輪</w:t>
            </w:r>
          </w:p>
        </w:tc>
        <w:tc>
          <w:tcPr/>
          <w:p>
            <w:pPr>
              <w:pStyle w:val="Compact"/>
            </w:pPr>
            <w:r>
              <w:rPr>
                <w:rFonts w:ascii="Times New Roman" w:hAnsi="Times New Roman" w:eastAsia="游明朝"/>
                <w:sz w:val="18"/>
              </w:rPr>
              <w:t xml:space="preserve">Q1 2023 EC, p.2; Q4 2023 EC, p.2; Q4 2024 EC, p.2</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2024年に約1,000万の新規カードアカウントを獲得（過去最高水準のfirst-time</w:t>
            </w:r>
            <w:r>
              <w:rPr>
                <w:rFonts w:ascii="Times New Roman" w:hAnsi="Times New Roman" w:eastAsia="游明朝"/>
                <w:sz w:val="18"/>
              </w:rPr>
              <w:t xml:space="preserve"> </w:t>
            </w:r>
            <w:r>
              <w:rPr>
                <w:rFonts w:hint="eastAsia" w:ascii="Times New Roman" w:hAnsi="Times New Roman" w:eastAsia="游明朝"/>
                <w:sz w:val="18"/>
              </w:rPr>
              <w:t xml:space="preserve">investor数）</w:t>
            </w:r>
          </w:p>
        </w:tc>
        <w:tc>
          <w:tcPr/>
          <w:p>
            <w:pPr>
              <w:pStyle w:val="Compact"/>
            </w:pPr>
            <w:r>
              <w:rPr>
                <w:rFonts w:ascii="Times New Roman" w:hAnsi="Times New Roman" w:eastAsia="游明朝"/>
                <w:sz w:val="18"/>
              </w:rPr>
              <w:t xml:space="preserve">Q4 2024 EC, p.1</w:t>
            </w:r>
          </w:p>
        </w:tc>
      </w:tr>
      <w:tr>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Card Services &amp; </w:t>
            </w:r>
            <w:r>
              <w:rPr>
                <w:rFonts w:hint="eastAsia" w:ascii="Times New Roman" w:hAnsi="Times New Roman" w:eastAsia="游明朝"/>
                <w:sz w:val="18"/>
              </w:rPr>
              <w:t xml:space="preserve">Auto収益がYoY+5-15%で安定成長。カードNIIがrevolving残高増加で構造的に増加</w:t>
            </w:r>
          </w:p>
        </w:tc>
        <w:tc>
          <w:tcPr/>
          <w:p>
            <w:pPr>
              <w:pStyle w:val="Compact"/>
            </w:pPr>
            <w:r>
              <w:rPr>
                <w:rFonts w:ascii="Times New Roman" w:hAnsi="Times New Roman" w:eastAsia="游明朝"/>
                <w:sz w:val="18"/>
              </w:rPr>
              <w:t xml:space="preserve">Q2 2023 EC, p.3; Q4 2024 EC, p.2</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デビット・クレジット合計支出がYoY+7-10%で堅調。消費者の支出行動は安定的</w:t>
            </w:r>
          </w:p>
        </w:tc>
        <w:tc>
          <w:tcPr/>
          <w:p>
            <w:pPr>
              <w:pStyle w:val="Compact"/>
            </w:pPr>
            <w:r>
              <w:rPr>
                <w:rFonts w:ascii="Times New Roman" w:hAnsi="Times New Roman" w:eastAsia="游明朝"/>
                <w:sz w:val="18"/>
              </w:rPr>
              <w:t xml:space="preserve">Q1 2023 EC, p.2; Q4 2024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2024年のカードNCO率は約3.4%で着地、経営陣は「正常化」として許容範囲内と評価</w:t>
            </w:r>
          </w:p>
        </w:tc>
        <w:tc>
          <w:tcPr/>
          <w:p>
            <w:pPr>
              <w:pStyle w:val="Compact"/>
            </w:pPr>
            <w:r>
              <w:rPr>
                <w:rFonts w:ascii="Times New Roman" w:hAnsi="Times New Roman" w:eastAsia="游明朝"/>
                <w:sz w:val="18"/>
              </w:rPr>
              <w:t xml:space="preserve">Q1 2024 EC, p.4; Q3 2024 EC, p.3</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Sapphireポートフォリオのリフレッシュ（2025年）が過去最高の新規アカウント獲得を記録</w:t>
            </w:r>
          </w:p>
        </w:tc>
        <w:tc>
          <w:tcPr/>
          <w:p>
            <w:pPr>
              <w:pStyle w:val="Compact"/>
            </w:pPr>
            <w:r>
              <w:rPr>
                <w:rFonts w:ascii="Times New Roman" w:hAnsi="Times New Roman" w:eastAsia="游明朝"/>
                <w:sz w:val="18"/>
              </w:rPr>
              <w:t xml:space="preserve">Q3 2025 EC, p.2</w:t>
            </w:r>
          </w:p>
        </w:tc>
      </w:tr>
    </w:tbl>
    <w:bookmarkEnd w:id="26"/>
    <w:bookmarkStart w:id="27" w:name="更新情報直近1年-3"/>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初期仮説構築時点ではカード残高成長の主要ドライバーだったrevolve正常化の追い風が2025年にほぼ完了し、成長率は鈍化が予想されていた。直近1年でrevolve正常化は確かに終了したが、Apple</w:t>
      </w:r>
      <w:r>
        <w:t xml:space="preserve"> </w:t>
      </w:r>
      <w:r>
        <w:rPr>
          <w:rFonts w:hint="eastAsia"/>
        </w:rPr>
        <w:t xml:space="preserve">Cardポートフォリオの買収（$23B</w:t>
      </w:r>
      <w:r>
        <w:t xml:space="preserve"> standardized </w:t>
      </w:r>
      <w:r>
        <w:rPr>
          <w:rFonts w:hint="eastAsia"/>
        </w:rPr>
        <w:t xml:space="preserve">RWA）という初期仮説にはなかった大型案件が加わり、カード事業の規模が不連続に拡大。加えてSapphireリフレッシュが過去最高のアカウント獲得を達成し、有機成長も持続。カードNCO率は3.3%と想定を下回り、信用品質も良好。</w:t>
      </w:r>
    </w:p>
    <w:p>
      <w:pPr>
        <w:pStyle w:val="Compact"/>
        <w:numPr>
          <w:ilvl w:val="0"/>
          <w:numId w:val="1004"/>
        </w:numPr>
      </w:pPr>
      <w:r>
        <w:t xml:space="preserve">Apple </w:t>
      </w:r>
      <w:r>
        <w:rPr>
          <w:rFonts w:hint="eastAsia"/>
        </w:rPr>
        <w:t xml:space="preserve">Cardポートフォリオ買収を発表。CCBに$2.2Bの引当金積み増し、$23B</w:t>
      </w:r>
      <w:r>
        <w:t xml:space="preserve"> standardized RWA。Q4 2025 EC, p.1-2</w:t>
      </w:r>
    </w:p>
    <w:p>
      <w:pPr>
        <w:pStyle w:val="Compact"/>
        <w:numPr>
          <w:ilvl w:val="0"/>
          <w:numId w:val="1004"/>
        </w:numPr>
      </w:pPr>
      <w:r>
        <w:rPr>
          <w:rFonts w:hint="eastAsia"/>
        </w:rPr>
        <w:t xml:space="preserve">2025年通年で1.7M</w:t>
      </w:r>
      <w:r>
        <w:t xml:space="preserve"> net new checking </w:t>
      </w:r>
      <w:r>
        <w:rPr>
          <w:rFonts w:hint="eastAsia"/>
        </w:rPr>
        <w:t xml:space="preserve">accounts、10.4M新規カードアカウント獲得。Q4</w:t>
      </w:r>
      <w:r>
        <w:t xml:space="preserve"> 2025 EC, p.2</w:t>
      </w:r>
    </w:p>
    <w:p>
      <w:pPr>
        <w:pStyle w:val="Compact"/>
        <w:numPr>
          <w:ilvl w:val="0"/>
          <w:numId w:val="1004"/>
        </w:numPr>
      </w:pPr>
      <w:r>
        <w:rPr>
          <w:rFonts w:hint="eastAsia"/>
        </w:rPr>
        <w:t xml:space="preserve">2025年カードNCO率は約3.3%に着地（当初ガイダンス3.6%を大幅に下回る）。Q3</w:t>
      </w:r>
      <w:r>
        <w:t xml:space="preserve"> 2025 EC, p.2</w:t>
      </w:r>
    </w:p>
    <w:p>
      <w:pPr>
        <w:pStyle w:val="Compact"/>
        <w:numPr>
          <w:ilvl w:val="0"/>
          <w:numId w:val="1004"/>
        </w:numPr>
      </w:pPr>
      <w:r>
        <w:rPr>
          <w:rFonts w:hint="eastAsia"/>
        </w:rPr>
        <w:t xml:space="preserve">2026年カードNCO率ガイダンスは約3.4%。消費者のレジリエンスが継続。Q4</w:t>
      </w:r>
      <w:r>
        <w:t xml:space="preserve"> 2025 EC, p.3</w:t>
      </w:r>
    </w:p>
    <w:p>
      <w:pPr>
        <w:pStyle w:val="Compact"/>
        <w:numPr>
          <w:ilvl w:val="0"/>
          <w:numId w:val="1004"/>
        </w:numPr>
      </w:pPr>
      <w:r>
        <w:rPr>
          <w:rFonts w:hint="eastAsia"/>
        </w:rPr>
        <w:t xml:space="preserve">カード残高はYoY+9%成長を維持（revolve正常化終了後も健全な獲得が継続）。Q2</w:t>
      </w:r>
      <w:r>
        <w:t xml:space="preserve"> 2025 EC, p.2</w:t>
      </w:r>
    </w:p>
    <w:p>
      <w:pPr>
        <w:pStyle w:val="Compact"/>
        <w:numPr>
          <w:ilvl w:val="0"/>
          <w:numId w:val="1004"/>
        </w:numPr>
      </w:pPr>
      <w:r>
        <w:rPr>
          <w:rFonts w:hint="eastAsia"/>
        </w:rPr>
        <w:t xml:space="preserve">出典:</w:t>
      </w:r>
      <w:r>
        <w:t xml:space="preserve"> Q2 2025 EC (2025-07-15), p.2; Q3 2025 EC (2025-10-14), p.2; Q4 2025 EC (2026-01-13), p.1-2</w:t>
      </w:r>
    </w:p>
    <w:bookmarkEnd w:id="27"/>
    <w:bookmarkStart w:id="28" w:name="納得度-3"/>
    <w:p>
      <w:pPr>
        <w:pStyle w:val="Heading3"/>
      </w:pPr>
      <w:r>
        <w:rPr>
          <w:rFonts w:hint="eastAsia"/>
        </w:rPr>
        <w:t xml:space="preserve">納得度</w:t>
      </w:r>
    </w:p>
    <w:p>
      <w:pPr>
        <w:pStyle w:val="FirstParagraph"/>
      </w:pPr>
      <w:r>
        <w:t xml:space="preserve">□ 90%　□ 70%　□ 50%　□ 30%　□ 10%</w:t>
      </w:r>
    </w:p>
    <w:bookmarkEnd w:id="28"/>
    <w:bookmarkStart w:id="29" w:name="備考任意-3"/>
    <w:p>
      <w:pPr>
        <w:pStyle w:val="Heading3"/>
      </w:pPr>
      <w:r>
        <w:rPr>
          <w:rFonts w:hint="eastAsia"/>
        </w:rPr>
        <w:t xml:space="preserve">備考（任意）</w:t>
      </w:r>
    </w:p>
    <w:p>
      <w:r>
        <w:pict>
          <v:rect style="width:0;height:1.5pt" o:hralign="center" o:hrstd="t" o:hr="t"/>
        </w:pict>
      </w:r>
    </w:p>
    <w:bookmarkEnd w:id="29"/>
    <w:bookmarkEnd w:id="30"/>
    <w:bookmarkStart w:id="35" w:name="仮説-58"/>
    <w:p>
      <w:pPr>
        <w:pStyle w:val="Heading2"/>
      </w:pPr>
      <w:r>
        <w:rPr>
          <w:rFonts w:hint="eastAsia"/>
        </w:rPr>
        <w:t xml:space="preserve">仮説</w:t>
      </w:r>
      <w:r>
        <w:t xml:space="preserve"> 5/8</w:t>
      </w:r>
    </w:p>
    <w:p>
      <w:pPr>
        <w:pStyle w:val="FirstParagraph"/>
      </w:pPr>
      <w:r>
        <w:rPr>
          <w:rFonts w:hint="eastAsia"/>
          <w:b/>
          <w:bCs/>
        </w:rPr>
        <w:t xml:space="preserve">テクノロジー投資・ブランチ拡大・人員増強による有機的フランチャイズ成長が市場シェアの持続的拡大を支える</w:t>
      </w:r>
    </w:p>
    <w:bookmarkStart w:id="31" w:name="根拠情報-4"/>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小売預金シェアでFDICデータ基準#1を2023年に達成し、主要市場でのリーダーシップを確立</w:t>
            </w:r>
          </w:p>
        </w:tc>
        <w:tc>
          <w:tcPr/>
          <w:p>
            <w:pPr>
              <w:pStyle w:val="Compact"/>
            </w:pPr>
            <w:r>
              <w:rPr>
                <w:rFonts w:ascii="Times New Roman" w:hAnsi="Times New Roman" w:eastAsia="游明朝"/>
                <w:sz w:val="18"/>
              </w:rPr>
              <w:t xml:space="preserve">Q3 2023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ブランチネットワーク拡大、バンカー・アドバイザーの継続的採用が全LOBで実行。2024年の費用増$5B超のうち相当部分が成長投資</w:t>
            </w:r>
          </w:p>
        </w:tc>
        <w:tc>
          <w:tcPr/>
          <w:p>
            <w:pPr>
              <w:pStyle w:val="Compact"/>
            </w:pPr>
            <w:r>
              <w:rPr>
                <w:rFonts w:ascii="Times New Roman" w:hAnsi="Times New Roman" w:eastAsia="游明朝"/>
                <w:sz w:val="18"/>
              </w:rPr>
              <w:t xml:space="preserve">Q4 2023 EC, p.3; Q1 2024 EC, p.3-4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顧客投資資産がYoY+14-25%成長、ブランチからWealth</w:t>
            </w:r>
            <w:r>
              <w:rPr>
                <w:rFonts w:ascii="Times New Roman" w:hAnsi="Times New Roman" w:eastAsia="游明朝"/>
                <w:sz w:val="18"/>
              </w:rPr>
              <w:t xml:space="preserve"> </w:t>
            </w:r>
            <w:r>
              <w:rPr>
                <w:rFonts w:hint="eastAsia" w:ascii="Times New Roman" w:hAnsi="Times New Roman" w:eastAsia="游明朝"/>
                <w:sz w:val="18"/>
              </w:rPr>
              <w:t xml:space="preserve">Managementへの紹介が機能</w:t>
            </w:r>
          </w:p>
        </w:tc>
        <w:tc>
          <w:tcPr/>
          <w:p>
            <w:pPr>
              <w:pStyle w:val="Compact"/>
            </w:pPr>
            <w:r>
              <w:rPr>
                <w:rFonts w:ascii="Times New Roman" w:hAnsi="Times New Roman" w:eastAsia="游明朝"/>
                <w:sz w:val="18"/>
              </w:rPr>
              <w:t xml:space="preserve">Q3 2024 EC, p.2; Q4 2024 EC, p.2</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First </w:t>
            </w:r>
            <w:r>
              <w:rPr>
                <w:rFonts w:hint="eastAsia" w:ascii="Times New Roman" w:hAnsi="Times New Roman" w:eastAsia="游明朝"/>
                <w:sz w:val="18"/>
              </w:rPr>
              <w:t xml:space="preserve">Republic統合が2024年半ばにほぼ完了、高い顧客リテンション率を実現し、AWM・CCBの顧客基盤が拡大</w:t>
            </w:r>
          </w:p>
        </w:tc>
        <w:tc>
          <w:tcPr/>
          <w:p>
            <w:pPr>
              <w:pStyle w:val="Compact"/>
            </w:pPr>
            <w:r>
              <w:rPr>
                <w:rFonts w:ascii="Times New Roman" w:hAnsi="Times New Roman" w:eastAsia="游明朝"/>
                <w:sz w:val="18"/>
              </w:rPr>
              <w:t xml:space="preserve">Q2 2023 EC, p.1-2; Q1 2024 EC, p.1</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テクノロジー支出がピーク近辺に到達し、モダナイゼーションから機能開発・新製品へ投資がシフト</w:t>
            </w:r>
          </w:p>
        </w:tc>
        <w:tc>
          <w:tcPr/>
          <w:p>
            <w:pPr>
              <w:pStyle w:val="Compact"/>
            </w:pPr>
            <w:r>
              <w:rPr>
                <w:rFonts w:ascii="Times New Roman" w:hAnsi="Times New Roman" w:eastAsia="游明朝"/>
                <w:sz w:val="18"/>
              </w:rPr>
              <w:t xml:space="preserve">Q4 2024 EC, p.5-6</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経営陣が「17%</w:t>
            </w:r>
            <w:r>
              <w:rPr>
                <w:rFonts w:ascii="Times New Roman" w:hAnsi="Times New Roman" w:eastAsia="游明朝"/>
                <w:sz w:val="18"/>
              </w:rPr>
              <w:t xml:space="preserve"> through-the-cycle </w:t>
            </w:r>
            <w:r>
              <w:rPr>
                <w:rFonts w:hint="eastAsia" w:ascii="Times New Roman" w:hAnsi="Times New Roman" w:eastAsia="游明朝"/>
                <w:sz w:val="18"/>
              </w:rPr>
              <w:t xml:space="preserve">ROTCE」を構造的に達成可能と繰り返し表明。成長投資はROTCE目標と両立</w:t>
            </w:r>
          </w:p>
        </w:tc>
        <w:tc>
          <w:tcPr/>
          <w:p>
            <w:pPr>
              <w:pStyle w:val="Compact"/>
            </w:pPr>
            <w:r>
              <w:rPr>
                <w:rFonts w:ascii="Times New Roman" w:hAnsi="Times New Roman" w:eastAsia="游明朝"/>
                <w:sz w:val="18"/>
              </w:rPr>
              <w:t xml:space="preserve">Q1 2023 EC, p.8; Q4 2024 EC, p.6</w:t>
            </w:r>
          </w:p>
        </w:tc>
      </w:tr>
    </w:tbl>
    <w:bookmarkEnd w:id="31"/>
    <w:bookmarkStart w:id="32" w:name="更新情報直近1年-4"/>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成長投資の効果がまだ顕在化途上だったが、直近1年で小売預金シェア#1が5年連続で確認され、フランチャイズ成長の成果が数字に表れた。2025年通年の調整後費用は$95.9Bと高水準だが、2026年は$105Bガイダンスとさらなる積極投資が計画されている。経営陣は「ROTCE</w:t>
      </w:r>
      <w:r>
        <w:t xml:space="preserve"> </w:t>
      </w:r>
      <w:r>
        <w:rPr>
          <w:rFonts w:hint="eastAsia"/>
        </w:rPr>
        <w:t xml:space="preserve">17%はoutputであり、投資を犠牲にしない」と明言しており、競争優位を維持するための投資規律は一貫。効率性よりフランチャイズ価値拡大を優先する姿勢が明確化した。</w:t>
      </w:r>
    </w:p>
    <w:p>
      <w:pPr>
        <w:pStyle w:val="Compact"/>
        <w:numPr>
          <w:ilvl w:val="0"/>
          <w:numId w:val="1005"/>
        </w:numPr>
      </w:pPr>
      <w:r>
        <w:rPr>
          <w:rFonts w:hint="eastAsia"/>
        </w:rPr>
        <w:t xml:space="preserve">小売預金シェアFDICデータ基準#1を5年連続で維持。Q3</w:t>
      </w:r>
      <w:r>
        <w:t xml:space="preserve"> 2025 EC, p.2</w:t>
      </w:r>
    </w:p>
    <w:p>
      <w:pPr>
        <w:pStyle w:val="Compact"/>
        <w:numPr>
          <w:ilvl w:val="0"/>
          <w:numId w:val="1005"/>
        </w:numPr>
      </w:pPr>
      <w:r>
        <w:rPr>
          <w:rFonts w:hint="eastAsia"/>
        </w:rPr>
        <w:t xml:space="preserve">2025年通年売上$185B（調整後）、純利益$57.5B、ROTCE</w:t>
      </w:r>
      <w:r>
        <w:t xml:space="preserve"> </w:t>
      </w:r>
      <w:r>
        <w:rPr>
          <w:rFonts w:hint="eastAsia"/>
        </w:rPr>
        <w:t xml:space="preserve">20%と高水準の成果</w:t>
      </w:r>
      <w:r>
        <w:t xml:space="preserve"> | Q4 2025 EC, p.1</w:t>
      </w:r>
    </w:p>
    <w:p>
      <w:pPr>
        <w:pStyle w:val="Compact"/>
        <w:numPr>
          <w:ilvl w:val="0"/>
          <w:numId w:val="1005"/>
        </w:numPr>
      </w:pPr>
      <w:r>
        <w:rPr>
          <w:rFonts w:hint="eastAsia"/>
        </w:rPr>
        <w:t xml:space="preserve">2026年調整後費用$105Bガイダンス。バンカー・ブランチ・製品能力・テクノロジー全般に積極投資継続。Q4</w:t>
      </w:r>
      <w:r>
        <w:t xml:space="preserve"> 2025 EC, p.3</w:t>
      </w:r>
    </w:p>
    <w:p>
      <w:pPr>
        <w:pStyle w:val="Compact"/>
        <w:numPr>
          <w:ilvl w:val="0"/>
          <w:numId w:val="1005"/>
        </w:numPr>
      </w:pPr>
      <w:r>
        <w:t xml:space="preserve">「competitive </w:t>
      </w:r>
      <w:r>
        <w:rPr>
          <w:rFonts w:hint="eastAsia"/>
        </w:rPr>
        <w:t xml:space="preserve">environmentはますます厳しくなっており、伝統的・非伝統的競合の両方に対して投資が必要」と経営陣が明言。Q4</w:t>
      </w:r>
      <w:r>
        <w:t xml:space="preserve"> 2025 EC, p.3</w:t>
      </w:r>
    </w:p>
    <w:p>
      <w:pPr>
        <w:pStyle w:val="Compact"/>
        <w:numPr>
          <w:ilvl w:val="0"/>
          <w:numId w:val="1005"/>
        </w:numPr>
      </w:pPr>
      <w:r>
        <w:rPr>
          <w:rFonts w:hint="eastAsia"/>
        </w:rPr>
        <w:t xml:space="preserve">ヘッドカウントは2025年にフラットを目指し内部効率化を推進しつつ、成長分野（ブランチ・バンカー）は例外。Q4</w:t>
      </w:r>
      <w:r>
        <w:t xml:space="preserve"> 2024 EC, p.5-6</w:t>
      </w:r>
    </w:p>
    <w:p>
      <w:pPr>
        <w:pStyle w:val="Compact"/>
        <w:numPr>
          <w:ilvl w:val="0"/>
          <w:numId w:val="1005"/>
        </w:numPr>
      </w:pPr>
      <w:r>
        <w:rPr>
          <w:rFonts w:hint="eastAsia"/>
        </w:rPr>
        <w:t xml:space="preserve">出典:</w:t>
      </w:r>
      <w:r>
        <w:t xml:space="preserve"> Q2 2025 EC (2025-07-15), p.2-3; Q3 2025 EC (2025-10-14), p.2; Q4 2025 EC (2026-01-13), p.1, 3, 6-7</w:t>
      </w:r>
    </w:p>
    <w:bookmarkEnd w:id="32"/>
    <w:bookmarkStart w:id="33" w:name="納得度-4"/>
    <w:p>
      <w:pPr>
        <w:pStyle w:val="Heading3"/>
      </w:pPr>
      <w:r>
        <w:rPr>
          <w:rFonts w:hint="eastAsia"/>
        </w:rPr>
        <w:t xml:space="preserve">納得度</w:t>
      </w:r>
    </w:p>
    <w:p>
      <w:pPr>
        <w:pStyle w:val="FirstParagraph"/>
      </w:pPr>
      <w:r>
        <w:t xml:space="preserve">□ 90%　□ 70%　□ 50%　□ 30%　□ 10%</w:t>
      </w:r>
    </w:p>
    <w:bookmarkEnd w:id="33"/>
    <w:bookmarkStart w:id="34" w:name="備考任意-4"/>
    <w:p>
      <w:pPr>
        <w:pStyle w:val="Heading3"/>
      </w:pPr>
      <w:r>
        <w:rPr>
          <w:rFonts w:hint="eastAsia"/>
        </w:rPr>
        <w:t xml:space="preserve">備考（任意）</w:t>
      </w:r>
    </w:p>
    <w:p>
      <w:r>
        <w:pict>
          <v:rect style="width:0;height:1.5pt" o:hralign="center" o:hrstd="t" o:hr="t"/>
        </w:pict>
      </w:r>
    </w:p>
    <w:bookmarkEnd w:id="34"/>
    <w:bookmarkEnd w:id="35"/>
    <w:bookmarkStart w:id="40" w:name="仮説-68"/>
    <w:p>
      <w:pPr>
        <w:pStyle w:val="Heading2"/>
      </w:pPr>
      <w:r>
        <w:rPr>
          <w:rFonts w:hint="eastAsia"/>
        </w:rPr>
        <w:t xml:space="preserve">仮説</w:t>
      </w:r>
      <w:r>
        <w:t xml:space="preserve"> 6/8</w:t>
      </w:r>
    </w:p>
    <w:p>
      <w:pPr>
        <w:pStyle w:val="FirstParagraph"/>
      </w:pPr>
      <w:r>
        <w:rPr>
          <w:rFonts w:hint="eastAsia"/>
          <w:b/>
          <w:bCs/>
        </w:rPr>
        <w:t xml:space="preserve">規制環境の改善（Basel</w:t>
      </w:r>
      <w:r>
        <w:rPr>
          <w:b/>
          <w:bCs/>
        </w:rPr>
        <w:t xml:space="preserve"> III </w:t>
      </w:r>
      <w:r>
        <w:rPr>
          <w:rFonts w:hint="eastAsia"/>
          <w:b/>
          <w:bCs/>
        </w:rPr>
        <w:t xml:space="preserve">Endgame修正・SLR緩和）が資本効率を向上させ、株主還元余地を拡大する</w:t>
      </w:r>
    </w:p>
    <w:bookmarkStart w:id="36" w:name="根拠情報-5"/>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Basel III </w:t>
            </w:r>
            <w:r>
              <w:rPr>
                <w:rFonts w:hint="eastAsia" w:ascii="Times New Roman" w:hAnsi="Times New Roman" w:eastAsia="游明朝"/>
                <w:sz w:val="18"/>
              </w:rPr>
              <w:t xml:space="preserve">Endgame提案がRWA+30%（$500B）、資本要件+25%（$50B）の大幅引き上げを示唆。経営陣が「overcalibrated」と強く批判</w:t>
            </w:r>
          </w:p>
        </w:tc>
        <w:tc>
          <w:tcPr/>
          <w:p>
            <w:pPr>
              <w:pStyle w:val="Compact"/>
            </w:pPr>
            <w:r>
              <w:rPr>
                <w:rFonts w:ascii="Times New Roman" w:hAnsi="Times New Roman" w:eastAsia="游明朝"/>
                <w:sz w:val="18"/>
              </w:rPr>
              <w:t xml:space="preserve">Q3 2023 EC, p.2-3</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Op Risk </w:t>
            </w:r>
            <w:r>
              <w:rPr>
                <w:rFonts w:hint="eastAsia" w:ascii="Times New Roman" w:hAnsi="Times New Roman" w:eastAsia="游明朝"/>
                <w:sz w:val="18"/>
              </w:rPr>
              <w:t xml:space="preserve">RWAの導入がSCBとの二重計上の問題を含み、「costless</w:t>
            </w:r>
            <w:r>
              <w:rPr>
                <w:rFonts w:ascii="Times New Roman" w:hAnsi="Times New Roman" w:eastAsia="游明朝"/>
                <w:sz w:val="18"/>
              </w:rPr>
              <w:t xml:space="preserve"> </w:t>
            </w:r>
            <w:r>
              <w:rPr>
                <w:rFonts w:hint="eastAsia" w:ascii="Times New Roman" w:hAnsi="Times New Roman" w:eastAsia="游明朝"/>
                <w:sz w:val="18"/>
              </w:rPr>
              <w:t xml:space="preserve">optimization」の余地が限定的と経営陣が警告</w:t>
            </w:r>
          </w:p>
        </w:tc>
        <w:tc>
          <w:tcPr/>
          <w:p>
            <w:pPr>
              <w:pStyle w:val="Compact"/>
            </w:pPr>
            <w:r>
              <w:rPr>
                <w:rFonts w:ascii="Times New Roman" w:hAnsi="Times New Roman" w:eastAsia="游明朝"/>
                <w:sz w:val="18"/>
              </w:rPr>
              <w:t xml:space="preserve">Q3 2023 EC, p.6-7</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CET1比率が15.0%（Q4</w:t>
            </w:r>
            <w:r>
              <w:rPr>
                <w:rFonts w:ascii="Times New Roman" w:hAnsi="Times New Roman" w:eastAsia="游明朝"/>
                <w:sz w:val="18"/>
              </w:rPr>
              <w:t xml:space="preserve"> </w:t>
            </w:r>
            <w:r>
              <w:rPr>
                <w:rFonts w:hint="eastAsia" w:ascii="Times New Roman" w:hAnsi="Times New Roman" w:eastAsia="游明朝"/>
                <w:sz w:val="18"/>
              </w:rPr>
              <w:t xml:space="preserve">2023）→15.7%（Q4</w:t>
            </w:r>
            <w:r>
              <w:rPr>
                <w:rFonts w:ascii="Times New Roman" w:hAnsi="Times New Roman" w:eastAsia="游明朝"/>
                <w:sz w:val="18"/>
              </w:rPr>
              <w:t xml:space="preserve"> </w:t>
            </w:r>
            <w:r>
              <w:rPr>
                <w:rFonts w:hint="eastAsia" w:ascii="Times New Roman" w:hAnsi="Times New Roman" w:eastAsia="游明朝"/>
                <w:sz w:val="18"/>
              </w:rPr>
              <w:t xml:space="preserve">2024）と大幅に蓄積。規制不確実性から自社株買いを抑制的に運用</w:t>
            </w:r>
          </w:p>
        </w:tc>
        <w:tc>
          <w:tcPr/>
          <w:p>
            <w:pPr>
              <w:pStyle w:val="Compact"/>
            </w:pPr>
            <w:r>
              <w:rPr>
                <w:rFonts w:ascii="Times New Roman" w:hAnsi="Times New Roman" w:eastAsia="游明朝"/>
                <w:sz w:val="18"/>
              </w:rPr>
              <w:t xml:space="preserve">Q4 2023 EC, p.2; Q4 2024 EC, p.1</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2024年にGSIBサーチャージ4.5%確定。SCBは3.3%（予備的）で2024年Q4から適用</w:t>
            </w:r>
          </w:p>
        </w:tc>
        <w:tc>
          <w:tcPr/>
          <w:p>
            <w:pPr>
              <w:pStyle w:val="Compact"/>
            </w:pPr>
            <w:r>
              <w:rPr>
                <w:rFonts w:ascii="Times New Roman" w:hAnsi="Times New Roman" w:eastAsia="游明朝"/>
                <w:sz w:val="18"/>
              </w:rPr>
              <w:t xml:space="preserve">Q2 2024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経営陣が「excess</w:t>
            </w:r>
            <w:r>
              <w:rPr>
                <w:rFonts w:ascii="Times New Roman" w:hAnsi="Times New Roman" w:eastAsia="游明朝"/>
                <w:sz w:val="18"/>
              </w:rPr>
              <w:t xml:space="preserve"> </w:t>
            </w:r>
            <w:r>
              <w:rPr>
                <w:rFonts w:hint="eastAsia" w:ascii="Times New Roman" w:hAnsi="Times New Roman" w:eastAsia="游明朝"/>
                <w:sz w:val="18"/>
              </w:rPr>
              <w:t xml:space="preserve">capitalは十分」と判断し、自社株買い加速の方針を示す</w:t>
            </w:r>
          </w:p>
        </w:tc>
        <w:tc>
          <w:tcPr/>
          <w:p>
            <w:pPr>
              <w:pStyle w:val="Compact"/>
            </w:pPr>
            <w:r>
              <w:rPr>
                <w:rFonts w:ascii="Times New Roman" w:hAnsi="Times New Roman" w:eastAsia="游明朝"/>
                <w:sz w:val="18"/>
              </w:rPr>
              <w:t xml:space="preserve">Q4 2024 EC, p.5</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再生可能エネルギー税額控除投資など、一部事業がBasel</w:t>
            </w:r>
            <w:r>
              <w:rPr>
                <w:rFonts w:ascii="Times New Roman" w:hAnsi="Times New Roman" w:eastAsia="游明朝"/>
                <w:sz w:val="18"/>
              </w:rPr>
              <w:t xml:space="preserve"> </w:t>
            </w:r>
            <w:r>
              <w:rPr>
                <w:rFonts w:hint="eastAsia" w:ascii="Times New Roman" w:hAnsi="Times New Roman" w:eastAsia="游明朝"/>
                <w:sz w:val="18"/>
              </w:rPr>
              <w:t xml:space="preserve">III提案下で採算性を失うリスク</w:t>
            </w:r>
          </w:p>
        </w:tc>
        <w:tc>
          <w:tcPr/>
          <w:p>
            <w:pPr>
              <w:pStyle w:val="Compact"/>
            </w:pPr>
            <w:r>
              <w:rPr>
                <w:rFonts w:ascii="Times New Roman" w:hAnsi="Times New Roman" w:eastAsia="游明朝"/>
                <w:sz w:val="18"/>
              </w:rPr>
              <w:t xml:space="preserve">Q3 2023 EC, p.7</w:t>
            </w:r>
          </w:p>
        </w:tc>
      </w:tr>
    </w:tbl>
    <w:bookmarkEnd w:id="36"/>
    <w:bookmarkStart w:id="37" w:name="更新情報直近1年-5"/>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初期仮説構築時点ではBasel</w:t>
      </w:r>
      <w:r>
        <w:t xml:space="preserve"> III </w:t>
      </w:r>
      <w:r>
        <w:rPr>
          <w:rFonts w:hint="eastAsia"/>
        </w:rPr>
        <w:t xml:space="preserve">Endgameの最終形が不明で、CET1比率を15%超に積み上げる守りの姿勢だった。直近1年で政権交代に伴い規制環境が好転方向に転じ、SCBが2.5%フロアまで低下、Fed副議長のBowmanが包括的な規制見直しビジョンを示した。CET1は14.5%に低下したが、これはApple</w:t>
      </w:r>
      <w:r>
        <w:t xml:space="preserve"> Card </w:t>
      </w:r>
      <w:r>
        <w:rPr>
          <w:rFonts w:hint="eastAsia"/>
        </w:rPr>
        <w:t xml:space="preserve">RWA影響と積極的な資本還元（四半期配当$1.50へ引き上げ）の結果。初期仮説の「規制オーバーハング」は大幅に縮小し、資本配分の自由度が増している。</w:t>
      </w:r>
    </w:p>
    <w:p>
      <w:pPr>
        <w:pStyle w:val="Compact"/>
        <w:numPr>
          <w:ilvl w:val="0"/>
          <w:numId w:val="1006"/>
        </w:numPr>
      </w:pPr>
      <w:r>
        <w:rPr>
          <w:rFonts w:hint="eastAsia"/>
        </w:rPr>
        <w:t xml:space="preserve">SCBが2.5%フロアまで低下（2025年Q4適用）。Q2</w:t>
      </w:r>
      <w:r>
        <w:t xml:space="preserve"> 2025 EC, p.2</w:t>
      </w:r>
    </w:p>
    <w:p>
      <w:pPr>
        <w:pStyle w:val="Compact"/>
        <w:numPr>
          <w:ilvl w:val="0"/>
          <w:numId w:val="1006"/>
        </w:numPr>
      </w:pPr>
      <w:r>
        <w:rPr>
          <w:rFonts w:hint="eastAsia"/>
        </w:rPr>
        <w:t xml:space="preserve">配当を四半期$1.50/株に引き上げ（$1.25から20%増）。Q2</w:t>
      </w:r>
      <w:r>
        <w:t xml:space="preserve"> 2025 EC, p.2</w:t>
      </w:r>
    </w:p>
    <w:p>
      <w:pPr>
        <w:pStyle w:val="Compact"/>
        <w:numPr>
          <w:ilvl w:val="0"/>
          <w:numId w:val="1006"/>
        </w:numPr>
      </w:pPr>
      <w:r>
        <w:rPr>
          <w:rFonts w:hint="eastAsia"/>
        </w:rPr>
        <w:t xml:space="preserve">「規制環境は全ての銀行にとって方向性が改善」とJamie</w:t>
      </w:r>
      <w:r>
        <w:t xml:space="preserve"> </w:t>
      </w:r>
      <w:r>
        <w:rPr>
          <w:rFonts w:hint="eastAsia"/>
        </w:rPr>
        <w:t xml:space="preserve">Dimonが言及。SLR・GSIB・CCAR・Basel</w:t>
      </w:r>
      <w:r>
        <w:t xml:space="preserve"> </w:t>
      </w:r>
      <w:r>
        <w:rPr>
          <w:rFonts w:hint="eastAsia"/>
        </w:rPr>
        <w:t xml:space="preserve">IIIの包括的見直しを期待。Q2</w:t>
      </w:r>
      <w:r>
        <w:t xml:space="preserve"> 2025 EC, p.4-5</w:t>
      </w:r>
    </w:p>
    <w:p>
      <w:pPr>
        <w:pStyle w:val="Compact"/>
        <w:numPr>
          <w:ilvl w:val="0"/>
          <w:numId w:val="1006"/>
        </w:numPr>
      </w:pPr>
      <w:r>
        <w:rPr>
          <w:rFonts w:hint="eastAsia"/>
        </w:rPr>
        <w:t xml:space="preserve">CET1は14.5%（Q4</w:t>
      </w:r>
      <w:r>
        <w:t xml:space="preserve"> </w:t>
      </w:r>
      <w:r>
        <w:rPr>
          <w:rFonts w:hint="eastAsia"/>
        </w:rPr>
        <w:t xml:space="preserve">2025）だが、Apple</w:t>
      </w:r>
      <w:r>
        <w:t xml:space="preserve"> Card advanced RWA </w:t>
      </w:r>
      <w:r>
        <w:rPr>
          <w:rFonts w:hint="eastAsia"/>
        </w:rPr>
        <w:t xml:space="preserve">$110Bは一時的で近い将来$30Bに縮小予定。Q4</w:t>
      </w:r>
      <w:r>
        <w:t xml:space="preserve"> 2025 EC, p.1-2</w:t>
      </w:r>
    </w:p>
    <w:p>
      <w:pPr>
        <w:pStyle w:val="Compact"/>
        <w:numPr>
          <w:ilvl w:val="0"/>
          <w:numId w:val="1006"/>
        </w:numPr>
      </w:pPr>
      <w:r>
        <w:t xml:space="preserve">「excess </w:t>
      </w:r>
      <w:r>
        <w:rPr>
          <w:rFonts w:hint="eastAsia"/>
        </w:rPr>
        <w:t xml:space="preserve">capitalは十分にあり、inorganic含む全選択肢がon</w:t>
      </w:r>
      <w:r>
        <w:t xml:space="preserve"> the </w:t>
      </w:r>
      <w:r>
        <w:rPr>
          <w:rFonts w:hint="eastAsia"/>
        </w:rPr>
        <w:t xml:space="preserve">table」と明言。Q2</w:t>
      </w:r>
      <w:r>
        <w:t xml:space="preserve"> 2025 EC, p.4</w:t>
      </w:r>
    </w:p>
    <w:p>
      <w:pPr>
        <w:pStyle w:val="Compact"/>
        <w:numPr>
          <w:ilvl w:val="0"/>
          <w:numId w:val="1006"/>
        </w:numPr>
      </w:pPr>
      <w:r>
        <w:rPr>
          <w:rFonts w:hint="eastAsia"/>
        </w:rPr>
        <w:t xml:space="preserve">出典:</w:t>
      </w:r>
      <w:r>
        <w:t xml:space="preserve"> Q2 2025 EC (2025-07-15), p.2, 4-5; Q3 2025 EC (2025-10-14), p.1; Q4 2025 EC (2026-01-13), p.1-2</w:t>
      </w:r>
    </w:p>
    <w:bookmarkEnd w:id="37"/>
    <w:bookmarkStart w:id="38" w:name="納得度-5"/>
    <w:p>
      <w:pPr>
        <w:pStyle w:val="Heading3"/>
      </w:pPr>
      <w:r>
        <w:rPr>
          <w:rFonts w:hint="eastAsia"/>
        </w:rPr>
        <w:t xml:space="preserve">納得度</w:t>
      </w:r>
    </w:p>
    <w:p>
      <w:pPr>
        <w:pStyle w:val="FirstParagraph"/>
      </w:pPr>
      <w:r>
        <w:t xml:space="preserve">□ 90%　□ 70%　□ 50%　□ 30%　□ 10%</w:t>
      </w:r>
    </w:p>
    <w:bookmarkEnd w:id="38"/>
    <w:bookmarkStart w:id="39" w:name="備考任意-5"/>
    <w:p>
      <w:pPr>
        <w:pStyle w:val="Heading3"/>
      </w:pPr>
      <w:r>
        <w:rPr>
          <w:rFonts w:hint="eastAsia"/>
        </w:rPr>
        <w:t xml:space="preserve">備考（任意）</w:t>
      </w:r>
    </w:p>
    <w:p>
      <w:r>
        <w:pict>
          <v:rect style="width:0;height:1.5pt" o:hralign="center" o:hrstd="t" o:hr="t"/>
        </w:pict>
      </w:r>
    </w:p>
    <w:bookmarkEnd w:id="39"/>
    <w:bookmarkEnd w:id="40"/>
    <w:bookmarkStart w:id="45" w:name="仮説-78"/>
    <w:p>
      <w:pPr>
        <w:pStyle w:val="Heading2"/>
      </w:pPr>
      <w:r>
        <w:rPr>
          <w:rFonts w:hint="eastAsia"/>
        </w:rPr>
        <w:t xml:space="preserve">仮説</w:t>
      </w:r>
      <w:r>
        <w:t xml:space="preserve"> 7/8</w:t>
      </w:r>
    </w:p>
    <w:p>
      <w:pPr>
        <w:pStyle w:val="FirstParagraph"/>
      </w:pPr>
      <w:r>
        <w:rPr>
          <w:rFonts w:hint="eastAsia"/>
          <w:b/>
          <w:bCs/>
        </w:rPr>
        <w:t xml:space="preserve">【リスク仮説】カード信用コストが正常化を超えて悪化し、消費者信用サイクルの転換がCCB収益を圧迫するリスク</w:t>
      </w:r>
    </w:p>
    <w:bookmarkStart w:id="41" w:name="根拠情報-6"/>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カードNCOが2023年Q1の$1.1Bから2024年Q4の$2.1Bへ急増。30日以上延滞がパンデミック前水準に回復</w:t>
            </w:r>
          </w:p>
        </w:tc>
        <w:tc>
          <w:tcPr/>
          <w:p>
            <w:pPr>
              <w:pStyle w:val="Compact"/>
            </w:pPr>
            <w:r>
              <w:rPr>
                <w:rFonts w:ascii="Times New Roman" w:hAnsi="Times New Roman" w:eastAsia="游明朝"/>
                <w:sz w:val="18"/>
              </w:rPr>
              <w:t xml:space="preserve">Q1 2023 EC, p.3; Q2 2023 EC, p.3; Q4 2024 EC, p.2</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カードNCO率が2023年の2.5%→2024年の3.4%→2025年ガイダンス3.6%と上昇トレンド</w:t>
            </w:r>
          </w:p>
        </w:tc>
        <w:tc>
          <w:tcPr/>
          <w:p>
            <w:pPr>
              <w:pStyle w:val="Compact"/>
            </w:pPr>
            <w:r>
              <w:rPr>
                <w:rFonts w:ascii="Times New Roman" w:hAnsi="Times New Roman" w:eastAsia="游明朝"/>
                <w:sz w:val="18"/>
              </w:rPr>
              <w:t xml:space="preserve">Q3 2023 EC, p.5; Q1 2024 EC, p.4; Q4 2024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経営陣は「正常化」と繰り返すが、消費者キャッシュバッファーはパンデミック前水準に近づき、低所得層ほど速く正常化</w:t>
            </w:r>
          </w:p>
        </w:tc>
        <w:tc>
          <w:tcPr/>
          <w:p>
            <w:pPr>
              <w:pStyle w:val="Compact"/>
            </w:pPr>
            <w:r>
              <w:rPr>
                <w:rFonts w:ascii="Times New Roman" w:hAnsi="Times New Roman" w:eastAsia="游明朝"/>
                <w:sz w:val="18"/>
              </w:rPr>
              <w:t xml:space="preserve">Q3 2023 EC, p.3; Q1 2024 EC, p.2</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CECL引当で想定される加重平均ピーク失業率が5.8%。景気後退シナリオへのウェイトを上げつつも中心シナリオは楽観的</w:t>
            </w:r>
          </w:p>
        </w:tc>
        <w:tc>
          <w:tcPr/>
          <w:p>
            <w:pPr>
              <w:pStyle w:val="Compact"/>
            </w:pPr>
            <w:r>
              <w:rPr>
                <w:rFonts w:ascii="Times New Roman" w:hAnsi="Times New Roman" w:eastAsia="游明朝"/>
                <w:sz w:val="18"/>
              </w:rPr>
              <w:t xml:space="preserve">Q1 2023 EC, p.7-8; Q3 2023 EC, p.8</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2024年にカード引当金を$2-3B/四半期で積み増し。ローン成長とマクロ変数更新の両方が引当要因</w:t>
            </w:r>
          </w:p>
        </w:tc>
        <w:tc>
          <w:tcPr/>
          <w:p>
            <w:pPr>
              <w:pStyle w:val="Compact"/>
            </w:pPr>
            <w:r>
              <w:rPr>
                <w:rFonts w:ascii="Times New Roman" w:hAnsi="Times New Roman" w:eastAsia="游明朝"/>
                <w:sz w:val="18"/>
              </w:rPr>
              <w:t xml:space="preserve">Q2 2024 EC, p.2; Q3 2024 EC, p.2</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消費者支出は堅調だが、「normalizationかdeteriorationかの判別が常に課題」と経営陣が認識</w:t>
            </w:r>
          </w:p>
        </w:tc>
        <w:tc>
          <w:tcPr/>
          <w:p>
            <w:pPr>
              <w:pStyle w:val="Compact"/>
            </w:pPr>
            <w:r>
              <w:rPr>
                <w:rFonts w:ascii="Times New Roman" w:hAnsi="Times New Roman" w:eastAsia="游明朝"/>
                <w:sz w:val="18"/>
              </w:rPr>
              <w:t xml:space="preserve">Q3 2024 EC, p.4</w:t>
            </w:r>
          </w:p>
        </w:tc>
      </w:tr>
    </w:tbl>
    <w:bookmarkEnd w:id="41"/>
    <w:bookmarkStart w:id="42" w:name="更新情報直近1年-6"/>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リスク低減</w:t>
      </w:r>
    </w:p>
    <w:p>
      <w:pPr>
        <w:pStyle w:val="BodyText"/>
      </w:pPr>
      <w:r>
        <w:rPr>
          <w:rFonts w:hint="eastAsia"/>
          <w:b/>
          <w:bCs/>
        </w:rPr>
        <w:t xml:space="preserve">初期仮説への影響:</w:t>
      </w:r>
      <w:r>
        <w:t xml:space="preserve"> </w:t>
      </w:r>
      <w:r>
        <w:rPr>
          <w:rFonts w:hint="eastAsia"/>
        </w:rPr>
        <w:t xml:space="preserve">初期仮説構築時点ではカードNCO率が2.5%→3.4%と急上昇中で、「正常化を超えて悪化するリスク」が懸念されていた。しかし直近1年で2025年通年NCO率は3.3%と当初ガイダンスの3.6%を大幅に下回り、早期延滞指標も安定ないし若干改善。消費者センチメントは弱いものの、実際の支出・延滞データは悪化を示していない。経営陣は2026年のNCO率を3.4%とガイドし、「消費者のレジリエンスが継続」と評価。正常化を超える悪化のリスクは現時点では顕在化していない。</w:t>
      </w:r>
    </w:p>
    <w:p>
      <w:pPr>
        <w:pStyle w:val="Compact"/>
        <w:numPr>
          <w:ilvl w:val="0"/>
          <w:numId w:val="1007"/>
        </w:numPr>
      </w:pPr>
      <w:r>
        <w:rPr>
          <w:rFonts w:hint="eastAsia"/>
        </w:rPr>
        <w:t xml:space="preserve">2025年通年カードNCO率は約3.3%に着地（当初ガイダンス3.6%を大幅に下回る）。好転要因はdelinquencyトレンドの改善。Q3</w:t>
      </w:r>
      <w:r>
        <w:t xml:space="preserve"> 2025 EC, p.2</w:t>
      </w:r>
    </w:p>
    <w:p>
      <w:pPr>
        <w:pStyle w:val="Compact"/>
        <w:numPr>
          <w:ilvl w:val="0"/>
          <w:numId w:val="1007"/>
        </w:numPr>
      </w:pPr>
      <w:r>
        <w:rPr>
          <w:rFonts w:hint="eastAsia"/>
        </w:rPr>
        <w:t xml:space="preserve">「消費者・小規模事業者はレジリエント。弱い消費者センチメントにもかかわらず、データ上の悪化はない」。Q4</w:t>
      </w:r>
      <w:r>
        <w:t xml:space="preserve"> 2025 EC, p.2</w:t>
      </w:r>
    </w:p>
    <w:p>
      <w:pPr>
        <w:pStyle w:val="Compact"/>
        <w:numPr>
          <w:ilvl w:val="0"/>
          <w:numId w:val="1007"/>
        </w:numPr>
      </w:pPr>
      <w:r>
        <w:rPr>
          <w:rFonts w:hint="eastAsia"/>
        </w:rPr>
        <w:t xml:space="preserve">デビット・クレジット支出がYoY+7%で堅調。所得階層横断的に安定。Q4</w:t>
      </w:r>
      <w:r>
        <w:t xml:space="preserve"> 2025 EC, p.2</w:t>
      </w:r>
    </w:p>
    <w:p>
      <w:pPr>
        <w:pStyle w:val="Compact"/>
        <w:numPr>
          <w:ilvl w:val="0"/>
          <w:numId w:val="1007"/>
        </w:numPr>
      </w:pPr>
      <w:r>
        <w:rPr>
          <w:rFonts w:hint="eastAsia"/>
        </w:rPr>
        <w:t xml:space="preserve">2026年NCO率ガイダンス約3.4%。消費者レジリエンスの継続を前提。Q4</w:t>
      </w:r>
      <w:r>
        <w:t xml:space="preserve"> 2025 EC, p.3</w:t>
      </w:r>
    </w:p>
    <w:p>
      <w:pPr>
        <w:pStyle w:val="Compact"/>
        <w:numPr>
          <w:ilvl w:val="0"/>
          <w:numId w:val="1007"/>
        </w:numPr>
      </w:pPr>
      <w:r>
        <w:rPr>
          <w:rFonts w:hint="eastAsia"/>
        </w:rPr>
        <w:t xml:space="preserve">ただし、労働市場の軟化の可能性を注視中。早期警戒指標は今のところ安定。Q3</w:t>
      </w:r>
      <w:r>
        <w:t xml:space="preserve"> 2025 EC, p.2</w:t>
      </w:r>
    </w:p>
    <w:p>
      <w:pPr>
        <w:pStyle w:val="Compact"/>
        <w:numPr>
          <w:ilvl w:val="0"/>
          <w:numId w:val="1007"/>
        </w:numPr>
      </w:pPr>
      <w:r>
        <w:rPr>
          <w:rFonts w:hint="eastAsia"/>
        </w:rPr>
        <w:t xml:space="preserve">出典:</w:t>
      </w:r>
      <w:r>
        <w:t xml:space="preserve"> Q2 2025 EC (2025-07-15), p.2; Q3 2025 EC (2025-10-14), p.2; Q4 2025 EC (2026-01-13), p.2-3</w:t>
      </w:r>
    </w:p>
    <w:bookmarkEnd w:id="42"/>
    <w:bookmarkStart w:id="43" w:name="納得度-6"/>
    <w:p>
      <w:pPr>
        <w:pStyle w:val="Heading3"/>
      </w:pPr>
      <w:r>
        <w:rPr>
          <w:rFonts w:hint="eastAsia"/>
        </w:rPr>
        <w:t xml:space="preserve">納得度</w:t>
      </w:r>
    </w:p>
    <w:p>
      <w:pPr>
        <w:pStyle w:val="FirstParagraph"/>
      </w:pPr>
      <w:r>
        <w:t xml:space="preserve">□ 90%　□ 70%　□ 50%　□ 30%　□ 10%</w:t>
      </w:r>
    </w:p>
    <w:bookmarkEnd w:id="43"/>
    <w:bookmarkStart w:id="44" w:name="備考任意-6"/>
    <w:p>
      <w:pPr>
        <w:pStyle w:val="Heading3"/>
      </w:pPr>
      <w:r>
        <w:rPr>
          <w:rFonts w:hint="eastAsia"/>
        </w:rPr>
        <w:t xml:space="preserve">備考（任意）</w:t>
      </w:r>
    </w:p>
    <w:p>
      <w:r>
        <w:pict>
          <v:rect style="width:0;height:1.5pt" o:hralign="center" o:hrstd="t" o:hr="t"/>
        </w:pict>
      </w:r>
    </w:p>
    <w:bookmarkEnd w:id="44"/>
    <w:bookmarkEnd w:id="45"/>
    <w:bookmarkStart w:id="50" w:name="仮説-88"/>
    <w:p>
      <w:pPr>
        <w:pStyle w:val="Heading2"/>
      </w:pPr>
      <w:r>
        <w:rPr>
          <w:rFonts w:hint="eastAsia"/>
        </w:rPr>
        <w:t xml:space="preserve">仮説</w:t>
      </w:r>
      <w:r>
        <w:t xml:space="preserve"> 8/8</w:t>
      </w:r>
    </w:p>
    <w:p>
      <w:pPr>
        <w:pStyle w:val="FirstParagraph"/>
      </w:pPr>
      <w:r>
        <w:rPr>
          <w:rFonts w:hint="eastAsia"/>
          <w:b/>
          <w:bCs/>
        </w:rPr>
        <w:t xml:space="preserve">【リスク仮説】NBFI（ノンバンク金融機関）貸出の急成長とホールセール信用リスクが想定外の損失を引き起こすリスク</w:t>
      </w:r>
    </w:p>
    <w:bookmarkStart w:id="46" w:name="根拠情報-7"/>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CRE（商業用不動産）オフィスセクターへのエクスポージャーはポートフォリオの10%未満で、都市密集型市場に集中。ただしオフィスCRE評価損で複数四半期にわたり引当金積み増し</w:t>
            </w:r>
          </w:p>
        </w:tc>
        <w:tc>
          <w:tcPr/>
          <w:p>
            <w:pPr>
              <w:pStyle w:val="Compact"/>
            </w:pPr>
            <w:r>
              <w:rPr>
                <w:rFonts w:ascii="Times New Roman" w:hAnsi="Times New Roman" w:eastAsia="游明朝"/>
                <w:sz w:val="18"/>
              </w:rPr>
              <w:t xml:space="preserve">Q1 2023 EC, p.3; Q4 2023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ホールセール信用コストは歴史的に低水準だが、CRE・ミドルマーケット・シングルネームで散発的な損失が発生</w:t>
            </w:r>
          </w:p>
        </w:tc>
        <w:tc>
          <w:tcPr/>
          <w:p>
            <w:pPr>
              <w:pStyle w:val="Compact"/>
            </w:pPr>
            <w:r>
              <w:rPr>
                <w:rFonts w:ascii="Times New Roman" w:hAnsi="Times New Roman" w:eastAsia="游明朝"/>
                <w:sz w:val="18"/>
              </w:rPr>
              <w:t xml:space="preserve">Q4 2023 EC, p.2; Q2 2024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「資本市場が開いていることで、伝統的な銀行貸出の代替が進んでいる」と経営陣が言及。ローン需要の軟調が継続</w:t>
            </w:r>
          </w:p>
        </w:tc>
        <w:tc>
          <w:tcPr/>
          <w:p>
            <w:pPr>
              <w:pStyle w:val="Compact"/>
            </w:pPr>
            <w:r>
              <w:rPr>
                <w:rFonts w:ascii="Times New Roman" w:hAnsi="Times New Roman" w:eastAsia="游明朝"/>
                <w:sz w:val="18"/>
              </w:rPr>
              <w:t xml:space="preserve">Q2 2024 EC, p.3</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Private credit・Direct </w:t>
            </w:r>
            <w:r>
              <w:rPr>
                <w:rFonts w:hint="eastAsia" w:ascii="Times New Roman" w:hAnsi="Times New Roman" w:eastAsia="游明朝"/>
                <w:sz w:val="18"/>
              </w:rPr>
              <w:t xml:space="preserve">lendingへの参入が拡大し、プライベート市場向けエクスポージャーが増加</w:t>
            </w:r>
          </w:p>
        </w:tc>
        <w:tc>
          <w:tcPr/>
          <w:p>
            <w:pPr>
              <w:pStyle w:val="Compact"/>
            </w:pPr>
            <w:r>
              <w:rPr>
                <w:rFonts w:ascii="Times New Roman" w:hAnsi="Times New Roman" w:eastAsia="游明朝"/>
                <w:sz w:val="18"/>
              </w:rPr>
              <w:t xml:space="preserve">Q3 2024 EC, p.4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経営陣が「ホールセールNCO率は長期間非常に低かった。正常化すれば少し上がる」と認識</w:t>
            </w:r>
          </w:p>
        </w:tc>
        <w:tc>
          <w:tcPr/>
          <w:p>
            <w:pPr>
              <w:pStyle w:val="Compact"/>
            </w:pPr>
            <w:r>
              <w:rPr>
                <w:rFonts w:ascii="Times New Roman" w:hAnsi="Times New Roman" w:eastAsia="游明朝"/>
                <w:sz w:val="18"/>
              </w:rPr>
              <w:t xml:space="preserve">Q3 2025 EC, p.4-5</w:t>
            </w:r>
          </w:p>
        </w:tc>
      </w:tr>
    </w:tbl>
    <w:bookmarkEnd w:id="46"/>
    <w:bookmarkStart w:id="47" w:name="更新情報直近1年-7"/>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リスク顕在化</w:t>
      </w:r>
    </w:p>
    <w:p>
      <w:pPr>
        <w:pStyle w:val="BodyText"/>
      </w:pPr>
      <w:r>
        <w:rPr>
          <w:rFonts w:hint="eastAsia"/>
          <w:b/>
          <w:bCs/>
        </w:rPr>
        <w:t xml:space="preserve">初期仮説への影響:</w:t>
      </w:r>
      <w:r>
        <w:t xml:space="preserve"> </w:t>
      </w:r>
      <w:r>
        <w:rPr>
          <w:rFonts w:hint="eastAsia"/>
        </w:rPr>
        <w:t xml:space="preserve">初期仮説構築時点ではホールセール信用リスクはCREオフィス評価損が主な懸念だったが、直近1年でNBFI貸出リスクという新たなリスクカテゴリーが浮上。Tricolor関連で$170Mの詐欺損失が発生し、NBFI貸出残高は7年間で大幅に拡大していることが開示された（$160B規模）。経営陣は「構造的プロテクションが十分」と説明するが、「伝統的な信用サイクルが到来すれば全てのcredit</w:t>
      </w:r>
      <w:r>
        <w:t xml:space="preserve"> </w:t>
      </w:r>
      <w:r>
        <w:rPr>
          <w:rFonts w:hint="eastAsia"/>
        </w:rPr>
        <w:t xml:space="preserve">enhancementが侵食される」リスクを自ら認めている。新たに発生し得るリスクカテゴリーであり、初期仮説時点より警戒度を上げるべき。</w:t>
      </w:r>
    </w:p>
    <w:p>
      <w:pPr>
        <w:pStyle w:val="Compact"/>
        <w:numPr>
          <w:ilvl w:val="0"/>
          <w:numId w:val="1008"/>
        </w:numPr>
      </w:pPr>
      <w:r>
        <w:t xml:space="preserve">Q3 </w:t>
      </w:r>
      <w:r>
        <w:rPr>
          <w:rFonts w:hint="eastAsia"/>
        </w:rPr>
        <w:t xml:space="preserve">2025でTricolor関連の詐欺損失$170M、別のsecured</w:t>
      </w:r>
      <w:r>
        <w:t xml:space="preserve"> </w:t>
      </w:r>
      <w:r>
        <w:rPr>
          <w:rFonts w:hint="eastAsia"/>
        </w:rPr>
        <w:t xml:space="preserve">lendingでも詐欺疑い損失が発生。ホールセールNCOが一時的に上昇。Q3</w:t>
      </w:r>
      <w:r>
        <w:t xml:space="preserve"> 2025 EC, p.1, 4-5</w:t>
      </w:r>
    </w:p>
    <w:p>
      <w:pPr>
        <w:pStyle w:val="Compact"/>
        <w:numPr>
          <w:ilvl w:val="0"/>
          <w:numId w:val="1008"/>
        </w:numPr>
      </w:pPr>
      <w:r>
        <w:rPr>
          <w:rFonts w:hint="eastAsia"/>
        </w:rPr>
        <w:t xml:space="preserve">NBFI貸出の詳細開示を初めて実施。JPM定義で$160Bのエクスポージャー。7年間で大幅増加。Q4</w:t>
      </w:r>
      <w:r>
        <w:t xml:space="preserve"> 2025 EC, p.2-3</w:t>
      </w:r>
    </w:p>
    <w:p>
      <w:pPr>
        <w:pStyle w:val="Compact"/>
        <w:numPr>
          <w:ilvl w:val="0"/>
          <w:numId w:val="1008"/>
        </w:numPr>
      </w:pPr>
      <w:r>
        <w:rPr>
          <w:rFonts w:hint="eastAsia"/>
        </w:rPr>
        <w:t xml:space="preserve">「深刻な景気後退がcredit</w:t>
      </w:r>
      <w:r>
        <w:t xml:space="preserve"> </w:t>
      </w:r>
      <w:r>
        <w:rPr>
          <w:rFonts w:hint="eastAsia"/>
        </w:rPr>
        <w:t xml:space="preserve">enhancementを侵食すれば、NBFI貸出でも損失が発生しうる」と経営陣が明言。Q4</w:t>
      </w:r>
      <w:r>
        <w:t xml:space="preserve"> 2025 EC, p.3</w:t>
      </w:r>
    </w:p>
    <w:p>
      <w:pPr>
        <w:pStyle w:val="Compact"/>
        <w:numPr>
          <w:ilvl w:val="0"/>
          <w:numId w:val="1008"/>
        </w:numPr>
      </w:pPr>
      <w:r>
        <w:rPr>
          <w:rFonts w:hint="eastAsia"/>
        </w:rPr>
        <w:t xml:space="preserve">ただし、2018年以降の損失実績は詐欺関連1件のみ。構造的プロテクション（担保・信用補完）は手厚い。Q4</w:t>
      </w:r>
      <w:r>
        <w:t xml:space="preserve"> 2025 EC, p.3</w:t>
      </w:r>
    </w:p>
    <w:p>
      <w:pPr>
        <w:pStyle w:val="Compact"/>
        <w:numPr>
          <w:ilvl w:val="0"/>
          <w:numId w:val="1008"/>
        </w:numPr>
      </w:pPr>
      <w:r>
        <w:rPr>
          <w:rFonts w:hint="eastAsia"/>
        </w:rPr>
        <w:t xml:space="preserve">新たなdirect</w:t>
      </w:r>
      <w:r>
        <w:t xml:space="preserve"> </w:t>
      </w:r>
      <w:r>
        <w:rPr>
          <w:rFonts w:hint="eastAsia"/>
        </w:rPr>
        <w:t xml:space="preserve">lending活動は「やや高いexpected</w:t>
      </w:r>
      <w:r>
        <w:t xml:space="preserve"> </w:t>
      </w:r>
      <w:r>
        <w:rPr>
          <w:rFonts w:hint="eastAsia"/>
        </w:rPr>
        <w:t xml:space="preserve">loss」の引受を含む。ホールセールNCO率の構造的上昇要因。Q3</w:t>
      </w:r>
      <w:r>
        <w:t xml:space="preserve"> 2025 EC, p.4-5</w:t>
      </w:r>
    </w:p>
    <w:p>
      <w:pPr>
        <w:pStyle w:val="Compact"/>
        <w:numPr>
          <w:ilvl w:val="0"/>
          <w:numId w:val="1008"/>
        </w:numPr>
      </w:pPr>
      <w:r>
        <w:rPr>
          <w:rFonts w:hint="eastAsia"/>
        </w:rPr>
        <w:t xml:space="preserve">出典:</w:t>
      </w:r>
      <w:r>
        <w:t xml:space="preserve"> Q3 2025 EC (2025-10-14), p.1, 4-5; Q4 2025 EC (2026-01-13), p.2-3</w:t>
      </w:r>
    </w:p>
    <w:bookmarkEnd w:id="47"/>
    <w:bookmarkStart w:id="48" w:name="納得度-7"/>
    <w:p>
      <w:pPr>
        <w:pStyle w:val="Heading3"/>
      </w:pPr>
      <w:r>
        <w:rPr>
          <w:rFonts w:hint="eastAsia"/>
        </w:rPr>
        <w:t xml:space="preserve">納得度</w:t>
      </w:r>
    </w:p>
    <w:p>
      <w:pPr>
        <w:pStyle w:val="FirstParagraph"/>
      </w:pPr>
      <w:r>
        <w:t xml:space="preserve">□ 90%　□ 70%　□ 50%　□ 30%　□ 10%</w:t>
      </w:r>
    </w:p>
    <w:bookmarkEnd w:id="48"/>
    <w:bookmarkStart w:id="49" w:name="備考任意-7"/>
    <w:p>
      <w:pPr>
        <w:pStyle w:val="Heading3"/>
      </w:pPr>
      <w:r>
        <w:rPr>
          <w:rFonts w:hint="eastAsia"/>
        </w:rPr>
        <w:t xml:space="preserve">備考（任意）</w:t>
      </w:r>
    </w:p>
    <w:p>
      <w:r>
        <w:pict>
          <v:rect style="width:0;height:1.5pt" o:hralign="center" o:hrstd="t" o:hr="t"/>
        </w:pict>
      </w:r>
    </w:p>
    <w:bookmarkEnd w:id="49"/>
    <w:bookmarkEnd w:id="50"/>
    <w:bookmarkStart w:id="53" w:name="補足-sec-edgar-財務サマリー"/>
    <w:p>
      <w:pPr>
        <w:pStyle w:val="Heading2"/>
      </w:pPr>
      <w:r>
        <w:rPr>
          <w:rFonts w:hint="eastAsia"/>
        </w:rPr>
        <w:t xml:space="preserve">補足:</w:t>
      </w:r>
      <w:r>
        <w:t xml:space="preserve"> SEC EDGAR </w:t>
      </w:r>
      <w:r>
        <w:rPr>
          <w:rFonts w:hint="eastAsia"/>
        </w:rPr>
        <w:t xml:space="preserve">財務サマリー</w:t>
      </w:r>
    </w:p>
    <w:bookmarkStart w:id="51" w:name="初期仮説構築期間fy2023-10-k"/>
    <w:p>
      <w:pPr>
        <w:pStyle w:val="Heading3"/>
      </w:pPr>
      <w:r>
        <w:rPr>
          <w:rFonts w:hint="eastAsia"/>
        </w:rPr>
        <w:t xml:space="preserve">初期仮説構築期間（FY2023</w:t>
      </w:r>
      <w:r>
        <w:t xml:space="preserve"> </w:t>
      </w:r>
      <w:r>
        <w:rPr>
          <w:rFonts w:hint="eastAsia"/>
        </w:rPr>
        <w:t xml:space="preserve">10-K）</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FY2023</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FY2022</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$162.4B</w:t>
            </w:r>
          </w:p>
        </w:tc>
        <w:tc>
          <w:tcPr/>
          <w:p>
            <w:pPr>
              <w:pStyle w:val="Compact"/>
            </w:pPr>
            <w:r>
              <w:rPr>
                <w:rFonts w:ascii="Times New Roman" w:hAnsi="Times New Roman" w:eastAsia="游明朝"/>
                <w:sz w:val="18"/>
              </w:rPr>
              <w:t xml:space="preserve">$132.3B</w:t>
            </w:r>
          </w:p>
        </w:tc>
        <w:tc>
          <w:tcPr/>
          <w:p>
            <w:pPr>
              <w:pStyle w:val="Compact"/>
            </w:pPr>
            <w:r>
              <w:rPr>
                <w:rFonts w:ascii="Times New Roman" w:hAnsi="Times New Roman" w:eastAsia="游明朝"/>
                <w:sz w:val="18"/>
              </w:rPr>
              <w:t xml:space="preserve">+23%</w:t>
            </w:r>
          </w:p>
        </w:tc>
      </w:tr>
      <w:tr>
        <w:tc>
          <w:tcPr/>
          <w:p>
            <w:pPr>
              <w:pStyle w:val="Compact"/>
            </w:pPr>
            <w:r>
              <w:rPr>
                <w:rFonts w:hint="eastAsia" w:ascii="Times New Roman" w:hAnsi="Times New Roman" w:eastAsia="游明朝"/>
                <w:sz w:val="18"/>
              </w:rPr>
              <w:t xml:space="preserve">営業利益（税引前利益）</w:t>
            </w:r>
          </w:p>
        </w:tc>
        <w:tc>
          <w:tcPr/>
          <w:p>
            <w:pPr>
              <w:pStyle w:val="Compact"/>
            </w:pPr>
            <w:r>
              <w:rPr>
                <w:rFonts w:ascii="Times New Roman" w:hAnsi="Times New Roman" w:eastAsia="游明朝"/>
                <w:sz w:val="18"/>
              </w:rPr>
              <w:t xml:space="preserve">$62.6B</w:t>
            </w:r>
          </w:p>
        </w:tc>
        <w:tc>
          <w:tcPr/>
          <w:p>
            <w:pPr>
              <w:pStyle w:val="Compact"/>
            </w:pPr>
            <w:r>
              <w:rPr>
                <w:rFonts w:ascii="Times New Roman" w:hAnsi="Times New Roman" w:eastAsia="游明朝"/>
                <w:sz w:val="18"/>
              </w:rPr>
              <w:t xml:space="preserve">$46.9B</w:t>
            </w:r>
          </w:p>
        </w:tc>
        <w:tc>
          <w:tcPr/>
          <w:p>
            <w:pPr>
              <w:pStyle w:val="Compact"/>
            </w:pPr>
            <w:r>
              <w:rPr>
                <w:rFonts w:ascii="Times New Roman" w:hAnsi="Times New Roman" w:eastAsia="游明朝"/>
                <w:sz w:val="18"/>
              </w:rPr>
              <w:t xml:space="preserve">+33%</w:t>
            </w:r>
          </w:p>
        </w:tc>
      </w:tr>
      <w:tr>
        <w:tc>
          <w:tcPr/>
          <w:p>
            <w:pPr>
              <w:pStyle w:val="Compact"/>
            </w:pPr>
            <w:r>
              <w:rPr>
                <w:rFonts w:ascii="Times New Roman" w:hAnsi="Times New Roman" w:eastAsia="游明朝"/>
                <w:sz w:val="18"/>
              </w:rPr>
              <w:t xml:space="preserve">Adjusted </w:t>
            </w:r>
            <w:r>
              <w:rPr>
                <w:rFonts w:hint="eastAsia" w:ascii="Times New Roman" w:hAnsi="Times New Roman" w:eastAsia="游明朝"/>
                <w:sz w:val="18"/>
              </w:rPr>
              <w:t xml:space="preserve">EPS（希薄化後）</w:t>
            </w:r>
          </w:p>
        </w:tc>
        <w:tc>
          <w:tcPr/>
          <w:p>
            <w:pPr>
              <w:pStyle w:val="Compact"/>
            </w:pPr>
            <w:r>
              <w:rPr>
                <w:rFonts w:ascii="Times New Roman" w:hAnsi="Times New Roman" w:eastAsia="游明朝"/>
                <w:sz w:val="18"/>
              </w:rPr>
              <w:t xml:space="preserve">$16.23</w:t>
            </w:r>
          </w:p>
        </w:tc>
        <w:tc>
          <w:tcPr/>
          <w:p>
            <w:pPr>
              <w:pStyle w:val="Compact"/>
            </w:pPr>
            <w:r>
              <w:rPr>
                <w:rFonts w:ascii="Times New Roman" w:hAnsi="Times New Roman" w:eastAsia="游明朝"/>
                <w:sz w:val="18"/>
              </w:rPr>
              <w:t xml:space="preserve">$12.09</w:t>
            </w:r>
          </w:p>
        </w:tc>
        <w:tc>
          <w:tcPr/>
          <w:p>
            <w:pPr>
              <w:pStyle w:val="Compact"/>
            </w:pPr>
            <w:r>
              <w:rPr>
                <w:rFonts w:ascii="Times New Roman" w:hAnsi="Times New Roman" w:eastAsia="游明朝"/>
                <w:sz w:val="18"/>
              </w:rPr>
              <w:t xml:space="preserve">+34%</w:t>
            </w:r>
          </w:p>
        </w:tc>
      </w:tr>
    </w:tbl>
    <w:bookmarkEnd w:id="51"/>
    <w:bookmarkStart w:id="52" w:name="更新情報期間fy2025-10-k-filed-2026-02-13"/>
    <w:p>
      <w:pPr>
        <w:pStyle w:val="Heading3"/>
      </w:pPr>
      <w:r>
        <w:rPr>
          <w:rFonts w:hint="eastAsia"/>
        </w:rPr>
        <w:t xml:space="preserve">更新情報期間（FY2025</w:t>
      </w:r>
      <w:r>
        <w:t xml:space="preserve"> 10-K, filed </w:t>
      </w:r>
      <w:r>
        <w:rPr>
          <w:rFonts w:hint="eastAsia"/>
        </w:rPr>
        <w:t xml:space="preserve">2026-02-13）</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FY2025</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$185.0B</w:t>
            </w:r>
          </w:p>
        </w:tc>
        <w:tc>
          <w:tcPr/>
          <w:p>
            <w:pPr>
              <w:pStyle w:val="Compact"/>
            </w:pPr>
            <w:r>
              <w:rPr>
                <w:rFonts w:ascii="Times New Roman" w:hAnsi="Times New Roman" w:eastAsia="游明朝"/>
                <w:sz w:val="18"/>
              </w:rPr>
              <w:t xml:space="preserve">$173.0B</w:t>
            </w:r>
          </w:p>
        </w:tc>
        <w:tc>
          <w:tcPr/>
          <w:p>
            <w:pPr>
              <w:pStyle w:val="Compact"/>
            </w:pPr>
            <w:r>
              <w:rPr>
                <w:rFonts w:ascii="Times New Roman" w:hAnsi="Times New Roman" w:eastAsia="游明朝"/>
                <w:sz w:val="18"/>
              </w:rPr>
              <w:t xml:space="preserve">+7%</w:t>
            </w:r>
          </w:p>
        </w:tc>
      </w:tr>
      <w:tr>
        <w:tc>
          <w:tcPr/>
          <w:p>
            <w:pPr>
              <w:pStyle w:val="Compact"/>
            </w:pPr>
            <w:r>
              <w:rPr>
                <w:rFonts w:hint="eastAsia" w:ascii="Times New Roman" w:hAnsi="Times New Roman" w:eastAsia="游明朝"/>
                <w:sz w:val="18"/>
              </w:rPr>
              <w:t xml:space="preserve">純利益</w:t>
            </w:r>
          </w:p>
        </w:tc>
        <w:tc>
          <w:tcPr/>
          <w:p>
            <w:pPr>
              <w:pStyle w:val="Compact"/>
            </w:pPr>
            <w:r>
              <w:rPr>
                <w:rFonts w:ascii="Times New Roman" w:hAnsi="Times New Roman" w:eastAsia="游明朝"/>
                <w:sz w:val="18"/>
              </w:rPr>
              <w:t xml:space="preserve">$57.0B</w:t>
            </w:r>
          </w:p>
        </w:tc>
        <w:tc>
          <w:tcPr/>
          <w:p>
            <w:pPr>
              <w:pStyle w:val="Compact"/>
            </w:pPr>
            <w:r>
              <w:rPr>
                <w:rFonts w:ascii="Times New Roman" w:hAnsi="Times New Roman" w:eastAsia="游明朝"/>
                <w:sz w:val="18"/>
              </w:rPr>
              <w:t xml:space="preserve">$58.5B</w:t>
            </w:r>
          </w:p>
        </w:tc>
        <w:tc>
          <w:tcPr/>
          <w:p>
            <w:pPr>
              <w:pStyle w:val="Compact"/>
            </w:pPr>
            <w:r>
              <w:rPr>
                <w:rFonts w:ascii="Times New Roman" w:hAnsi="Times New Roman" w:eastAsia="游明朝"/>
                <w:sz w:val="18"/>
              </w:rPr>
              <w:t xml:space="preserve">▲3%</w:t>
            </w:r>
          </w:p>
        </w:tc>
      </w:tr>
      <w:tr>
        <w:tc>
          <w:tcPr/>
          <w:p>
            <w:pPr>
              <w:pStyle w:val="Compact"/>
            </w:pPr>
            <w:r>
              <w:rPr>
                <w:rFonts w:hint="eastAsia" w:ascii="Times New Roman" w:hAnsi="Times New Roman" w:eastAsia="游明朝"/>
                <w:sz w:val="18"/>
              </w:rPr>
              <w:t xml:space="preserve">営業CF</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Adjusted </w:t>
            </w:r>
            <w:r>
              <w:rPr>
                <w:rFonts w:hint="eastAsia" w:ascii="Times New Roman" w:hAnsi="Times New Roman" w:eastAsia="游明朝"/>
                <w:sz w:val="18"/>
              </w:rPr>
              <w:t xml:space="preserve">EPS（希薄化後）</w:t>
            </w:r>
          </w:p>
        </w:tc>
        <w:tc>
          <w:tcPr/>
          <w:p>
            <w:pPr>
              <w:pStyle w:val="Compact"/>
            </w:pPr>
            <w:r>
              <w:rPr>
                <w:rFonts w:ascii="Times New Roman" w:hAnsi="Times New Roman" w:eastAsia="游明朝"/>
                <w:sz w:val="18"/>
              </w:rPr>
              <w:t xml:space="preserve">$20.02</w:t>
            </w:r>
          </w:p>
        </w:tc>
        <w:tc>
          <w:tcPr/>
          <w:p>
            <w:pPr>
              <w:pStyle w:val="Compact"/>
            </w:pPr>
            <w:r>
              <w:rPr>
                <w:rFonts w:ascii="Times New Roman" w:hAnsi="Times New Roman" w:eastAsia="游明朝"/>
                <w:sz w:val="18"/>
              </w:rPr>
              <w:t xml:space="preserve">$19.75</w:t>
            </w:r>
          </w:p>
        </w:tc>
        <w:tc>
          <w:tcPr/>
          <w:p>
            <w:pPr>
              <w:pStyle w:val="Compact"/>
            </w:pPr>
            <w:r>
              <w:rPr>
                <w:rFonts w:ascii="Times New Roman" w:hAnsi="Times New Roman" w:eastAsia="游明朝"/>
                <w:sz w:val="18"/>
              </w:rPr>
              <w:t xml:space="preserve">+1%</w:t>
            </w:r>
          </w:p>
        </w:tc>
      </w:tr>
    </w:tbl>
    <w:p>
      <w:pPr>
        <w:pStyle w:val="BodyText"/>
      </w:pPr>
      <w:r>
        <w:rPr>
          <w:rFonts w:hint="eastAsia"/>
        </w:rPr>
        <w:t xml:space="preserve">注:</w:t>
      </w:r>
      <w:r>
        <w:t xml:space="preserve"> </w:t>
      </w:r>
      <w:r>
        <w:rPr>
          <w:rFonts w:hint="eastAsia"/>
        </w:rPr>
        <w:t xml:space="preserve">FY2024純利益$58.5BにはVisa株関連利益$7.9B等の特殊項目を含む。調整後ではFY2024純利益$54B・FY2025純利益$57.5B（+6%）が実態に近い。FY2025の総売上$185Bは調整後ベース。</w:t>
      </w:r>
    </w:p>
    <w:bookmarkEnd w:id="52"/>
    <w:bookmarkEnd w:id="53"/>
    <w:bookmarkEnd w:id="5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2026-04-10T01:22:44Z</dcterms:created>
  <dcterms:modified xsi:type="dcterms:W3CDTF">2026-04-10T01:22:44Z</dcterms:modified>
</cp:coreProperties>
</file>

<file path=docProps/custom.xml><?xml version="1.0" encoding="utf-8"?>
<Properties xmlns="http://schemas.openxmlformats.org/officeDocument/2006/custom-properties" xmlns:vt="http://schemas.openxmlformats.org/officeDocument/2006/docPropsVTypes"/>
</file>