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kr-us-the-kroger-co.-投資仮説qa"/>
    <w:p>
      <w:pPr>
        <w:pStyle w:val="Heading1"/>
      </w:pPr>
      <w:r>
        <w:t xml:space="preserve">KR US (The Kroger Co.) — </w:t>
      </w:r>
      <w:r>
        <w:rPr>
          <w:rFonts w:hint="eastAsia"/>
        </w:rPr>
        <w:t xml:space="preserve">投資仮説Q&amp;A</w:t>
      </w:r>
    </w:p>
    <w:p>
      <w:pPr>
        <w:pStyle w:val="FirstParagraph"/>
      </w:pPr>
      <w:r>
        <w:rPr>
          <w:rFonts w:hint="eastAsia"/>
        </w:rPr>
        <w:t xml:space="preserve">基準日:</w:t>
      </w:r>
      <w:r>
        <w:t xml:space="preserve"> 2026-04-10</w:t>
      </w:r>
    </w:p>
    <w:bookmarkStart w:id="9" w:name="このqaの目的と回答方法"/>
    <w:p>
      <w:pPr>
        <w:pStyle w:val="Heading2"/>
      </w:pPr>
      <w:r>
        <w:rPr>
          <w:rFonts w:hint="eastAsia"/>
        </w:rPr>
        <w:t xml:space="preserve">このQ&amp;Aの目的と回答方法</w:t>
      </w:r>
    </w:p>
    <w:p>
      <w:pPr>
        <w:pStyle w:val="FirstParagraph"/>
      </w:pPr>
      <w:r>
        <w:rPr>
          <w:rFonts w:hint="eastAsia"/>
          <w:b/>
          <w:bCs/>
        </w:rPr>
        <w:t xml:space="preserve">目的</w:t>
      </w:r>
      <w:r>
        <w:t xml:space="preserve">: </w:t>
      </w:r>
      <w:r>
        <w:rPr>
          <w:rFonts w:hint="eastAsia"/>
        </w:rPr>
        <w:t xml:space="preserve">AIが生成した8つの投資仮説候補に対して、アナリストの「納得度」を収集し、情報の取捨選択基準を抽出する。</w:t>
      </w:r>
    </w:p>
    <w:p>
      <w:pPr>
        <w:pStyle w:val="BodyText"/>
      </w:pPr>
      <w:r>
        <w:rPr>
          <w:rFonts w:hint="eastAsia"/>
          <w:b/>
          <w:bCs/>
        </w:rPr>
        <w:t xml:space="preserve">問い</w:t>
      </w:r>
      <w:r>
        <w:t xml:space="preserve">: </w:t>
      </w:r>
      <w:r>
        <w:rPr>
          <w:rFonts w:hint="eastAsia"/>
        </w:rPr>
        <w:t xml:space="preserve">以下の情報と投資仮説を踏まえて、</w:t>
      </w:r>
      <w:r>
        <w:rPr>
          <w:rFonts w:hint="eastAsia"/>
          <w:b/>
          <w:bCs/>
        </w:rPr>
        <w:t xml:space="preserve">あなたはこの銘柄をBUYしますか？</w:t>
      </w:r>
    </w:p>
    <w:p>
      <w:pPr>
        <w:pStyle w:val="BodyText"/>
      </w:pPr>
      <w:r>
        <w:rPr>
          <w:rFonts w:hint="eastAsia"/>
          <w:b/>
          <w:bCs/>
        </w:rPr>
        <w:t xml:space="preserve">総合判断</w:t>
      </w:r>
      <w:r>
        <w:t xml:space="preserve">:</w:t>
      </w:r>
      <w:r>
        <w:t xml:space="preserve"> </w:t>
      </w:r>
      <w:r>
        <w:t xml:space="preserve">□ BUY　□ SELL　□ </w:t>
      </w:r>
      <w:r>
        <w:rPr>
          <w:rFonts w:hint="eastAsia"/>
        </w:rPr>
        <w:t xml:space="preserve">判断保留</w:t>
      </w:r>
    </w:p>
    <w:p>
      <w:pPr>
        <w:pStyle w:val="BodyText"/>
      </w:pPr>
      <w:r>
        <w:rPr>
          <w:rFonts w:hint="eastAsia"/>
          <w:b/>
          <w:bCs/>
        </w:rPr>
        <w:t xml:space="preserve">理由（任意）</w:t>
      </w:r>
      <w:r>
        <w:t xml:space="preserve">:</w:t>
      </w:r>
    </w:p>
    <w:p>
      <w:r>
        <w:pict>
          <v:rect style="width:0;height:1.5pt" o:hralign="center" o:hrstd="t" o:hr="t"/>
        </w:pict>
      </w:r>
    </w:p>
    <w:p>
      <w:pPr>
        <w:pStyle w:val="FirstParagraph"/>
      </w:pPr>
      <w:r>
        <w:rPr>
          <w:rFonts w:hint="eastAsia"/>
          <w:b/>
          <w:bCs/>
        </w:rPr>
        <w:t xml:space="preserve">各仮説の回答方法</w:t>
      </w:r>
      <w:r>
        <w:t xml:space="preserve">: </w:t>
      </w:r>
      <w:r>
        <w:rPr>
          <w:rFonts w:hint="eastAsia"/>
        </w:rPr>
        <w:t xml:space="preserve">各仮説について「この仮説がBUY判断にどの程度寄与するか」の納得度を選んでください。</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25"/>
        <w:gridCol w:w="3394"/>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納得度</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意味</w:t>
            </w:r>
          </w:p>
        </w:tc>
      </w:tr>
      <w:tr>
        <w:tc>
          <w:tcPr/>
          <w:p>
            <w:pPr>
              <w:pStyle w:val="Compact"/>
            </w:pPr>
            <w:r>
              <w:rPr>
                <w:rFonts w:ascii="Times New Roman" w:hAnsi="Times New Roman" w:eastAsia="游明朝"/>
                <w:sz w:val="18"/>
              </w:rPr>
              <w:t xml:space="preserve">90%</w:t>
            </w:r>
          </w:p>
        </w:tc>
        <w:tc>
          <w:tcPr/>
          <w:p>
            <w:pPr>
              <w:pStyle w:val="Compact"/>
            </w:pPr>
            <w:r>
              <w:rPr>
                <w:rFonts w:hint="eastAsia" w:ascii="Times New Roman" w:hAnsi="Times New Roman" w:eastAsia="游明朝"/>
                <w:sz w:val="18"/>
              </w:rPr>
              <w:t xml:space="preserve">この仮説は極めて重要。BUY判断の核心的な前提となる</w:t>
            </w:r>
          </w:p>
        </w:tc>
      </w:tr>
      <w:tr>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重要な補強材料。これ単独ではBUYの決め手にならないが、判断を強く支持する</w:t>
            </w:r>
          </w:p>
        </w:tc>
      </w:tr>
      <w:tr>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認識はしているが、判断への影響は中立的</w:t>
            </w:r>
          </w:p>
        </w:tc>
      </w:tr>
      <w:tr>
        <w:tc>
          <w:tcPr/>
          <w:p>
            <w:pPr>
              <w:pStyle w:val="Compact"/>
            </w:pPr>
            <w:r>
              <w:rPr>
                <w:rFonts w:ascii="Times New Roman" w:hAnsi="Times New Roman" w:eastAsia="游明朝"/>
                <w:sz w:val="18"/>
              </w:rPr>
              <w:t xml:space="preserve">30%</w:t>
            </w:r>
          </w:p>
        </w:tc>
        <w:tc>
          <w:tcPr/>
          <w:p>
            <w:pPr>
              <w:pStyle w:val="Compact"/>
            </w:pPr>
            <w:r>
              <w:rPr>
                <w:rFonts w:hint="eastAsia" w:ascii="Times New Roman" w:hAnsi="Times New Roman" w:eastAsia="游明朝"/>
                <w:sz w:val="18"/>
              </w:rPr>
              <w:t xml:space="preserve">やや懐疑的。前提が甘い、または不確実性が高い</w:t>
            </w:r>
          </w:p>
        </w:tc>
      </w:tr>
      <w:tr>
        <w:tc>
          <w:tcPr/>
          <w:p>
            <w:pPr>
              <w:pStyle w:val="Compact"/>
            </w:pPr>
            <w:r>
              <w:rPr>
                <w:rFonts w:ascii="Times New Roman" w:hAnsi="Times New Roman" w:eastAsia="游明朝"/>
                <w:sz w:val="18"/>
              </w:rPr>
              <w:t xml:space="preserve">10%</w:t>
            </w:r>
          </w:p>
        </w:tc>
        <w:tc>
          <w:tcPr/>
          <w:p>
            <w:pPr>
              <w:pStyle w:val="Compact"/>
            </w:pPr>
            <w:r>
              <w:rPr>
                <w:rFonts w:hint="eastAsia" w:ascii="Times New Roman" w:hAnsi="Times New Roman" w:eastAsia="游明朝"/>
                <w:sz w:val="18"/>
              </w:rPr>
              <w:t xml:space="preserve">この仮説は投資判断にほぼ無関係、または前提が間違っている</w:t>
            </w:r>
          </w:p>
        </w:tc>
      </w:tr>
    </w:tbl>
    <w:p>
      <w:pPr>
        <w:pStyle w:val="BodyText"/>
      </w:pPr>
      <w:r>
        <w:rPr>
          <w:rFonts w:hint="eastAsia"/>
        </w:rPr>
        <w:t xml:space="preserve">※リスク仮説（仮説7,</w:t>
      </w:r>
      <w:r>
        <w:t xml:space="preserve"> </w:t>
      </w:r>
      <w:r>
        <w:rPr>
          <w:rFonts w:hint="eastAsia"/>
        </w:rPr>
        <w:t xml:space="preserve">8）の場合:</w:t>
      </w:r>
      <w:r>
        <w:t xml:space="preserve"> </w:t>
      </w:r>
      <w:r>
        <w:rPr>
          <w:rFonts w:hint="eastAsia"/>
        </w:rPr>
        <w:t xml:space="preserve">「このリスクがBUY判断をどの程度毀損するか」を評価してください。90%=深刻なリスク、10%=無視できるリスク。</w:t>
      </w:r>
    </w:p>
    <w:p>
      <w:r>
        <w:pict>
          <v:rect style="width:0;height:1.5pt" o:hralign="center" o:hrstd="t" o:hr="t"/>
        </w:pict>
      </w:r>
    </w:p>
    <w:bookmarkEnd w:id="9"/>
    <w:bookmarkStart w:id="10" w:name="ソース情報"/>
    <w:p>
      <w:pPr>
        <w:pStyle w:val="Heading2"/>
      </w:pPr>
      <w:r>
        <w:rPr>
          <w:rFonts w:hint="eastAsia"/>
        </w:rPr>
        <w:t xml:space="preserve">ソース情報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76"/>
        <w:gridCol w:w="3168"/>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区分</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ソース</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期間</w:t>
            </w:r>
          </w:p>
        </w:tc>
      </w:tr>
      <w:tr>
        <w:tc>
          <w:tcPr/>
          <w:p>
            <w:pPr>
              <w:pStyle w:val="Compact"/>
            </w:pPr>
            <w:r>
              <w:rPr>
                <w:rFonts w:hint="eastAsia" w:ascii="Times New Roman" w:hAnsi="Times New Roman" w:eastAsia="游明朝"/>
                <w:sz w:val="18"/>
              </w:rPr>
              <w:t xml:space="preserve">初期仮説構築</w:t>
            </w:r>
          </w:p>
        </w:tc>
        <w:tc>
          <w:tcPr/>
          <w:p>
            <w:pPr>
              <w:pStyle w:val="Compact"/>
            </w:pPr>
            <w:r>
              <w:rPr>
                <w:rFonts w:ascii="Times New Roman" w:hAnsi="Times New Roman" w:eastAsia="游明朝"/>
                <w:sz w:val="18"/>
              </w:rPr>
              <w:t xml:space="preserve">Earnings Call Transcript</w:t>
            </w:r>
          </w:p>
        </w:tc>
        <w:tc>
          <w:tcPr/>
          <w:p>
            <w:pPr>
              <w:pStyle w:val="Compact"/>
            </w:pPr>
            <w:r>
              <w:rPr>
                <w:rFonts w:ascii="Times New Roman" w:hAnsi="Times New Roman" w:eastAsia="游明朝"/>
                <w:sz w:val="18"/>
              </w:rPr>
              <w:t xml:space="preserve">Q1 FY2024 (2023-06-15) 〜 Q4 FY2025 (2025-03-06)</w:t>
            </w:r>
          </w:p>
        </w:tc>
      </w:tr>
      <w:tr>
        <w:tc>
          <w:tcPr/>
          <w:p>
            <w:pPr>
              <w:pStyle w:val="Compact"/>
            </w:pPr>
            <w:r>
              <w:rPr>
                <w:rFonts w:hint="eastAsia" w:ascii="Times New Roman" w:hAnsi="Times New Roman" w:eastAsia="游明朝"/>
                <w:sz w:val="18"/>
              </w:rPr>
              <w:t xml:space="preserve">初期仮説構築</w:t>
            </w:r>
          </w:p>
        </w:tc>
        <w:tc>
          <w:tcPr/>
          <w:p>
            <w:pPr>
              <w:pStyle w:val="Compact"/>
            </w:pPr>
            <w:r>
              <w:rPr>
                <w:rFonts w:ascii="Times New Roman" w:hAnsi="Times New Roman" w:eastAsia="游明朝"/>
                <w:sz w:val="18"/>
              </w:rPr>
              <w:t xml:space="preserve">SEC EDGAR (10-K)</w:t>
            </w:r>
          </w:p>
        </w:tc>
        <w:tc>
          <w:tcPr/>
          <w:p>
            <w:pPr>
              <w:pStyle w:val="Compact"/>
            </w:pPr>
            <w:r>
              <w:rPr>
                <w:rFonts w:ascii="Times New Roman" w:hAnsi="Times New Roman" w:eastAsia="游明朝"/>
                <w:sz w:val="18"/>
              </w:rPr>
              <w:t xml:space="preserve">FY2023 〜 FY2024</w:t>
            </w:r>
          </w:p>
        </w:tc>
      </w:tr>
      <w:tr>
        <w:tc>
          <w:tcPr/>
          <w:p>
            <w:pPr>
              <w:pStyle w:val="Compact"/>
            </w:pPr>
            <w:r>
              <w:rPr>
                <w:rFonts w:hint="eastAsia" w:ascii="Times New Roman" w:hAnsi="Times New Roman" w:eastAsia="游明朝"/>
                <w:sz w:val="18"/>
              </w:rPr>
              <w:t xml:space="preserve">更新情報</w:t>
            </w:r>
          </w:p>
        </w:tc>
        <w:tc>
          <w:tcPr/>
          <w:p>
            <w:pPr>
              <w:pStyle w:val="Compact"/>
            </w:pPr>
            <w:r>
              <w:rPr>
                <w:rFonts w:ascii="Times New Roman" w:hAnsi="Times New Roman" w:eastAsia="游明朝"/>
                <w:sz w:val="18"/>
              </w:rPr>
              <w:t xml:space="preserve">Earnings Call Transcript</w:t>
            </w:r>
          </w:p>
        </w:tc>
        <w:tc>
          <w:tcPr/>
          <w:p>
            <w:pPr>
              <w:pStyle w:val="Compact"/>
            </w:pPr>
            <w:r>
              <w:rPr>
                <w:rFonts w:ascii="Times New Roman" w:hAnsi="Times New Roman" w:eastAsia="游明朝"/>
                <w:sz w:val="18"/>
              </w:rPr>
              <w:t xml:space="preserve">Q1 FY2026 (2025-06-20) 〜 Q4 FY2026 (2026-03-05)</w:t>
            </w:r>
          </w:p>
        </w:tc>
      </w:tr>
      <w:tr>
        <w:tc>
          <w:tcPr/>
          <w:p>
            <w:pPr>
              <w:pStyle w:val="Compact"/>
            </w:pPr>
            <w:r>
              <w:rPr>
                <w:rFonts w:hint="eastAsia" w:ascii="Times New Roman" w:hAnsi="Times New Roman" w:eastAsia="游明朝"/>
                <w:sz w:val="18"/>
              </w:rPr>
              <w:t xml:space="preserve">更新情報</w:t>
            </w:r>
          </w:p>
        </w:tc>
        <w:tc>
          <w:tcPr/>
          <w:p>
            <w:pPr>
              <w:pStyle w:val="Compact"/>
            </w:pPr>
            <w:r>
              <w:rPr>
                <w:rFonts w:ascii="Times New Roman" w:hAnsi="Times New Roman" w:eastAsia="游明朝"/>
                <w:sz w:val="18"/>
              </w:rPr>
              <w:t xml:space="preserve">SEC EDGAR (10-K)</w:t>
            </w:r>
          </w:p>
        </w:tc>
        <w:tc>
          <w:tcPr/>
          <w:p>
            <w:pPr>
              <w:pStyle w:val="Compact"/>
            </w:pPr>
            <w:r>
              <w:rPr>
                <w:rFonts w:ascii="Times New Roman" w:hAnsi="Times New Roman" w:eastAsia="游明朝"/>
                <w:sz w:val="18"/>
              </w:rPr>
              <w:t xml:space="preserve">FY2025 (filed 2026-03-31)</w:t>
            </w:r>
          </w:p>
        </w:tc>
      </w:tr>
    </w:tbl>
    <w:p>
      <w:pPr>
        <w:pStyle w:val="BodyText"/>
      </w:pPr>
      <w:r>
        <w:rPr>
          <w:rFonts w:hint="eastAsia"/>
          <w:b/>
          <w:bCs/>
        </w:rPr>
        <w:t xml:space="preserve">注</w:t>
      </w:r>
      <w:r>
        <w:t xml:space="preserve">: </w:t>
      </w:r>
      <w:r>
        <w:rPr>
          <w:rFonts w:hint="eastAsia"/>
        </w:rPr>
        <w:t xml:space="preserve">価格/バリュエーション（ITG,</w:t>
      </w:r>
      <w:r>
        <w:t xml:space="preserve"> PER, </w:t>
      </w:r>
      <w:r>
        <w:rPr>
          <w:rFonts w:hint="eastAsia"/>
        </w:rPr>
        <w:t xml:space="preserve">相対PE等）に関する仮説は、現時点でデータソースが不足しているため含まれていません。今後データを拡充して対応予定です。</w:t>
      </w:r>
    </w:p>
    <w:p>
      <w:r>
        <w:pict>
          <v:rect style="width:0;height:1.5pt" o:hralign="center" o:hrstd="t" o:hr="t"/>
        </w:pict>
      </w:r>
    </w:p>
    <w:bookmarkEnd w:id="10"/>
    <w:bookmarkStart w:id="15" w:name="仮説-18"/>
    <w:p>
      <w:pPr>
        <w:pStyle w:val="Heading2"/>
      </w:pPr>
      <w:r>
        <w:rPr>
          <w:rFonts w:hint="eastAsia"/>
        </w:rPr>
        <w:t xml:space="preserve">仮説</w:t>
      </w:r>
      <w:r>
        <w:t xml:space="preserve"> 1/8</w:t>
      </w:r>
    </w:p>
    <w:p>
      <w:pPr>
        <w:pStyle w:val="FirstParagraph"/>
      </w:pPr>
      <w:r>
        <w:rPr>
          <w:b/>
          <w:bCs/>
        </w:rPr>
        <w:t xml:space="preserve">Our </w:t>
      </w:r>
      <w:r>
        <w:rPr>
          <w:rFonts w:hint="eastAsia"/>
          <w:b/>
          <w:bCs/>
        </w:rPr>
        <w:t xml:space="preserve">Brands（プライベートブランド）の浸透率・利益率向上が持続的なグロスマージン改善を牽引する</w:t>
      </w:r>
    </w:p>
    <w:bookmarkStart w:id="11" w:name="根拠情報"/>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ascii="Times New Roman" w:hAnsi="Times New Roman" w:eastAsia="游明朝"/>
                <w:sz w:val="18"/>
              </w:rPr>
              <w:t xml:space="preserve">Our Brands </w:t>
            </w:r>
            <w:r>
              <w:rPr>
                <w:rFonts w:hint="eastAsia" w:ascii="Times New Roman" w:hAnsi="Times New Roman" w:eastAsia="游明朝"/>
                <w:sz w:val="18"/>
              </w:rPr>
              <w:t xml:space="preserve">はナショナルブランド比で600〜800bps高いマージンを提供し、同四半期はその上限で推移</w:t>
            </w:r>
          </w:p>
        </w:tc>
        <w:tc>
          <w:tcPr/>
          <w:p>
            <w:pPr>
              <w:pStyle w:val="Compact"/>
            </w:pPr>
            <w:r>
              <w:rPr>
                <w:rFonts w:ascii="Times New Roman" w:hAnsi="Times New Roman" w:eastAsia="游明朝"/>
                <w:sz w:val="18"/>
              </w:rPr>
              <w:t xml:space="preserve">Q1 FY2024 EC, p.5, 13-14</w:t>
            </w:r>
          </w:p>
        </w:tc>
      </w:tr>
      <w:tr>
        <w:tc>
          <w:tcPr/>
          <w:p>
            <w:pPr>
              <w:pStyle w:val="Compact"/>
            </w:pPr>
            <w:r>
              <w:rPr>
                <w:rFonts w:ascii="Times New Roman" w:hAnsi="Times New Roman" w:eastAsia="游明朝"/>
                <w:sz w:val="18"/>
              </w:rPr>
              <w:t xml:space="preserve">2</w:t>
            </w:r>
          </w:p>
        </w:tc>
        <w:tc>
          <w:tcPr/>
          <w:p>
            <w:pPr>
              <w:pStyle w:val="Compact"/>
            </w:pPr>
            <w:r>
              <w:rPr>
                <w:rFonts w:ascii="Times New Roman" w:hAnsi="Times New Roman" w:eastAsia="游明朝"/>
                <w:sz w:val="18"/>
              </w:rPr>
              <w:t xml:space="preserve">Our </w:t>
            </w:r>
            <w:r>
              <w:rPr>
                <w:rFonts w:hint="eastAsia" w:ascii="Times New Roman" w:hAnsi="Times New Roman" w:eastAsia="游明朝"/>
                <w:sz w:val="18"/>
              </w:rPr>
              <w:t xml:space="preserve">Brands売上が4.9%成長、Smart</w:t>
            </w:r>
            <w:r>
              <w:rPr>
                <w:rFonts w:ascii="Times New Roman" w:hAnsi="Times New Roman" w:eastAsia="游明朝"/>
                <w:sz w:val="18"/>
              </w:rPr>
              <w:t xml:space="preserve"> </w:t>
            </w:r>
            <w:r>
              <w:rPr>
                <w:rFonts w:hint="eastAsia" w:ascii="Times New Roman" w:hAnsi="Times New Roman" w:eastAsia="游明朝"/>
                <w:sz w:val="18"/>
              </w:rPr>
              <w:t xml:space="preserve">Way（エントリー価格帯PB）導入でブランド体系を刷新</w:t>
            </w:r>
          </w:p>
        </w:tc>
        <w:tc>
          <w:tcPr/>
          <w:p>
            <w:pPr>
              <w:pStyle w:val="Compact"/>
            </w:pPr>
            <w:r>
              <w:rPr>
                <w:rFonts w:ascii="Times New Roman" w:hAnsi="Times New Roman" w:eastAsia="游明朝"/>
                <w:sz w:val="18"/>
              </w:rPr>
              <w:t xml:space="preserve">Q1 FY2024 EC, p.5</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2024年に800以上の新商品投入を計画、ブランドアーキテクチャの再構築とパッケージリフレッシュを実施</w:t>
            </w:r>
          </w:p>
        </w:tc>
        <w:tc>
          <w:tcPr/>
          <w:p>
            <w:pPr>
              <w:pStyle w:val="Compact"/>
            </w:pPr>
            <w:r>
              <w:rPr>
                <w:rFonts w:ascii="Times New Roman" w:hAnsi="Times New Roman" w:eastAsia="游明朝"/>
                <w:sz w:val="18"/>
              </w:rPr>
              <w:t xml:space="preserve">Q4 FY2024 EC, p.3</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顧客の90%以上がOur</w:t>
            </w:r>
            <w:r>
              <w:rPr>
                <w:rFonts w:ascii="Times New Roman" w:hAnsi="Times New Roman" w:eastAsia="游明朝"/>
                <w:sz w:val="18"/>
              </w:rPr>
              <w:t xml:space="preserve"> </w:t>
            </w:r>
            <w:r>
              <w:rPr>
                <w:rFonts w:hint="eastAsia" w:ascii="Times New Roman" w:hAnsi="Times New Roman" w:eastAsia="游明朝"/>
                <w:sz w:val="18"/>
              </w:rPr>
              <w:t xml:space="preserve">Brands商品を購入、ナショナルブランドを上回る売上成長が継続</w:t>
            </w:r>
          </w:p>
        </w:tc>
        <w:tc>
          <w:tcPr/>
          <w:p>
            <w:pPr>
              <w:pStyle w:val="Compact"/>
            </w:pPr>
            <w:r>
              <w:rPr>
                <w:rFonts w:ascii="Times New Roman" w:hAnsi="Times New Roman" w:eastAsia="游明朝"/>
                <w:sz w:val="18"/>
              </w:rPr>
              <w:t xml:space="preserve">Q2 FY2025 EC, p.2-3</w:t>
            </w:r>
          </w:p>
        </w:tc>
      </w:tr>
      <w:tr>
        <w:tc>
          <w:tcPr/>
          <w:p>
            <w:pPr>
              <w:pStyle w:val="Compact"/>
            </w:pPr>
            <w:r>
              <w:rPr>
                <w:rFonts w:ascii="Times New Roman" w:hAnsi="Times New Roman" w:eastAsia="游明朝"/>
                <w:sz w:val="18"/>
              </w:rPr>
              <w:t xml:space="preserve">5</w:t>
            </w:r>
          </w:p>
        </w:tc>
        <w:tc>
          <w:tcPr/>
          <w:p>
            <w:pPr>
              <w:pStyle w:val="Compact"/>
            </w:pPr>
            <w:r>
              <w:rPr>
                <w:rFonts w:ascii="Times New Roman" w:hAnsi="Times New Roman" w:eastAsia="游明朝"/>
                <w:sz w:val="18"/>
              </w:rPr>
              <w:t xml:space="preserve">Our </w:t>
            </w:r>
            <w:r>
              <w:rPr>
                <w:rFonts w:hint="eastAsia" w:ascii="Times New Roman" w:hAnsi="Times New Roman" w:eastAsia="游明朝"/>
                <w:sz w:val="18"/>
              </w:rPr>
              <w:t xml:space="preserve">Brandsの利益率改善は自社製造工場活用・ソーシング効率化・ミックス改善の複合効果</w:t>
            </w:r>
          </w:p>
        </w:tc>
        <w:tc>
          <w:tcPr/>
          <w:p>
            <w:pPr>
              <w:pStyle w:val="Compact"/>
            </w:pPr>
            <w:r>
              <w:rPr>
                <w:rFonts w:ascii="Times New Roman" w:hAnsi="Times New Roman" w:eastAsia="游明朝"/>
                <w:sz w:val="18"/>
              </w:rPr>
              <w:t xml:space="preserve">Q1 FY2024 EC, p.13-14; Q4 FY2024 EC, p.3</w:t>
            </w:r>
          </w:p>
        </w:tc>
      </w:tr>
      <w:tr>
        <w:tc>
          <w:tcPr/>
          <w:p>
            <w:pPr>
              <w:pStyle w:val="Compact"/>
            </w:pPr>
            <w:r>
              <w:rPr>
                <w:rFonts w:ascii="Times New Roman" w:hAnsi="Times New Roman" w:eastAsia="游明朝"/>
                <w:sz w:val="18"/>
              </w:rPr>
              <w:t xml:space="preserve">6</w:t>
            </w:r>
          </w:p>
        </w:tc>
        <w:tc>
          <w:tcPr/>
          <w:p>
            <w:pPr>
              <w:pStyle w:val="Compact"/>
            </w:pPr>
            <w:r>
              <w:rPr>
                <w:rFonts w:ascii="Times New Roman" w:hAnsi="Times New Roman" w:eastAsia="游明朝"/>
                <w:sz w:val="18"/>
              </w:rPr>
              <w:t xml:space="preserve">Private </w:t>
            </w:r>
            <w:r>
              <w:rPr>
                <w:rFonts w:hint="eastAsia" w:ascii="Times New Roman" w:hAnsi="Times New Roman" w:eastAsia="游明朝"/>
                <w:sz w:val="18"/>
              </w:rPr>
              <w:t xml:space="preserve">Selection（プレミアム）が全体成長を上回る中単位成長、Fresh領域で370の新商品導入</w:t>
            </w:r>
          </w:p>
        </w:tc>
        <w:tc>
          <w:tcPr/>
          <w:p>
            <w:pPr>
              <w:pStyle w:val="Compact"/>
            </w:pPr>
            <w:r>
              <w:rPr>
                <w:rFonts w:ascii="Times New Roman" w:hAnsi="Times New Roman" w:eastAsia="游明朝"/>
                <w:sz w:val="18"/>
              </w:rPr>
              <w:t xml:space="preserve">Q3 FY2025 EC, p.5; Q4 FY2025 EC, p.3</w:t>
            </w:r>
          </w:p>
        </w:tc>
      </w:tr>
    </w:tbl>
    <w:bookmarkEnd w:id="11"/>
    <w:bookmarkStart w:id="12" w:name="更新情報直近1年"/>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初期仮説構築時点ではOur</w:t>
      </w:r>
      <w:r>
        <w:t xml:space="preserve"> </w:t>
      </w:r>
      <w:r>
        <w:rPr>
          <w:rFonts w:hint="eastAsia"/>
        </w:rPr>
        <w:t xml:space="preserve">Brandsの売上成長がナショナルブランドを上回るトレンドが確認されていたが、直近1年で7四半期連続でナショナルブランドを上回る成長を達成。Simple</w:t>
      </w:r>
      <w:r>
        <w:t xml:space="preserve"> TruthとPrivate </w:t>
      </w:r>
      <w:r>
        <w:rPr>
          <w:rFonts w:hint="eastAsia"/>
        </w:rPr>
        <w:t xml:space="preserve">Selectionがプレミアム需要と健康志向を両立し成長を牽引。FY2025通年で1,100以上の新商品を投入（前年900+）し、健康・プロテイン領域への拡大も進行。マージン改善の持続性に対する確度は初期仮説時点より上がっている。</w:t>
      </w:r>
    </w:p>
    <w:p>
      <w:pPr>
        <w:pStyle w:val="Compact"/>
        <w:numPr>
          <w:ilvl w:val="0"/>
          <w:numId w:val="1001"/>
        </w:numPr>
      </w:pPr>
      <w:r>
        <w:t xml:space="preserve">Our BrandsがFY2026 </w:t>
      </w:r>
      <w:r>
        <w:rPr>
          <w:rFonts w:hint="eastAsia"/>
        </w:rPr>
        <w:t xml:space="preserve">Q1-Q4の全四半期でナショナルブランドを上回る成長を達成。Q1</w:t>
      </w:r>
      <w:r>
        <w:t xml:space="preserve"> FY2026 EC, p.2; Q4 FY2026 EC, p.3</w:t>
      </w:r>
    </w:p>
    <w:p>
      <w:pPr>
        <w:pStyle w:val="Compact"/>
        <w:numPr>
          <w:ilvl w:val="0"/>
          <w:numId w:val="1001"/>
        </w:numPr>
      </w:pPr>
      <w:r>
        <w:t xml:space="preserve">Simple </w:t>
      </w:r>
      <w:r>
        <w:rPr>
          <w:rFonts w:hint="eastAsia"/>
        </w:rPr>
        <w:t xml:space="preserve">TruthがFY2026で80の新プロテイン商品を投入、健康トレンドを捕捉。Q1</w:t>
      </w:r>
      <w:r>
        <w:t xml:space="preserve"> FY2026 EC, p.2</w:t>
      </w:r>
    </w:p>
    <w:p>
      <w:pPr>
        <w:pStyle w:val="Compact"/>
        <w:numPr>
          <w:ilvl w:val="0"/>
          <w:numId w:val="1001"/>
        </w:numPr>
      </w:pPr>
      <w:r>
        <w:rPr>
          <w:rFonts w:hint="eastAsia"/>
        </w:rPr>
        <w:t xml:space="preserve">FY2025通年で1,100以上の新Our</w:t>
      </w:r>
      <w:r>
        <w:t xml:space="preserve"> </w:t>
      </w:r>
      <w:r>
        <w:rPr>
          <w:rFonts w:hint="eastAsia"/>
        </w:rPr>
        <w:t xml:space="preserve">Brands商品を投入（前年比+22%）、健康領域へのフォーカスを強化。Q4</w:t>
      </w:r>
      <w:r>
        <w:t xml:space="preserve"> FY2026 EC, p.3</w:t>
      </w:r>
    </w:p>
    <w:p>
      <w:pPr>
        <w:pStyle w:val="Compact"/>
        <w:numPr>
          <w:ilvl w:val="0"/>
          <w:numId w:val="1001"/>
        </w:numPr>
      </w:pPr>
      <w:r>
        <w:rPr>
          <w:rFonts w:hint="eastAsia"/>
        </w:rPr>
        <w:t xml:space="preserve">卵デフレの影響を除けば、Q4</w:t>
      </w:r>
      <w:r>
        <w:t xml:space="preserve"> FY2026でもOur </w:t>
      </w:r>
      <w:r>
        <w:rPr>
          <w:rFonts w:hint="eastAsia"/>
        </w:rPr>
        <w:t xml:space="preserve">Brands売上がナショナルブランドを上回る成長。Q4</w:t>
      </w:r>
      <w:r>
        <w:t xml:space="preserve"> FY2026 EC, p.3</w:t>
      </w:r>
    </w:p>
    <w:p>
      <w:pPr>
        <w:pStyle w:val="Compact"/>
        <w:numPr>
          <w:ilvl w:val="0"/>
          <w:numId w:val="1001"/>
        </w:numPr>
      </w:pPr>
      <w:r>
        <w:rPr>
          <w:rFonts w:hint="eastAsia"/>
        </w:rPr>
        <w:t xml:space="preserve">出典:</w:t>
      </w:r>
      <w:r>
        <w:t xml:space="preserve"> Q1 FY2026 EC (2025-06-20), p.2; Q2 FY2026 EC (2025-09-11), p.2-3; Q4 FY2026 EC (2026-03-05), p.3</w:t>
      </w:r>
    </w:p>
    <w:bookmarkEnd w:id="12"/>
    <w:bookmarkStart w:id="13" w:name="納得度"/>
    <w:p>
      <w:pPr>
        <w:pStyle w:val="Heading3"/>
      </w:pPr>
      <w:r>
        <w:rPr>
          <w:rFonts w:hint="eastAsia"/>
        </w:rPr>
        <w:t xml:space="preserve">納得度</w:t>
      </w:r>
    </w:p>
    <w:p>
      <w:pPr>
        <w:pStyle w:val="FirstParagraph"/>
      </w:pPr>
      <w:r>
        <w:t xml:space="preserve">□ 90%　□ 70%　□ 50%　□ 30%　□ 10%</w:t>
      </w:r>
    </w:p>
    <w:bookmarkEnd w:id="13"/>
    <w:bookmarkStart w:id="14" w:name="備考任意"/>
    <w:p>
      <w:pPr>
        <w:pStyle w:val="Heading3"/>
      </w:pPr>
      <w:r>
        <w:rPr>
          <w:rFonts w:hint="eastAsia"/>
        </w:rPr>
        <w:t xml:space="preserve">備考（任意）</w:t>
      </w:r>
    </w:p>
    <w:p>
      <w:r>
        <w:pict>
          <v:rect style="width:0;height:1.5pt" o:hralign="center" o:hrstd="t" o:hr="t"/>
        </w:pict>
      </w:r>
    </w:p>
    <w:bookmarkEnd w:id="14"/>
    <w:bookmarkEnd w:id="15"/>
    <w:bookmarkStart w:id="20" w:name="仮説-28"/>
    <w:p>
      <w:pPr>
        <w:pStyle w:val="Heading2"/>
      </w:pPr>
      <w:r>
        <w:rPr>
          <w:rFonts w:hint="eastAsia"/>
        </w:rPr>
        <w:t xml:space="preserve">仮説</w:t>
      </w:r>
      <w:r>
        <w:t xml:space="preserve"> 2/8</w:t>
      </w:r>
    </w:p>
    <w:p>
      <w:pPr>
        <w:pStyle w:val="FirstParagraph"/>
      </w:pPr>
      <w:r>
        <w:rPr>
          <w:b/>
          <w:bCs/>
        </w:rPr>
        <w:t xml:space="preserve">Kroger Precision </w:t>
      </w:r>
      <w:r>
        <w:rPr>
          <w:rFonts w:hint="eastAsia"/>
          <w:b/>
          <w:bCs/>
        </w:rPr>
        <w:t xml:space="preserve">Marketing（KPM）を中心とするAlternative</w:t>
      </w:r>
      <w:r>
        <w:rPr>
          <w:b/>
          <w:bCs/>
        </w:rPr>
        <w:t xml:space="preserve"> </w:t>
      </w:r>
      <w:r>
        <w:rPr>
          <w:rFonts w:hint="eastAsia"/>
          <w:b/>
          <w:bCs/>
        </w:rPr>
        <w:t xml:space="preserve">Profit事業がオペレーティング・レバレッジの源泉となり、年間$1.5B+の高マージン利益を安定創出する</w:t>
      </w:r>
    </w:p>
    <w:bookmarkStart w:id="16" w:name="根拠情報-1"/>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ascii="Times New Roman" w:hAnsi="Times New Roman" w:eastAsia="游明朝"/>
                <w:sz w:val="18"/>
              </w:rPr>
              <w:t xml:space="preserve">Alternative </w:t>
            </w:r>
            <w:r>
              <w:rPr>
                <w:rFonts w:hint="eastAsia" w:ascii="Times New Roman" w:hAnsi="Times New Roman" w:eastAsia="游明朝"/>
                <w:sz w:val="18"/>
              </w:rPr>
              <w:t xml:space="preserve">Profit事業が2023年に$1.3Bのオペレーティング・プロフィットを達成</w:t>
            </w:r>
          </w:p>
        </w:tc>
        <w:tc>
          <w:tcPr/>
          <w:p>
            <w:pPr>
              <w:pStyle w:val="Compact"/>
            </w:pPr>
            <w:r>
              <w:rPr>
                <w:rFonts w:ascii="Times New Roman" w:hAnsi="Times New Roman" w:eastAsia="游明朝"/>
                <w:sz w:val="18"/>
              </w:rPr>
              <w:t xml:space="preserve">Q4 FY2024 EC, p.4</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KPMが2024年に20%超のメディア成長を見込み、Disney連携やCooler</w:t>
            </w:r>
            <w:r>
              <w:rPr>
                <w:rFonts w:ascii="Times New Roman" w:hAnsi="Times New Roman" w:eastAsia="游明朝"/>
                <w:sz w:val="18"/>
              </w:rPr>
              <w:t xml:space="preserve"> </w:t>
            </w:r>
            <w:r>
              <w:rPr>
                <w:rFonts w:hint="eastAsia" w:ascii="Times New Roman" w:hAnsi="Times New Roman" w:eastAsia="游明朝"/>
                <w:sz w:val="18"/>
              </w:rPr>
              <w:t xml:space="preserve">Screens導入で広告プラットフォームを拡張</w:t>
            </w:r>
          </w:p>
        </w:tc>
        <w:tc>
          <w:tcPr/>
          <w:p>
            <w:pPr>
              <w:pStyle w:val="Compact"/>
            </w:pPr>
            <w:r>
              <w:rPr>
                <w:rFonts w:ascii="Times New Roman" w:hAnsi="Times New Roman" w:eastAsia="游明朝"/>
                <w:sz w:val="18"/>
              </w:rPr>
              <w:t xml:space="preserve">Q1 FY2024 EC, p.6; Q4 FY2024 EC, p.4</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デジタルエンゲージド世帯が非デジタル世帯の約3倍の支出、KPMの広告ROI測定能力がファーストパーティデータに基づく競争優位</w:t>
            </w:r>
          </w:p>
        </w:tc>
        <w:tc>
          <w:tcPr/>
          <w:p>
            <w:pPr>
              <w:pStyle w:val="Compact"/>
            </w:pPr>
            <w:r>
              <w:rPr>
                <w:rFonts w:ascii="Times New Roman" w:hAnsi="Times New Roman" w:eastAsia="游明朝"/>
                <w:sz w:val="18"/>
              </w:rPr>
              <w:t xml:space="preserve">Q1 FY2024 EC, p.4; Q4 FY2024 EC, p.4</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KPMがセルフサービス型広告プラットフォームを構築し、Meta連携でソーシャルメディアへもリーチ拡大</w:t>
            </w:r>
          </w:p>
        </w:tc>
        <w:tc>
          <w:tcPr/>
          <w:p>
            <w:pPr>
              <w:pStyle w:val="Compact"/>
            </w:pPr>
            <w:r>
              <w:rPr>
                <w:rFonts w:ascii="Times New Roman" w:hAnsi="Times New Roman" w:eastAsia="游明朝"/>
                <w:sz w:val="18"/>
              </w:rPr>
              <w:t xml:space="preserve">Q3 FY2024 EC, p.3; Q1 FY2025 EC, p.3</w:t>
            </w:r>
          </w:p>
        </w:tc>
      </w:tr>
      <w:tr>
        <w:tc>
          <w:tcPr/>
          <w:p>
            <w:pPr>
              <w:pStyle w:val="Compact"/>
            </w:pPr>
            <w:r>
              <w:rPr>
                <w:rFonts w:ascii="Times New Roman" w:hAnsi="Times New Roman" w:eastAsia="游明朝"/>
                <w:sz w:val="18"/>
              </w:rPr>
              <w:t xml:space="preserve">5</w:t>
            </w:r>
          </w:p>
        </w:tc>
        <w:tc>
          <w:tcPr/>
          <w:p>
            <w:pPr>
              <w:pStyle w:val="Compact"/>
            </w:pPr>
            <w:r>
              <w:rPr>
                <w:rFonts w:ascii="Times New Roman" w:hAnsi="Times New Roman" w:eastAsia="游明朝"/>
                <w:sz w:val="18"/>
              </w:rPr>
              <w:t xml:space="preserve">Alternative </w:t>
            </w:r>
            <w:r>
              <w:rPr>
                <w:rFonts w:hint="eastAsia" w:ascii="Times New Roman" w:hAnsi="Times New Roman" w:eastAsia="游明朝"/>
                <w:sz w:val="18"/>
              </w:rPr>
              <w:t xml:space="preserve">Profit事業はスーパーマーケットマージンとは全く異なる高マージン構造で、10年前には存在しなかった事業</w:t>
            </w:r>
          </w:p>
        </w:tc>
        <w:tc>
          <w:tcPr/>
          <w:p>
            <w:pPr>
              <w:pStyle w:val="Compact"/>
            </w:pPr>
            <w:r>
              <w:rPr>
                <w:rFonts w:ascii="Times New Roman" w:hAnsi="Times New Roman" w:eastAsia="游明朝"/>
                <w:sz w:val="18"/>
              </w:rPr>
              <w:t xml:space="preserve">Q2 FY2024 EC, p.14-15</w:t>
            </w:r>
          </w:p>
        </w:tc>
      </w:tr>
    </w:tbl>
    <w:bookmarkEnd w:id="16"/>
    <w:bookmarkStart w:id="17" w:name="更新情報直近1年-1"/>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初期仮説構築時点ではAlternative</w:t>
      </w:r>
      <w:r>
        <w:t xml:space="preserve"> </w:t>
      </w:r>
      <w:r>
        <w:rPr>
          <w:rFonts w:hint="eastAsia"/>
        </w:rPr>
        <w:t xml:space="preserve">Profit事業が$1.3B（FY2023）→$1.35B（FY2024）と成長が鈍化していたが、直近1年でFY2025に$1.5Bへ到達。特にeCommerce売上が$16B規模に拡大し、DoorDash・Uber</w:t>
      </w:r>
      <w:r>
        <w:t xml:space="preserve"> </w:t>
      </w:r>
      <w:r>
        <w:rPr>
          <w:rFonts w:hint="eastAsia"/>
        </w:rPr>
        <w:t xml:space="preserve">Eats・Instacartとの提携でメディア収益化の新チャネルが開拓された。FY2026にメディア事業の二桁成長が見込まれており、eCommerce黒字化と合わせてAlternative</w:t>
      </w:r>
      <w:r>
        <w:t xml:space="preserve"> </w:t>
      </w:r>
      <w:r>
        <w:rPr>
          <w:rFonts w:hint="eastAsia"/>
        </w:rPr>
        <w:t xml:space="preserve">Profit事業の利益寄与は初期仮説を上回るペースで拡大している。</w:t>
      </w:r>
    </w:p>
    <w:p>
      <w:pPr>
        <w:pStyle w:val="Compact"/>
        <w:numPr>
          <w:ilvl w:val="0"/>
          <w:numId w:val="1002"/>
        </w:numPr>
      </w:pPr>
      <w:r>
        <w:rPr>
          <w:rFonts w:hint="eastAsia"/>
        </w:rPr>
        <w:t xml:space="preserve">FY2025通年のAlternative</w:t>
      </w:r>
      <w:r>
        <w:t xml:space="preserve"> </w:t>
      </w:r>
      <w:r>
        <w:rPr>
          <w:rFonts w:hint="eastAsia"/>
        </w:rPr>
        <w:t xml:space="preserve">Profit事業オペレーティング・プロフィットが$1.5Bに到達（メディア・Kroger</w:t>
      </w:r>
      <w:r>
        <w:t xml:space="preserve"> Personal </w:t>
      </w:r>
      <w:r>
        <w:rPr>
          <w:rFonts w:hint="eastAsia"/>
        </w:rPr>
        <w:t xml:space="preserve">Finance・インサイト含む）。Q4</w:t>
      </w:r>
      <w:r>
        <w:t xml:space="preserve"> FY2026 EC, p.7</w:t>
      </w:r>
    </w:p>
    <w:p>
      <w:pPr>
        <w:pStyle w:val="Compact"/>
        <w:numPr>
          <w:ilvl w:val="0"/>
          <w:numId w:val="1002"/>
        </w:numPr>
      </w:pPr>
      <w:r>
        <w:t xml:space="preserve">DoorDash・Uber </w:t>
      </w:r>
      <w:r>
        <w:rPr>
          <w:rFonts w:hint="eastAsia"/>
        </w:rPr>
        <w:t xml:space="preserve">Eats・Instacartとの連携により、サードパーティプラットフォーム上でのメディア収益化チャネルが開拓。Q3</w:t>
      </w:r>
      <w:r>
        <w:t xml:space="preserve"> FY2026 EC, p.2, 5-6</w:t>
      </w:r>
    </w:p>
    <w:p>
      <w:pPr>
        <w:pStyle w:val="Compact"/>
        <w:numPr>
          <w:ilvl w:val="0"/>
          <w:numId w:val="1002"/>
        </w:numPr>
      </w:pPr>
      <w:r>
        <w:rPr>
          <w:rFonts w:hint="eastAsia"/>
        </w:rPr>
        <w:t xml:space="preserve">メディア事業はFY2026に二桁成長を見込み、マーチャンダイジングとメディアチームの協業強化で広告効果が改善。Q4</w:t>
      </w:r>
      <w:r>
        <w:t xml:space="preserve"> FY2026 EC, p.7</w:t>
      </w:r>
    </w:p>
    <w:p>
      <w:pPr>
        <w:pStyle w:val="Compact"/>
        <w:numPr>
          <w:ilvl w:val="0"/>
          <w:numId w:val="1002"/>
        </w:numPr>
      </w:pPr>
      <w:r>
        <w:rPr>
          <w:rFonts w:hint="eastAsia"/>
        </w:rPr>
        <w:t xml:space="preserve">コンビニエンスデリバリー（Instacart+DoorDash+Uber</w:t>
      </w:r>
      <w:r>
        <w:t xml:space="preserve"> </w:t>
      </w:r>
      <w:r>
        <w:rPr>
          <w:rFonts w:hint="eastAsia"/>
        </w:rPr>
        <w:t xml:space="preserve">Eats）がFY2026に$1.5B超の売上を見込み、メディア事業の基盤を拡大。Q4</w:t>
      </w:r>
      <w:r>
        <w:t xml:space="preserve"> FY2026 EC, p.4</w:t>
      </w:r>
    </w:p>
    <w:p>
      <w:pPr>
        <w:pStyle w:val="Compact"/>
        <w:numPr>
          <w:ilvl w:val="0"/>
          <w:numId w:val="1002"/>
        </w:numPr>
      </w:pPr>
      <w:r>
        <w:rPr>
          <w:rFonts w:hint="eastAsia"/>
        </w:rPr>
        <w:t xml:space="preserve">出典:</w:t>
      </w:r>
      <w:r>
        <w:t xml:space="preserve"> Q3 FY2026 EC (2025-12-04), p.2, 5-6; Q4 FY2026 EC (2026-03-05), p.4, 7</w:t>
      </w:r>
    </w:p>
    <w:bookmarkEnd w:id="17"/>
    <w:bookmarkStart w:id="18" w:name="納得度-1"/>
    <w:p>
      <w:pPr>
        <w:pStyle w:val="Heading3"/>
      </w:pPr>
      <w:r>
        <w:rPr>
          <w:rFonts w:hint="eastAsia"/>
        </w:rPr>
        <w:t xml:space="preserve">納得度</w:t>
      </w:r>
    </w:p>
    <w:p>
      <w:pPr>
        <w:pStyle w:val="FirstParagraph"/>
      </w:pPr>
      <w:r>
        <w:t xml:space="preserve">□ 90%　□ 70%　□ 50%　□ 30%　□ 10%</w:t>
      </w:r>
    </w:p>
    <w:bookmarkEnd w:id="18"/>
    <w:bookmarkStart w:id="19" w:name="備考任意-1"/>
    <w:p>
      <w:pPr>
        <w:pStyle w:val="Heading3"/>
      </w:pPr>
      <w:r>
        <w:rPr>
          <w:rFonts w:hint="eastAsia"/>
        </w:rPr>
        <w:t xml:space="preserve">備考（任意）</w:t>
      </w:r>
    </w:p>
    <w:p>
      <w:r>
        <w:pict>
          <v:rect style="width:0;height:1.5pt" o:hralign="center" o:hrstd="t" o:hr="t"/>
        </w:pict>
      </w:r>
    </w:p>
    <w:bookmarkEnd w:id="19"/>
    <w:bookmarkEnd w:id="20"/>
    <w:bookmarkStart w:id="25" w:name="仮説-38"/>
    <w:p>
      <w:pPr>
        <w:pStyle w:val="Heading2"/>
      </w:pPr>
      <w:r>
        <w:rPr>
          <w:rFonts w:hint="eastAsia"/>
        </w:rPr>
        <w:t xml:space="preserve">仮説</w:t>
      </w:r>
      <w:r>
        <w:t xml:space="preserve"> 3/8</w:t>
      </w:r>
    </w:p>
    <w:p>
      <w:pPr>
        <w:pStyle w:val="FirstParagraph"/>
      </w:pPr>
      <w:r>
        <w:rPr>
          <w:rFonts w:hint="eastAsia"/>
          <w:b/>
          <w:bCs/>
        </w:rPr>
        <w:t xml:space="preserve">eCommerce事業の黒字化と店舗ベースフルフィルメントへのシフトがデジタル成長と利益改善を両立させる</w:t>
      </w:r>
    </w:p>
    <w:bookmarkStart w:id="21" w:name="根拠情報-2"/>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デジタル売上がFY2023に$12B超、FY2024に$13B超へ成長、二桁成長が継続</w:t>
            </w:r>
          </w:p>
        </w:tc>
        <w:tc>
          <w:tcPr/>
          <w:p>
            <w:pPr>
              <w:pStyle w:val="Compact"/>
            </w:pPr>
            <w:r>
              <w:rPr>
                <w:rFonts w:ascii="Times New Roman" w:hAnsi="Times New Roman" w:eastAsia="游明朝"/>
                <w:sz w:val="18"/>
              </w:rPr>
              <w:t xml:space="preserve">Q4 FY2024 EC, p.3; Q4 FY2025 EC, p.3</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Pickup事業は複数ディビジョンでフルロードベースの黒字化を達成</w:t>
            </w:r>
          </w:p>
        </w:tc>
        <w:tc>
          <w:tcPr/>
          <w:p>
            <w:pPr>
              <w:pStyle w:val="Compact"/>
            </w:pPr>
            <w:r>
              <w:rPr>
                <w:rFonts w:ascii="Times New Roman" w:hAnsi="Times New Roman" w:eastAsia="游明朝"/>
                <w:sz w:val="18"/>
              </w:rPr>
              <w:t xml:space="preserve">Q2 FY2024 EC, p.3</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デジタルのパススルー利益率が一桁台半ばから二桁台に向上中、店舗は15%超</w:t>
            </w:r>
          </w:p>
        </w:tc>
        <w:tc>
          <w:tcPr/>
          <w:p>
            <w:pPr>
              <w:pStyle w:val="Compact"/>
            </w:pPr>
            <w:r>
              <w:rPr>
                <w:rFonts w:ascii="Times New Roman" w:hAnsi="Times New Roman" w:eastAsia="游明朝"/>
                <w:sz w:val="18"/>
              </w:rPr>
              <w:t xml:space="preserve">Q3 FY2024 EC, p.7-8</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AIによる動的バッチング・ルーティングで全店舗で2時間ピックアップを実現、コスト・トゥ・サーブ改善が継続</w:t>
            </w:r>
          </w:p>
        </w:tc>
        <w:tc>
          <w:tcPr/>
          <w:p>
            <w:pPr>
              <w:pStyle w:val="Compact"/>
            </w:pPr>
            <w:r>
              <w:rPr>
                <w:rFonts w:ascii="Times New Roman" w:hAnsi="Times New Roman" w:eastAsia="游明朝"/>
                <w:sz w:val="18"/>
              </w:rPr>
              <w:t xml:space="preserve">Q2 FY2025 EC, p.4-5; Q1 FY2025 EC, p.3</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Boost会員プログラムにDisney+等ストリーミング特典を追加し、eCommerce浸透率の拡大を推進</w:t>
            </w:r>
          </w:p>
        </w:tc>
        <w:tc>
          <w:tcPr/>
          <w:p>
            <w:pPr>
              <w:pStyle w:val="Compact"/>
            </w:pPr>
            <w:r>
              <w:rPr>
                <w:rFonts w:ascii="Times New Roman" w:hAnsi="Times New Roman" w:eastAsia="游明朝"/>
                <w:sz w:val="18"/>
              </w:rPr>
              <w:t xml:space="preserve">Q3 FY2025 EC, p.3</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デジタル購入世帯は店舗のみの顧客に対し3-4倍の支出、オムニチャネル世帯の獲得が成長ドライバー</w:t>
            </w:r>
          </w:p>
        </w:tc>
        <w:tc>
          <w:tcPr/>
          <w:p>
            <w:pPr>
              <w:pStyle w:val="Compact"/>
            </w:pPr>
            <w:r>
              <w:rPr>
                <w:rFonts w:ascii="Times New Roman" w:hAnsi="Times New Roman" w:eastAsia="游明朝"/>
                <w:sz w:val="18"/>
              </w:rPr>
              <w:t xml:space="preserve">Q4 FY2024 EC, p.3</w:t>
            </w:r>
          </w:p>
        </w:tc>
      </w:tr>
    </w:tbl>
    <w:bookmarkEnd w:id="21"/>
    <w:bookmarkStart w:id="22" w:name="更新情報直近1年-2"/>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初期仮説構築時点ではeCommerce事業の利益改善が進行中だったが黒字化時期は不明確だった。直近1年で戦略レビューを完了し、Ocado自動化FC</w:t>
      </w:r>
      <w:r>
        <w:t xml:space="preserve"> </w:t>
      </w:r>
      <w:r>
        <w:rPr>
          <w:rFonts w:hint="eastAsia"/>
        </w:rPr>
        <w:t xml:space="preserve">3拠点の閉鎖と店舗ベースフルフィルメントへのシフトという明確な方向性が決定。FY2026にeCommerce事業全体が黒字化する見通しが示され、約$400Mのプロフィタビリティ改善が見込まれている。$16Bのデジタル売上基盤と、DoorDash経由で初月100万注文という実績から、成長と利益改善の両立が初期仮説より高い確度で見込まれる。</w:t>
      </w:r>
    </w:p>
    <w:p>
      <w:pPr>
        <w:pStyle w:val="Compact"/>
        <w:numPr>
          <w:ilvl w:val="0"/>
          <w:numId w:val="1003"/>
        </w:numPr>
      </w:pPr>
      <w:r>
        <w:rPr>
          <w:rFonts w:hint="eastAsia"/>
        </w:rPr>
        <w:t xml:space="preserve">eCommerce戦略レビュー完了、自動化FC</w:t>
      </w:r>
      <w:r>
        <w:t xml:space="preserve"> </w:t>
      </w:r>
      <w:r>
        <w:rPr>
          <w:rFonts w:hint="eastAsia"/>
        </w:rPr>
        <w:t xml:space="preserve">3拠点を2026年1月末までに閉鎖し、店舗ベースフルフィルメント+サードパーティデリバリーへシフト。Q3</w:t>
      </w:r>
      <w:r>
        <w:t xml:space="preserve"> FY2026 EC, p.2</w:t>
      </w:r>
    </w:p>
    <w:p>
      <w:pPr>
        <w:pStyle w:val="Compact"/>
        <w:numPr>
          <w:ilvl w:val="0"/>
          <w:numId w:val="1003"/>
        </w:numPr>
      </w:pPr>
      <w:r>
        <w:rPr>
          <w:rFonts w:hint="eastAsia"/>
        </w:rPr>
        <w:t xml:space="preserve">FY2026にeCommerce事業で約$400Mのプロフィタビリティ改善、事業全体が黒字化する見込み。Q3</w:t>
      </w:r>
      <w:r>
        <w:t xml:space="preserve"> FY2026 EC, p.2, 6</w:t>
      </w:r>
    </w:p>
    <w:p>
      <w:pPr>
        <w:pStyle w:val="Compact"/>
        <w:numPr>
          <w:ilvl w:val="0"/>
          <w:numId w:val="1003"/>
        </w:numPr>
      </w:pPr>
      <w:r>
        <w:rPr>
          <w:rFonts w:hint="eastAsia"/>
        </w:rPr>
        <w:t xml:space="preserve">FY2025通年のeCommerce売上が$16Bに到達、Q4で調整後20%成長。Q4</w:t>
      </w:r>
      <w:r>
        <w:t xml:space="preserve"> FY2026 EC, p.4</w:t>
      </w:r>
    </w:p>
    <w:p>
      <w:pPr>
        <w:pStyle w:val="Compact"/>
        <w:numPr>
          <w:ilvl w:val="0"/>
          <w:numId w:val="1003"/>
        </w:numPr>
      </w:pPr>
      <w:r>
        <w:rPr>
          <w:rFonts w:hint="eastAsia"/>
        </w:rPr>
        <w:t xml:space="preserve">DoorDash連携で初月100万注文を達成、インクリメンタルかつ黒字のチャネルとして確立。Q3</w:t>
      </w:r>
      <w:r>
        <w:t xml:space="preserve"> FY2026 EC, p.3-4</w:t>
      </w:r>
    </w:p>
    <w:p>
      <w:pPr>
        <w:pStyle w:val="Compact"/>
        <w:numPr>
          <w:ilvl w:val="0"/>
          <w:numId w:val="1003"/>
        </w:numPr>
      </w:pPr>
      <w:r>
        <w:rPr>
          <w:rFonts w:hint="eastAsia"/>
        </w:rPr>
        <w:t xml:space="preserve">2時間以内配達が30%超成長、店舗の97%から2時間配達が可能に。Q2</w:t>
      </w:r>
      <w:r>
        <w:t xml:space="preserve"> FY2026 EC, p.5; Q3 FY2026 EC, p.5</w:t>
      </w:r>
    </w:p>
    <w:p>
      <w:pPr>
        <w:pStyle w:val="Compact"/>
        <w:numPr>
          <w:ilvl w:val="0"/>
          <w:numId w:val="1003"/>
        </w:numPr>
      </w:pPr>
      <w:r>
        <w:rPr>
          <w:rFonts w:hint="eastAsia"/>
        </w:rPr>
        <w:t xml:space="preserve">出典:</w:t>
      </w:r>
      <w:r>
        <w:t xml:space="preserve"> Q2 FY2026 EC (2025-09-11), p.3-5; Q3 FY2026 EC (2025-12-04), p.2-6; Q4 FY2026 EC (2026-03-05), p.4</w:t>
      </w:r>
    </w:p>
    <w:bookmarkEnd w:id="22"/>
    <w:bookmarkStart w:id="23" w:name="納得度-2"/>
    <w:p>
      <w:pPr>
        <w:pStyle w:val="Heading3"/>
      </w:pPr>
      <w:r>
        <w:rPr>
          <w:rFonts w:hint="eastAsia"/>
        </w:rPr>
        <w:t xml:space="preserve">納得度</w:t>
      </w:r>
    </w:p>
    <w:p>
      <w:pPr>
        <w:pStyle w:val="FirstParagraph"/>
      </w:pPr>
      <w:r>
        <w:t xml:space="preserve">□ 90%　□ 70%　□ 50%　□ 30%　□ 10%</w:t>
      </w:r>
    </w:p>
    <w:bookmarkEnd w:id="23"/>
    <w:bookmarkStart w:id="24" w:name="備考任意-2"/>
    <w:p>
      <w:pPr>
        <w:pStyle w:val="Heading3"/>
      </w:pPr>
      <w:r>
        <w:rPr>
          <w:rFonts w:hint="eastAsia"/>
        </w:rPr>
        <w:t xml:space="preserve">備考（任意）</w:t>
      </w:r>
    </w:p>
    <w:p>
      <w:r>
        <w:pict>
          <v:rect style="width:0;height:1.5pt" o:hralign="center" o:hrstd="t" o:hr="t"/>
        </w:pict>
      </w:r>
    </w:p>
    <w:bookmarkEnd w:id="24"/>
    <w:bookmarkEnd w:id="25"/>
    <w:bookmarkStart w:id="30" w:name="仮説-48"/>
    <w:p>
      <w:pPr>
        <w:pStyle w:val="Heading2"/>
      </w:pPr>
      <w:r>
        <w:rPr>
          <w:rFonts w:hint="eastAsia"/>
        </w:rPr>
        <w:t xml:space="preserve">仮説</w:t>
      </w:r>
      <w:r>
        <w:t xml:space="preserve"> 4/8</w:t>
      </w:r>
    </w:p>
    <w:p>
      <w:pPr>
        <w:pStyle w:val="FirstParagraph"/>
      </w:pPr>
      <w:r>
        <w:rPr>
          <w:rFonts w:hint="eastAsia"/>
          <w:b/>
          <w:bCs/>
        </w:rPr>
        <w:t xml:space="preserve">新規出店の加速とROIC重視の資本配分が中長期的なトップライン成長を支える</w:t>
      </w:r>
    </w:p>
    <w:bookmarkStart w:id="26" w:name="根拠情報-3"/>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FY2024に30の大型出店プロジェクト（新店・移転・拡張）を計画、高成長地域に集中投資</w:t>
            </w:r>
          </w:p>
        </w:tc>
        <w:tc>
          <w:tcPr/>
          <w:p>
            <w:pPr>
              <w:pStyle w:val="Compact"/>
            </w:pPr>
            <w:r>
              <w:rPr>
                <w:rFonts w:ascii="Times New Roman" w:hAnsi="Times New Roman" w:eastAsia="游明朝"/>
                <w:sz w:val="18"/>
              </w:rPr>
              <w:t xml:space="preserve">Q4 FY2024 EC, p.2, 7</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出店プロジェクトは計画前倒しで進行、前年同時期の約2倍の完成ペース</w:t>
            </w:r>
          </w:p>
        </w:tc>
        <w:tc>
          <w:tcPr/>
          <w:p>
            <w:pPr>
              <w:pStyle w:val="Compact"/>
            </w:pPr>
            <w:r>
              <w:rPr>
                <w:rFonts w:ascii="Times New Roman" w:hAnsi="Times New Roman" w:eastAsia="游明朝"/>
                <w:sz w:val="18"/>
              </w:rPr>
              <w:t xml:space="preserve">Q2 FY2025 EC, p.6</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FY2024の設備投資を$3.4-3.6Bから$3.6-3.8Bに引き上げ、出店投資を強化</w:t>
            </w:r>
          </w:p>
        </w:tc>
        <w:tc>
          <w:tcPr/>
          <w:p>
            <w:pPr>
              <w:pStyle w:val="Compact"/>
            </w:pPr>
            <w:r>
              <w:rPr>
                <w:rFonts w:ascii="Times New Roman" w:hAnsi="Times New Roman" w:eastAsia="游明朝"/>
                <w:sz w:val="18"/>
              </w:rPr>
              <w:t xml:space="preserve">Q2 FY2025 EC, p.6</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オムニチャネル世帯が店舗のみの3-4倍支出し、新店は実店舗+デジタルの成長を同時に加速</w:t>
            </w:r>
          </w:p>
        </w:tc>
        <w:tc>
          <w:tcPr/>
          <w:p>
            <w:pPr>
              <w:pStyle w:val="Compact"/>
            </w:pPr>
            <w:r>
              <w:rPr>
                <w:rFonts w:ascii="Times New Roman" w:hAnsi="Times New Roman" w:eastAsia="游明朝"/>
                <w:sz w:val="18"/>
              </w:rPr>
              <w:t xml:space="preserve">Q4 FY2024 EC, p.3</w:t>
            </w:r>
          </w:p>
        </w:tc>
      </w:tr>
      <w:tr>
        <w:tc>
          <w:tcPr/>
          <w:p>
            <w:pPr>
              <w:pStyle w:val="Compact"/>
            </w:pPr>
            <w:r>
              <w:rPr>
                <w:rFonts w:ascii="Times New Roman" w:hAnsi="Times New Roman" w:eastAsia="游明朝"/>
                <w:sz w:val="18"/>
              </w:rPr>
              <w:t xml:space="preserve">5</w:t>
            </w:r>
          </w:p>
        </w:tc>
        <w:tc>
          <w:tcPr/>
          <w:p>
            <w:pPr>
              <w:pStyle w:val="Compact"/>
            </w:pPr>
            <w:r>
              <w:rPr>
                <w:rFonts w:ascii="Times New Roman" w:hAnsi="Times New Roman" w:eastAsia="游明朝"/>
                <w:sz w:val="18"/>
              </w:rPr>
              <w:t xml:space="preserve">Net total debt-to-adjusted </w:t>
            </w:r>
            <w:r>
              <w:rPr>
                <w:rFonts w:hint="eastAsia" w:ascii="Times New Roman" w:hAnsi="Times New Roman" w:eastAsia="游明朝"/>
                <w:sz w:val="18"/>
              </w:rPr>
              <w:t xml:space="preserve">EBITDA比率が1.21xと目標レンジ（2.3-2.5x）を大きく下回り、投資余力が十分</w:t>
            </w:r>
          </w:p>
        </w:tc>
        <w:tc>
          <w:tcPr/>
          <w:p>
            <w:pPr>
              <w:pStyle w:val="Compact"/>
            </w:pPr>
            <w:r>
              <w:rPr>
                <w:rFonts w:ascii="Times New Roman" w:hAnsi="Times New Roman" w:eastAsia="游明朝"/>
                <w:sz w:val="18"/>
              </w:rPr>
              <w:t xml:space="preserve">Q3 FY2025 EC, p.6</w:t>
            </w:r>
          </w:p>
        </w:tc>
      </w:tr>
    </w:tbl>
    <w:bookmarkEnd w:id="26"/>
    <w:bookmarkStart w:id="27" w:name="更新情報直近1年-3"/>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初期仮説構築時点では年間30の大型出店プロジェクトが計画されていたが、直近1年でFY2026に新規出店を30%増加させる方針が明確化。Jacksonville・Kansas</w:t>
      </w:r>
      <w:r>
        <w:t xml:space="preserve"> </w:t>
      </w:r>
      <w:r>
        <w:rPr>
          <w:rFonts w:hint="eastAsia"/>
        </w:rPr>
        <w:t xml:space="preserve">Cityへの新規市場参入やHarris</w:t>
      </w:r>
      <w:r>
        <w:t xml:space="preserve"> </w:t>
      </w:r>
      <w:r>
        <w:rPr>
          <w:rFonts w:hint="eastAsia"/>
        </w:rPr>
        <w:t xml:space="preserve">Teeterの拡大が発表され、地理的成長戦略が具体化した。$7.5Bの自社株買い完了後も$2Bの追加買い戻し枠を設定し、FY2026のCapExを$3.8-4.0Bに引き上げるなど、成長投資と株主還元の両立姿勢が初期仮説を超えて強化されている。</w:t>
      </w:r>
    </w:p>
    <w:p>
      <w:pPr>
        <w:pStyle w:val="Compact"/>
        <w:numPr>
          <w:ilvl w:val="0"/>
          <w:numId w:val="1004"/>
        </w:numPr>
      </w:pPr>
      <w:r>
        <w:rPr>
          <w:rFonts w:hint="eastAsia"/>
        </w:rPr>
        <w:t xml:space="preserve">FY2026に新規出店を2025年比30%増加させる計画、Jacksonville・Kansas</w:t>
      </w:r>
      <w:r>
        <w:t xml:space="preserve"> </w:t>
      </w:r>
      <w:r>
        <w:rPr>
          <w:rFonts w:hint="eastAsia"/>
        </w:rPr>
        <w:t xml:space="preserve">Cityへの新規参入を含む。Q3</w:t>
      </w:r>
      <w:r>
        <w:t xml:space="preserve"> FY2026 EC, p.3-4; Q4 FY2026 EC, p.3</w:t>
      </w:r>
    </w:p>
    <w:p>
      <w:pPr>
        <w:pStyle w:val="Compact"/>
        <w:numPr>
          <w:ilvl w:val="0"/>
          <w:numId w:val="1004"/>
        </w:numPr>
      </w:pPr>
      <w:r>
        <w:rPr>
          <w:rFonts w:hint="eastAsia"/>
        </w:rPr>
        <w:t xml:space="preserve">FY2025に29の大型出店プロジェクトを完了、リモデルの投資リターンが想定以上。Q4</w:t>
      </w:r>
      <w:r>
        <w:t xml:space="preserve"> FY2026 EC, p.5-6</w:t>
      </w:r>
    </w:p>
    <w:p>
      <w:pPr>
        <w:pStyle w:val="Compact"/>
        <w:numPr>
          <w:ilvl w:val="0"/>
          <w:numId w:val="1004"/>
        </w:numPr>
      </w:pPr>
      <w:r>
        <w:rPr>
          <w:rFonts w:hint="eastAsia"/>
        </w:rPr>
        <w:t xml:space="preserve">FY2026のCapExを$3.8-4.0Bに設定、新規出店への投資を増加。Q4</w:t>
      </w:r>
      <w:r>
        <w:t xml:space="preserve"> FY2026 EC, p.7</w:t>
      </w:r>
    </w:p>
    <w:p>
      <w:pPr>
        <w:pStyle w:val="Compact"/>
        <w:numPr>
          <w:ilvl w:val="0"/>
          <w:numId w:val="1004"/>
        </w:numPr>
      </w:pPr>
      <w:r>
        <w:rPr>
          <w:rFonts w:hint="eastAsia"/>
        </w:rPr>
        <w:t xml:space="preserve">$7.5Bの自社株買い完了（ASR</w:t>
      </w:r>
      <w:r>
        <w:t xml:space="preserve"> $5B + OMR </w:t>
      </w:r>
      <w:r>
        <w:rPr>
          <w:rFonts w:hint="eastAsia"/>
        </w:rPr>
        <w:t xml:space="preserve">$2.5B）、追加$2B枠を承認。Q4</w:t>
      </w:r>
      <w:r>
        <w:t xml:space="preserve"> FY2026 EC, p.5-6</w:t>
      </w:r>
    </w:p>
    <w:p>
      <w:pPr>
        <w:pStyle w:val="Compact"/>
        <w:numPr>
          <w:ilvl w:val="0"/>
          <w:numId w:val="1004"/>
        </w:numPr>
      </w:pPr>
      <w:r>
        <w:t xml:space="preserve">Adjusted Free Cash </w:t>
      </w:r>
      <w:r>
        <w:rPr>
          <w:rFonts w:hint="eastAsia"/>
        </w:rPr>
        <w:t xml:space="preserve">FlowがFY2025に$3.9Bと予想超過、投資余力は十分。Q4</w:t>
      </w:r>
      <w:r>
        <w:t xml:space="preserve"> FY2026 EC, p.5</w:t>
      </w:r>
    </w:p>
    <w:p>
      <w:pPr>
        <w:pStyle w:val="Compact"/>
        <w:numPr>
          <w:ilvl w:val="0"/>
          <w:numId w:val="1004"/>
        </w:numPr>
      </w:pPr>
      <w:r>
        <w:rPr>
          <w:rFonts w:hint="eastAsia"/>
        </w:rPr>
        <w:t xml:space="preserve">出典:</w:t>
      </w:r>
      <w:r>
        <w:t xml:space="preserve"> Q3 FY2026 EC (2025-12-04), p.3-4; Q4 FY2026 EC (2026-03-05), p.3, 5-7</w:t>
      </w:r>
    </w:p>
    <w:bookmarkEnd w:id="27"/>
    <w:bookmarkStart w:id="28" w:name="納得度-3"/>
    <w:p>
      <w:pPr>
        <w:pStyle w:val="Heading3"/>
      </w:pPr>
      <w:r>
        <w:rPr>
          <w:rFonts w:hint="eastAsia"/>
        </w:rPr>
        <w:t xml:space="preserve">納得度</w:t>
      </w:r>
    </w:p>
    <w:p>
      <w:pPr>
        <w:pStyle w:val="FirstParagraph"/>
      </w:pPr>
      <w:r>
        <w:t xml:space="preserve">□ 90%　□ 70%　□ 50%　□ 30%　□ 10%</w:t>
      </w:r>
    </w:p>
    <w:bookmarkEnd w:id="28"/>
    <w:bookmarkStart w:id="29" w:name="備考任意-3"/>
    <w:p>
      <w:pPr>
        <w:pStyle w:val="Heading3"/>
      </w:pPr>
      <w:r>
        <w:rPr>
          <w:rFonts w:hint="eastAsia"/>
        </w:rPr>
        <w:t xml:space="preserve">備考（任意）</w:t>
      </w:r>
    </w:p>
    <w:p>
      <w:r>
        <w:pict>
          <v:rect style="width:0;height:1.5pt" o:hralign="center" o:hrstd="t" o:hr="t"/>
        </w:pict>
      </w:r>
    </w:p>
    <w:bookmarkEnd w:id="29"/>
    <w:bookmarkEnd w:id="30"/>
    <w:bookmarkStart w:id="35" w:name="仮説-58"/>
    <w:p>
      <w:pPr>
        <w:pStyle w:val="Heading2"/>
      </w:pPr>
      <w:r>
        <w:rPr>
          <w:rFonts w:hint="eastAsia"/>
        </w:rPr>
        <w:t xml:space="preserve">仮説</w:t>
      </w:r>
      <w:r>
        <w:t xml:space="preserve"> 5/8</w:t>
      </w:r>
    </w:p>
    <w:p>
      <w:pPr>
        <w:pStyle w:val="FirstParagraph"/>
      </w:pPr>
      <w:r>
        <w:rPr>
          <w:rFonts w:hint="eastAsia"/>
          <w:b/>
          <w:bCs/>
        </w:rPr>
        <w:t xml:space="preserve">コスト削減・生産性向上の継続的な実行力がマージン拡大と価格投資の両立を可能にする</w:t>
      </w:r>
    </w:p>
    <w:bookmarkStart w:id="31" w:name="根拠情報-4"/>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6年連続で年間$1Bのコスト削減を達成、テクノロジー活用によるサプライチェーン効率化が中心</w:t>
            </w:r>
          </w:p>
        </w:tc>
        <w:tc>
          <w:tcPr/>
          <w:p>
            <w:pPr>
              <w:pStyle w:val="Compact"/>
            </w:pPr>
            <w:r>
              <w:rPr>
                <w:rFonts w:ascii="Times New Roman" w:hAnsi="Times New Roman" w:eastAsia="游明朝"/>
                <w:sz w:val="18"/>
              </w:rPr>
              <w:t xml:space="preserve">Q1 FY2024 EC, p.6; Q2 FY2024 EC, p.5</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生成AI搭載のセルスルー管理ツールを導入、Fresh・センターストアの在庫最適化でマージン改善</w:t>
            </w:r>
          </w:p>
        </w:tc>
        <w:tc>
          <w:tcPr/>
          <w:p>
            <w:pPr>
              <w:pStyle w:val="Compact"/>
            </w:pPr>
            <w:r>
              <w:rPr>
                <w:rFonts w:ascii="Times New Roman" w:hAnsi="Times New Roman" w:eastAsia="游明朝"/>
                <w:sz w:val="18"/>
              </w:rPr>
              <w:t xml:space="preserve">Q3 FY2025 EC, p.6</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AI活用のバーチャルアシスタントに70,000名の従業員が70以上のユースケースで利用</w:t>
            </w:r>
          </w:p>
        </w:tc>
        <w:tc>
          <w:tcPr/>
          <w:p>
            <w:pPr>
              <w:pStyle w:val="Compact"/>
            </w:pPr>
            <w:r>
              <w:rPr>
                <w:rFonts w:ascii="Times New Roman" w:hAnsi="Times New Roman" w:eastAsia="游明朝"/>
                <w:sz w:val="18"/>
              </w:rPr>
              <w:t xml:space="preserve">Q4 FY2025 EC, p.4</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Shrink（ロス）改善が2024年に入り顕著に、特にFresh部門でのプロセス改善とテクノロジー活用が寄与</w:t>
            </w:r>
          </w:p>
        </w:tc>
        <w:tc>
          <w:tcPr/>
          <w:p>
            <w:pPr>
              <w:pStyle w:val="Compact"/>
            </w:pPr>
            <w:r>
              <w:rPr>
                <w:rFonts w:ascii="Times New Roman" w:hAnsi="Times New Roman" w:eastAsia="游明朝"/>
                <w:sz w:val="18"/>
              </w:rPr>
              <w:t xml:space="preserve">Q2 FY2025 EC, p.5; Q3 FY2025 EC, p.5</w:t>
            </w:r>
          </w:p>
        </w:tc>
      </w:tr>
      <w:tr>
        <w:tc>
          <w:tcPr/>
          <w:p>
            <w:pPr>
              <w:pStyle w:val="Compact"/>
            </w:pPr>
            <w:r>
              <w:rPr>
                <w:rFonts w:ascii="Times New Roman" w:hAnsi="Times New Roman" w:eastAsia="游明朝"/>
                <w:sz w:val="18"/>
              </w:rPr>
              <w:t xml:space="preserve">5</w:t>
            </w:r>
          </w:p>
        </w:tc>
        <w:tc>
          <w:tcPr/>
          <w:p>
            <w:pPr>
              <w:pStyle w:val="Compact"/>
            </w:pPr>
            <w:r>
              <w:rPr>
                <w:rFonts w:ascii="Times New Roman" w:hAnsi="Times New Roman" w:eastAsia="游明朝"/>
                <w:sz w:val="18"/>
              </w:rPr>
              <w:t xml:space="preserve">OG&amp;A </w:t>
            </w:r>
            <w:r>
              <w:rPr>
                <w:rFonts w:hint="eastAsia" w:ascii="Times New Roman" w:hAnsi="Times New Roman" w:eastAsia="游明朝"/>
                <w:sz w:val="18"/>
              </w:rPr>
              <w:t xml:space="preserve">rate（販管費率）はID</w:t>
            </w:r>
            <w:r>
              <w:rPr>
                <w:rFonts w:ascii="Times New Roman" w:hAnsi="Times New Roman" w:eastAsia="游明朝"/>
                <w:sz w:val="18"/>
              </w:rPr>
              <w:t xml:space="preserve"> Sales </w:t>
            </w:r>
            <w:r>
              <w:rPr>
                <w:rFonts w:hint="eastAsia" w:ascii="Times New Roman" w:hAnsi="Times New Roman" w:eastAsia="游明朝"/>
                <w:sz w:val="18"/>
              </w:rPr>
              <w:t xml:space="preserve">2-4%成長時にレバレッジ可能な構造、KSP売却影響除外後のフラット推移を実証</w:t>
            </w:r>
          </w:p>
        </w:tc>
        <w:tc>
          <w:tcPr/>
          <w:p>
            <w:pPr>
              <w:pStyle w:val="Compact"/>
            </w:pPr>
            <w:r>
              <w:rPr>
                <w:rFonts w:ascii="Times New Roman" w:hAnsi="Times New Roman" w:eastAsia="游明朝"/>
                <w:sz w:val="18"/>
              </w:rPr>
              <w:t xml:space="preserve">Q3 FY2025 EC, p.5-6</w:t>
            </w:r>
          </w:p>
        </w:tc>
      </w:tr>
    </w:tbl>
    <w:bookmarkEnd w:id="31"/>
    <w:bookmarkStart w:id="32" w:name="更新情報直近1年-4"/>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初期仮説構築時点ではコスト削減が年$1Bペースで継続する見込みだったが、直近1年でコスト最適化が新CFO</w:t>
      </w:r>
      <w:r>
        <w:t xml:space="preserve"> David </w:t>
      </w:r>
      <w:r>
        <w:rPr>
          <w:rFonts w:hint="eastAsia"/>
        </w:rPr>
        <w:t xml:space="preserve">Kennerleyの最優先課題として格上げされ、調達・eCommerce・業務効率化の3本柱で加速。Q2</w:t>
      </w:r>
      <w:r>
        <w:t xml:space="preserve"> FY2026でOG&amp;A </w:t>
      </w:r>
      <w:r>
        <w:rPr>
          <w:rFonts w:hint="eastAsia"/>
        </w:rPr>
        <w:t xml:space="preserve">rate（underlying）が41bps改善、Q2で約1,000名の本社人員削減、60店舗閉鎖を実行。FY2026にはeCommerce黒字化による$400M+の改善と調達改革が加わり、コスト削減の規模とスピードは初期仮説を大幅に上回っている。</w:t>
      </w:r>
    </w:p>
    <w:p>
      <w:pPr>
        <w:pStyle w:val="Compact"/>
        <w:numPr>
          <w:ilvl w:val="0"/>
          <w:numId w:val="1005"/>
        </w:numPr>
      </w:pPr>
      <w:r>
        <w:t xml:space="preserve">Q2 FY2026でOG&amp;A </w:t>
      </w:r>
      <w:r>
        <w:rPr>
          <w:rFonts w:hint="eastAsia"/>
        </w:rPr>
        <w:t xml:space="preserve">rate（KSP影響除外後）が41bps改善、コスト最適化が加速。Q2</w:t>
      </w:r>
      <w:r>
        <w:t xml:space="preserve"> FY2026 EC, p.5</w:t>
      </w:r>
    </w:p>
    <w:p>
      <w:pPr>
        <w:pStyle w:val="Compact"/>
        <w:numPr>
          <w:ilvl w:val="0"/>
          <w:numId w:val="1005"/>
        </w:numPr>
      </w:pPr>
      <w:r>
        <w:rPr>
          <w:rFonts w:hint="eastAsia"/>
        </w:rPr>
        <w:t xml:space="preserve">本社管理部門で約1,000名の人員削減、約60店舗の閉鎖を実施し組織簡素化。Q2</w:t>
      </w:r>
      <w:r>
        <w:t xml:space="preserve"> FY2026 EC, p.2-3</w:t>
      </w:r>
    </w:p>
    <w:p>
      <w:pPr>
        <w:pStyle w:val="Compact"/>
        <w:numPr>
          <w:ilvl w:val="0"/>
          <w:numId w:val="1005"/>
        </w:numPr>
      </w:pPr>
      <w:r>
        <w:rPr>
          <w:rFonts w:hint="eastAsia"/>
        </w:rPr>
        <w:t xml:space="preserve">調達（COGS・GNFR）を重点改革領域に指定、サプライヤー直接交渉・仲介排除を推進。Q4</w:t>
      </w:r>
      <w:r>
        <w:t xml:space="preserve"> FY2026 EC, p.6-7</w:t>
      </w:r>
    </w:p>
    <w:p>
      <w:pPr>
        <w:pStyle w:val="Compact"/>
        <w:numPr>
          <w:ilvl w:val="0"/>
          <w:numId w:val="1005"/>
        </w:numPr>
      </w:pPr>
      <w:r>
        <w:t xml:space="preserve">Kroger Global Capability </w:t>
      </w:r>
      <w:r>
        <w:rPr>
          <w:rFonts w:hint="eastAsia"/>
        </w:rPr>
        <w:t xml:space="preserve">Centerを設立、業務効率化の中長期的な基盤を構築。Q4</w:t>
      </w:r>
      <w:r>
        <w:t xml:space="preserve"> FY2026 EC, p.7</w:t>
      </w:r>
    </w:p>
    <w:p>
      <w:pPr>
        <w:pStyle w:val="Compact"/>
        <w:numPr>
          <w:ilvl w:val="0"/>
          <w:numId w:val="1005"/>
        </w:numPr>
      </w:pPr>
      <w:r>
        <w:rPr>
          <w:rFonts w:hint="eastAsia"/>
        </w:rPr>
        <w:t xml:space="preserve">FY2025の原価率はKSP影響除外・fuel除外ベースで14bps改善（価格投資を行いつつ）。Q4</w:t>
      </w:r>
      <w:r>
        <w:t xml:space="preserve"> FY2026 EC, p.5</w:t>
      </w:r>
    </w:p>
    <w:p>
      <w:pPr>
        <w:pStyle w:val="Compact"/>
        <w:numPr>
          <w:ilvl w:val="0"/>
          <w:numId w:val="1005"/>
        </w:numPr>
      </w:pPr>
      <w:r>
        <w:rPr>
          <w:rFonts w:hint="eastAsia"/>
        </w:rPr>
        <w:t xml:space="preserve">出典:</w:t>
      </w:r>
      <w:r>
        <w:t xml:space="preserve"> Q1 FY2026 EC (2025-06-20), p.4-5; Q2 FY2026 EC (2025-09-11), p.4-5; Q4 FY2026 EC (2026-03-05), p.5-7</w:t>
      </w:r>
    </w:p>
    <w:bookmarkEnd w:id="32"/>
    <w:bookmarkStart w:id="33" w:name="納得度-4"/>
    <w:p>
      <w:pPr>
        <w:pStyle w:val="Heading3"/>
      </w:pPr>
      <w:r>
        <w:rPr>
          <w:rFonts w:hint="eastAsia"/>
        </w:rPr>
        <w:t xml:space="preserve">納得度</w:t>
      </w:r>
    </w:p>
    <w:p>
      <w:pPr>
        <w:pStyle w:val="FirstParagraph"/>
      </w:pPr>
      <w:r>
        <w:t xml:space="preserve">□ 90%　□ 70%　□ 50%　□ 30%　□ 10%</w:t>
      </w:r>
    </w:p>
    <w:bookmarkEnd w:id="33"/>
    <w:bookmarkStart w:id="34" w:name="備考任意-4"/>
    <w:p>
      <w:pPr>
        <w:pStyle w:val="Heading3"/>
      </w:pPr>
      <w:r>
        <w:rPr>
          <w:rFonts w:hint="eastAsia"/>
        </w:rPr>
        <w:t xml:space="preserve">備考（任意）</w:t>
      </w:r>
    </w:p>
    <w:p>
      <w:r>
        <w:pict>
          <v:rect style="width:0;height:1.5pt" o:hralign="center" o:hrstd="t" o:hr="t"/>
        </w:pict>
      </w:r>
    </w:p>
    <w:bookmarkEnd w:id="34"/>
    <w:bookmarkEnd w:id="35"/>
    <w:bookmarkStart w:id="40" w:name="仮説-68"/>
    <w:p>
      <w:pPr>
        <w:pStyle w:val="Heading2"/>
      </w:pPr>
      <w:r>
        <w:rPr>
          <w:rFonts w:hint="eastAsia"/>
        </w:rPr>
        <w:t xml:space="preserve">仮説</w:t>
      </w:r>
      <w:r>
        <w:t xml:space="preserve"> 6/8</w:t>
      </w:r>
    </w:p>
    <w:p>
      <w:pPr>
        <w:pStyle w:val="FirstParagraph"/>
      </w:pPr>
      <w:r>
        <w:rPr>
          <w:rFonts w:hint="eastAsia"/>
          <w:b/>
          <w:bCs/>
        </w:rPr>
        <w:t xml:space="preserve">ファーマシー事業のトップライン成長（GLP-1、ESI復帰、スクリプト成長）が全社売上成長を押し上げる</w:t>
      </w:r>
    </w:p>
    <w:bookmarkStart w:id="36" w:name="根拠情報-5"/>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GLP-1薬の急成長がファーマシー売上を牽引、ただし利益率は極めて低い</w:t>
            </w:r>
          </w:p>
        </w:tc>
        <w:tc>
          <w:tcPr/>
          <w:p>
            <w:pPr>
              <w:pStyle w:val="Compact"/>
            </w:pPr>
            <w:r>
              <w:rPr>
                <w:rFonts w:ascii="Times New Roman" w:hAnsi="Times New Roman" w:eastAsia="游明朝"/>
                <w:sz w:val="18"/>
              </w:rPr>
              <w:t xml:space="preserve">Q1 FY2024 EC, p.14-15; Q1 FY2025 EC, p.4</w:t>
            </w:r>
          </w:p>
        </w:tc>
      </w:tr>
      <w:tr>
        <w:tc>
          <w:tcPr/>
          <w:p>
            <w:pPr>
              <w:pStyle w:val="Compact"/>
            </w:pPr>
            <w:r>
              <w:rPr>
                <w:rFonts w:ascii="Times New Roman" w:hAnsi="Times New Roman" w:eastAsia="游明朝"/>
                <w:sz w:val="18"/>
              </w:rPr>
              <w:t xml:space="preserve">2</w:t>
            </w:r>
          </w:p>
        </w:tc>
        <w:tc>
          <w:tcPr/>
          <w:p>
            <w:pPr>
              <w:pStyle w:val="Compact"/>
            </w:pPr>
            <w:r>
              <w:rPr>
                <w:rFonts w:ascii="Times New Roman" w:hAnsi="Times New Roman" w:eastAsia="游明朝"/>
                <w:sz w:val="18"/>
              </w:rPr>
              <w:t xml:space="preserve">Express </w:t>
            </w:r>
            <w:r>
              <w:rPr>
                <w:rFonts w:hint="eastAsia" w:ascii="Times New Roman" w:hAnsi="Times New Roman" w:eastAsia="游明朝"/>
                <w:sz w:val="18"/>
              </w:rPr>
              <w:t xml:space="preserve">Scripts（ESI）との契約を2022年に解除した後、2025年に新たな公正な条件で契約を再締結</w:t>
            </w:r>
          </w:p>
        </w:tc>
        <w:tc>
          <w:tcPr/>
          <w:p>
            <w:pPr>
              <w:pStyle w:val="Compact"/>
            </w:pPr>
            <w:r>
              <w:rPr>
                <w:rFonts w:ascii="Times New Roman" w:hAnsi="Times New Roman" w:eastAsia="游明朝"/>
                <w:sz w:val="18"/>
              </w:rPr>
              <w:t xml:space="preserve">Q4 FY2025 EC, p.4</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ファーマシー顧客は非ファーマシー顧客より高いロイヤルティと支出額を示す</w:t>
            </w:r>
          </w:p>
        </w:tc>
        <w:tc>
          <w:tcPr/>
          <w:p>
            <w:pPr>
              <w:pStyle w:val="Compact"/>
            </w:pPr>
            <w:r>
              <w:rPr>
                <w:rFonts w:ascii="Times New Roman" w:hAnsi="Times New Roman" w:eastAsia="游明朝"/>
                <w:sz w:val="18"/>
              </w:rPr>
              <w:t xml:space="preserve">Q2 FY2025 EC, p.3-4</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ワクチン事業が2024年H2に好調で、GLP-1のマージン圧力を部分的に相殺</w:t>
            </w:r>
          </w:p>
        </w:tc>
        <w:tc>
          <w:tcPr/>
          <w:p>
            <w:pPr>
              <w:pStyle w:val="Compact"/>
            </w:pPr>
            <w:r>
              <w:rPr>
                <w:rFonts w:ascii="Times New Roman" w:hAnsi="Times New Roman" w:eastAsia="游明朝"/>
                <w:sz w:val="18"/>
              </w:rPr>
              <w:t xml:space="preserve">Q3 FY2025 EC, p.4; Q4 FY2025 EC, p.4</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ESI解約の150bpsのID</w:t>
            </w:r>
            <w:r>
              <w:rPr>
                <w:rFonts w:ascii="Times New Roman" w:hAnsi="Times New Roman" w:eastAsia="游明朝"/>
                <w:sz w:val="18"/>
              </w:rPr>
              <w:t xml:space="preserve"> Sales </w:t>
            </w:r>
            <w:r>
              <w:rPr>
                <w:rFonts w:hint="eastAsia" w:ascii="Times New Roman" w:hAnsi="Times New Roman" w:eastAsia="游明朝"/>
                <w:sz w:val="18"/>
              </w:rPr>
              <w:t xml:space="preserve">headwindがFY2024年初にサイクル終了</w:t>
            </w:r>
          </w:p>
        </w:tc>
        <w:tc>
          <w:tcPr/>
          <w:p>
            <w:pPr>
              <w:pStyle w:val="Compact"/>
            </w:pPr>
            <w:r>
              <w:rPr>
                <w:rFonts w:ascii="Times New Roman" w:hAnsi="Times New Roman" w:eastAsia="游明朝"/>
                <w:sz w:val="18"/>
              </w:rPr>
              <w:t xml:space="preserve">Q4 FY2024 EC, p.6</w:t>
            </w:r>
          </w:p>
        </w:tc>
      </w:tr>
    </w:tbl>
    <w:bookmarkEnd w:id="36"/>
    <w:bookmarkStart w:id="37" w:name="更新情報直近1年-5"/>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初期仮説構築時点ではファーマシーはGLP-1によるマージン圧力が懸念されていたが、直近1年でESI顧客が徐々に復帰しID</w:t>
      </w:r>
      <w:r>
        <w:t xml:space="preserve"> </w:t>
      </w:r>
      <w:r>
        <w:rPr>
          <w:rFonts w:hint="eastAsia"/>
        </w:rPr>
        <w:t xml:space="preserve">Salesに約15bpsの寄与。コアスクリプトの成長（非GLP-1含む）が確認され、ファーマシーが毎四半期のID</w:t>
      </w:r>
      <w:r>
        <w:t xml:space="preserve"> </w:t>
      </w:r>
      <w:r>
        <w:rPr>
          <w:rFonts w:hint="eastAsia"/>
        </w:rPr>
        <w:t xml:space="preserve">Sales成長をリードする主要ドライバーとなった。ただしIRA（インフレ削減法）による薬価引き下げがFY2026のID</w:t>
      </w:r>
      <w:r>
        <w:t xml:space="preserve"> </w:t>
      </w:r>
      <w:r>
        <w:rPr>
          <w:rFonts w:hint="eastAsia"/>
        </w:rPr>
        <w:t xml:space="preserve">Salesに約130bpsのheadwindとなる点は新たなリスクで、売上ドル成長は鈍化する見込み。利益ドルへの影響はメーカーリベートで中立。</w:t>
      </w:r>
    </w:p>
    <w:p>
      <w:pPr>
        <w:pStyle w:val="Compact"/>
        <w:numPr>
          <w:ilvl w:val="0"/>
          <w:numId w:val="1006"/>
        </w:numPr>
      </w:pPr>
      <w:r>
        <w:rPr>
          <w:rFonts w:hint="eastAsia"/>
        </w:rPr>
        <w:t xml:space="preserve">ファーマシーがFY2026の全四半期でID</w:t>
      </w:r>
      <w:r>
        <w:t xml:space="preserve"> </w:t>
      </w:r>
      <w:r>
        <w:rPr>
          <w:rFonts w:hint="eastAsia"/>
        </w:rPr>
        <w:t xml:space="preserve">Sales成長をリード、コアスクリプト成長も良好。Q1</w:t>
      </w:r>
      <w:r>
        <w:t xml:space="preserve"> FY2026 EC, p.4; Q2 FY2026 EC, p.4</w:t>
      </w:r>
    </w:p>
    <w:p>
      <w:pPr>
        <w:pStyle w:val="Compact"/>
        <w:numPr>
          <w:ilvl w:val="0"/>
          <w:numId w:val="1006"/>
        </w:numPr>
      </w:pPr>
      <w:r>
        <w:rPr>
          <w:rFonts w:hint="eastAsia"/>
        </w:rPr>
        <w:t xml:space="preserve">ESI顧客復帰がQ2</w:t>
      </w:r>
      <w:r>
        <w:t xml:space="preserve"> FY2026でID </w:t>
      </w:r>
      <w:r>
        <w:rPr>
          <w:rFonts w:hint="eastAsia"/>
        </w:rPr>
        <w:t xml:space="preserve">Salesに約15bps貢献、ただし完全復帰には時間を要する。Q2</w:t>
      </w:r>
      <w:r>
        <w:t xml:space="preserve"> FY2026 EC, p.4</w:t>
      </w:r>
    </w:p>
    <w:p>
      <w:pPr>
        <w:pStyle w:val="Compact"/>
        <w:numPr>
          <w:ilvl w:val="0"/>
          <w:numId w:val="1006"/>
        </w:numPr>
      </w:pPr>
      <w:r>
        <w:rPr>
          <w:rFonts w:hint="eastAsia"/>
        </w:rPr>
        <w:t xml:space="preserve">IRA（インフレ削減法）がFY2026のID</w:t>
      </w:r>
      <w:r>
        <w:t xml:space="preserve"> </w:t>
      </w:r>
      <w:r>
        <w:rPr>
          <w:rFonts w:hint="eastAsia"/>
        </w:rPr>
        <w:t xml:space="preserve">Salesに約130bpsのheadwind（利益影響なし）。Q4</w:t>
      </w:r>
      <w:r>
        <w:t xml:space="preserve"> FY2026 EC, p.6</w:t>
      </w:r>
    </w:p>
    <w:p>
      <w:pPr>
        <w:pStyle w:val="Compact"/>
        <w:numPr>
          <w:ilvl w:val="0"/>
          <w:numId w:val="1006"/>
        </w:numPr>
      </w:pPr>
      <w:r>
        <w:rPr>
          <w:rFonts w:hint="eastAsia"/>
        </w:rPr>
        <w:t xml:space="preserve">ファーマシー売上成長はFY2026で低〜中単位成長に減速見込み（IRA・ブランド→ジェネリック移行の影響）。Q4</w:t>
      </w:r>
      <w:r>
        <w:t xml:space="preserve"> FY2026 EC, p.6</w:t>
      </w:r>
    </w:p>
    <w:p>
      <w:pPr>
        <w:pStyle w:val="Compact"/>
        <w:numPr>
          <w:ilvl w:val="0"/>
          <w:numId w:val="1006"/>
        </w:numPr>
      </w:pPr>
      <w:r>
        <w:rPr>
          <w:rFonts w:hint="eastAsia"/>
        </w:rPr>
        <w:t xml:space="preserve">出典:</w:t>
      </w:r>
      <w:r>
        <w:t xml:space="preserve"> Q1 FY2026 EC (2025-06-20), p.4; Q2 FY2026 EC (2025-09-11), p.4; Q3 FY2026 EC (2025-12-04), p.5; Q4 FY2026 EC (2026-03-05), p.4-6</w:t>
      </w:r>
    </w:p>
    <w:bookmarkEnd w:id="37"/>
    <w:bookmarkStart w:id="38" w:name="納得度-5"/>
    <w:p>
      <w:pPr>
        <w:pStyle w:val="Heading3"/>
      </w:pPr>
      <w:r>
        <w:rPr>
          <w:rFonts w:hint="eastAsia"/>
        </w:rPr>
        <w:t xml:space="preserve">納得度</w:t>
      </w:r>
    </w:p>
    <w:p>
      <w:pPr>
        <w:pStyle w:val="FirstParagraph"/>
      </w:pPr>
      <w:r>
        <w:t xml:space="preserve">□ 90%　□ 70%　□ 50%　□ 30%　□ 10%</w:t>
      </w:r>
    </w:p>
    <w:bookmarkEnd w:id="38"/>
    <w:bookmarkStart w:id="39" w:name="備考任意-5"/>
    <w:p>
      <w:pPr>
        <w:pStyle w:val="Heading3"/>
      </w:pPr>
      <w:r>
        <w:rPr>
          <w:rFonts w:hint="eastAsia"/>
        </w:rPr>
        <w:t xml:space="preserve">備考（任意）</w:t>
      </w:r>
    </w:p>
    <w:p>
      <w:r>
        <w:pict>
          <v:rect style="width:0;height:1.5pt" o:hralign="center" o:hrstd="t" o:hr="t"/>
        </w:pict>
      </w:r>
    </w:p>
    <w:bookmarkEnd w:id="39"/>
    <w:bookmarkEnd w:id="40"/>
    <w:bookmarkStart w:id="45" w:name="仮説-78"/>
    <w:p>
      <w:pPr>
        <w:pStyle w:val="Heading2"/>
      </w:pPr>
      <w:r>
        <w:rPr>
          <w:rFonts w:hint="eastAsia"/>
        </w:rPr>
        <w:t xml:space="preserve">仮説</w:t>
      </w:r>
      <w:r>
        <w:t xml:space="preserve"> 7/8</w:t>
      </w:r>
    </w:p>
    <w:p>
      <w:pPr>
        <w:pStyle w:val="FirstParagraph"/>
      </w:pPr>
      <w:r>
        <w:rPr>
          <w:rFonts w:hint="eastAsia"/>
          <w:b/>
          <w:bCs/>
        </w:rPr>
        <w:t xml:space="preserve">【リスク仮説】経営陣交代・組織再編による実行リスクと戦略の連続性が損なわれるリスク</w:t>
      </w:r>
    </w:p>
    <w:bookmarkStart w:id="41" w:name="根拠情報-6"/>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2024年末に長年のCEO</w:t>
            </w:r>
            <w:r>
              <w:rPr>
                <w:rFonts w:ascii="Times New Roman" w:hAnsi="Times New Roman" w:eastAsia="游明朝"/>
                <w:sz w:val="18"/>
              </w:rPr>
              <w:t xml:space="preserve"> Rodney </w:t>
            </w:r>
            <w:r>
              <w:rPr>
                <w:rFonts w:hint="eastAsia" w:ascii="Times New Roman" w:hAnsi="Times New Roman" w:eastAsia="游明朝"/>
                <w:sz w:val="18"/>
              </w:rPr>
              <w:t xml:space="preserve">McMullenが退任、Ron</w:t>
            </w:r>
            <w:r>
              <w:rPr>
                <w:rFonts w:ascii="Times New Roman" w:hAnsi="Times New Roman" w:eastAsia="游明朝"/>
                <w:sz w:val="18"/>
              </w:rPr>
              <w:t xml:space="preserve"> </w:t>
            </w:r>
            <w:r>
              <w:rPr>
                <w:rFonts w:hint="eastAsia" w:ascii="Times New Roman" w:hAnsi="Times New Roman" w:eastAsia="游明朝"/>
                <w:sz w:val="18"/>
              </w:rPr>
              <w:t xml:space="preserve">Sargent（元Staples</w:t>
            </w:r>
            <w:r>
              <w:rPr>
                <w:rFonts w:ascii="Times New Roman" w:hAnsi="Times New Roman" w:eastAsia="游明朝"/>
                <w:sz w:val="18"/>
              </w:rPr>
              <w:t xml:space="preserve"> </w:t>
            </w:r>
            <w:r>
              <w:rPr>
                <w:rFonts w:hint="eastAsia" w:ascii="Times New Roman" w:hAnsi="Times New Roman" w:eastAsia="游明朝"/>
                <w:sz w:val="18"/>
              </w:rPr>
              <w:t xml:space="preserve">CEO）が暫定CEOに就任</w:t>
            </w:r>
          </w:p>
        </w:tc>
        <w:tc>
          <w:tcPr/>
          <w:p>
            <w:pPr>
              <w:pStyle w:val="Compact"/>
            </w:pPr>
            <w:r>
              <w:rPr>
                <w:rFonts w:ascii="Times New Roman" w:hAnsi="Times New Roman" w:eastAsia="游明朝"/>
                <w:sz w:val="18"/>
              </w:rPr>
              <w:t xml:space="preserve">Q4 FY2025 EC, p.1-2</w:t>
            </w:r>
          </w:p>
        </w:tc>
      </w:tr>
      <w:tr>
        <w:tc>
          <w:tcPr/>
          <w:p>
            <w:pPr>
              <w:pStyle w:val="Compact"/>
            </w:pPr>
            <w:r>
              <w:rPr>
                <w:rFonts w:ascii="Times New Roman" w:hAnsi="Times New Roman" w:eastAsia="游明朝"/>
                <w:sz w:val="18"/>
              </w:rPr>
              <w:t xml:space="preserve">2</w:t>
            </w:r>
          </w:p>
        </w:tc>
        <w:tc>
          <w:tcPr/>
          <w:p>
            <w:pPr>
              <w:pStyle w:val="Compact"/>
            </w:pPr>
            <w:r>
              <w:rPr>
                <w:rFonts w:ascii="Times New Roman" w:hAnsi="Times New Roman" w:eastAsia="游明朝"/>
                <w:sz w:val="18"/>
              </w:rPr>
              <w:t xml:space="preserve">CFO Gary </w:t>
            </w:r>
            <w:r>
              <w:rPr>
                <w:rFonts w:hint="eastAsia" w:ascii="Times New Roman" w:hAnsi="Times New Roman" w:eastAsia="游明朝"/>
                <w:sz w:val="18"/>
              </w:rPr>
              <w:t xml:space="preserve">Millerchipが退任し、Todd</w:t>
            </w:r>
            <w:r>
              <w:rPr>
                <w:rFonts w:ascii="Times New Roman" w:hAnsi="Times New Roman" w:eastAsia="游明朝"/>
                <w:sz w:val="18"/>
              </w:rPr>
              <w:t xml:space="preserve"> </w:t>
            </w:r>
            <w:r>
              <w:rPr>
                <w:rFonts w:hint="eastAsia" w:ascii="Times New Roman" w:hAnsi="Times New Roman" w:eastAsia="游明朝"/>
                <w:sz w:val="18"/>
              </w:rPr>
              <w:t xml:space="preserve">Foley（暫定CFO）→</w:t>
            </w:r>
            <w:r>
              <w:rPr>
                <w:rFonts w:ascii="Times New Roman" w:hAnsi="Times New Roman" w:eastAsia="游明朝"/>
                <w:sz w:val="18"/>
              </w:rPr>
              <w:t xml:space="preserve"> David </w:t>
            </w:r>
            <w:r>
              <w:rPr>
                <w:rFonts w:hint="eastAsia" w:ascii="Times New Roman" w:hAnsi="Times New Roman" w:eastAsia="游明朝"/>
                <w:sz w:val="18"/>
              </w:rPr>
              <w:t xml:space="preserve">Kennerley（元PepsiCo</w:t>
            </w:r>
            <w:r>
              <w:rPr>
                <w:rFonts w:ascii="Times New Roman" w:hAnsi="Times New Roman" w:eastAsia="游明朝"/>
                <w:sz w:val="18"/>
              </w:rPr>
              <w:t xml:space="preserve"> </w:t>
            </w:r>
            <w:r>
              <w:rPr>
                <w:rFonts w:hint="eastAsia" w:ascii="Times New Roman" w:hAnsi="Times New Roman" w:eastAsia="游明朝"/>
                <w:sz w:val="18"/>
              </w:rPr>
              <w:t xml:space="preserve">Europe、2025年4月着任）へ交代</w:t>
            </w:r>
          </w:p>
        </w:tc>
        <w:tc>
          <w:tcPr/>
          <w:p>
            <w:pPr>
              <w:pStyle w:val="Compact"/>
            </w:pPr>
            <w:r>
              <w:rPr>
                <w:rFonts w:ascii="Times New Roman" w:hAnsi="Times New Roman" w:eastAsia="游明朝"/>
                <w:sz w:val="18"/>
              </w:rPr>
              <w:t xml:space="preserve">Q4 FY2024 EC, p.1; Q4 FY2025 EC, p.7</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Albertsons合併が2024年末に不成立となり、$10.5Bの負債のうち$5.8Bが残存</w:t>
            </w:r>
          </w:p>
        </w:tc>
        <w:tc>
          <w:tcPr/>
          <w:p>
            <w:pPr>
              <w:pStyle w:val="Compact"/>
            </w:pPr>
            <w:r>
              <w:rPr>
                <w:rFonts w:ascii="Times New Roman" w:hAnsi="Times New Roman" w:eastAsia="游明朝"/>
                <w:sz w:val="18"/>
              </w:rPr>
              <w:t xml:space="preserve">Q4 FY2025 EC, p.6</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Ocadoとの関係悪化（Ocadoが$152Mの信用状を全額引き出し）、eCommerce戦略の見直しが必要に</w:t>
            </w:r>
          </w:p>
        </w:tc>
        <w:tc>
          <w:tcPr/>
          <w:p>
            <w:pPr>
              <w:pStyle w:val="Compact"/>
            </w:pPr>
            <w:r>
              <w:rPr>
                <w:rFonts w:ascii="Times New Roman" w:hAnsi="Times New Roman" w:eastAsia="游明朝"/>
                <w:sz w:val="18"/>
              </w:rPr>
              <w:t xml:space="preserve">Q1 FY2026 EC, p.5-6</w:t>
            </w:r>
          </w:p>
        </w:tc>
      </w:tr>
    </w:tbl>
    <w:bookmarkEnd w:id="41"/>
    <w:bookmarkStart w:id="42" w:name="更新情報直近1年-6"/>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リスク低減</w:t>
      </w:r>
    </w:p>
    <w:p>
      <w:pPr>
        <w:pStyle w:val="BodyText"/>
      </w:pPr>
      <w:r>
        <w:rPr>
          <w:rFonts w:hint="eastAsia"/>
          <w:b/>
          <w:bCs/>
        </w:rPr>
        <w:t xml:space="preserve">初期仮説への影響:</w:t>
      </w:r>
      <w:r>
        <w:t xml:space="preserve"> </w:t>
      </w:r>
      <w:r>
        <w:rPr>
          <w:rFonts w:hint="eastAsia"/>
        </w:rPr>
        <w:t xml:space="preserve">初期仮説構築時点ではCEO空席・暫定経営体制という不確実性が高く、Albertsons合併不成立後の方向性も不明確だった。直近1年でGreg</w:t>
      </w:r>
      <w:r>
        <w:t xml:space="preserve"> </w:t>
      </w:r>
      <w:r>
        <w:rPr>
          <w:rFonts w:hint="eastAsia"/>
        </w:rPr>
        <w:t xml:space="preserve">Foran（元Walmart</w:t>
      </w:r>
      <w:r>
        <w:t xml:space="preserve"> US </w:t>
      </w:r>
      <w:r>
        <w:rPr>
          <w:rFonts w:hint="eastAsia"/>
        </w:rPr>
        <w:t xml:space="preserve">CEO・元Air</w:t>
      </w:r>
      <w:r>
        <w:t xml:space="preserve"> New Zealand </w:t>
      </w:r>
      <w:r>
        <w:rPr>
          <w:rFonts w:hint="eastAsia"/>
        </w:rPr>
        <w:t xml:space="preserve">CEO）が2026年2月にCEO着任し、経営空白は解消。Ron</w:t>
      </w:r>
      <w:r>
        <w:t xml:space="preserve"> </w:t>
      </w:r>
      <w:r>
        <w:rPr>
          <w:rFonts w:hint="eastAsia"/>
        </w:rPr>
        <w:t xml:space="preserve">Sargent暫定CEO期間中に60店舗閉鎖、1,000名の本社人員削減、eCommerce戦略レビュー完了、非中核資産売却など構造改革が迅速に実行された。新CFO</w:t>
      </w:r>
      <w:r>
        <w:t xml:space="preserve"> David </w:t>
      </w:r>
      <w:r>
        <w:rPr>
          <w:rFonts w:hint="eastAsia"/>
        </w:rPr>
        <w:t xml:space="preserve">Kennerleyも着任後にコスト最適化・ROIC改善を優先事項として推進。ただし、新CEO着任直後であり戦略が完全に固まるまでの移行リスクは残存。</w:t>
      </w:r>
    </w:p>
    <w:p>
      <w:pPr>
        <w:pStyle w:val="Compact"/>
        <w:numPr>
          <w:ilvl w:val="0"/>
          <w:numId w:val="1007"/>
        </w:numPr>
      </w:pPr>
      <w:r>
        <w:t xml:space="preserve">Greg </w:t>
      </w:r>
      <w:r>
        <w:rPr>
          <w:rFonts w:hint="eastAsia"/>
        </w:rPr>
        <w:t xml:space="preserve">Foran（元Walmart</w:t>
      </w:r>
      <w:r>
        <w:t xml:space="preserve"> US </w:t>
      </w:r>
      <w:r>
        <w:rPr>
          <w:rFonts w:hint="eastAsia"/>
        </w:rPr>
        <w:t xml:space="preserve">CEO）がKroger</w:t>
      </w:r>
      <w:r>
        <w:t xml:space="preserve"> </w:t>
      </w:r>
      <w:r>
        <w:rPr>
          <w:rFonts w:hint="eastAsia"/>
        </w:rPr>
        <w:t xml:space="preserve">CEOに2026年2月着任。Q4</w:t>
      </w:r>
      <w:r>
        <w:t xml:space="preserve"> FY2026 EC, p.1-2</w:t>
      </w:r>
    </w:p>
    <w:p>
      <w:pPr>
        <w:pStyle w:val="Compact"/>
        <w:numPr>
          <w:ilvl w:val="0"/>
          <w:numId w:val="1007"/>
        </w:numPr>
      </w:pPr>
      <w:r>
        <w:rPr>
          <w:rFonts w:hint="eastAsia"/>
        </w:rPr>
        <w:t xml:space="preserve">Sargent暫定CEO期間にeCommerce戦略レビュー完了、FC3拠点閉鎖、60店舗閉鎖、1,000名人員削減を実行。Q2</w:t>
      </w:r>
      <w:r>
        <w:t xml:space="preserve"> FY2026 EC, p.2-3; Q3 FY2026 EC, p.2</w:t>
      </w:r>
    </w:p>
    <w:p>
      <w:pPr>
        <w:pStyle w:val="Compact"/>
        <w:numPr>
          <w:ilvl w:val="0"/>
          <w:numId w:val="1007"/>
        </w:numPr>
      </w:pPr>
      <w:r>
        <w:rPr>
          <w:rFonts w:hint="eastAsia"/>
        </w:rPr>
        <w:t xml:space="preserve">Vitacost売却、Little</w:t>
      </w:r>
      <w:r>
        <w:t xml:space="preserve"> </w:t>
      </w:r>
      <w:r>
        <w:rPr>
          <w:rFonts w:hint="eastAsia"/>
        </w:rPr>
        <w:t xml:space="preserve">Clinic約50拠点閉鎖など非中核資産整理を推進。Q4</w:t>
      </w:r>
      <w:r>
        <w:t xml:space="preserve"> FY2026 EC, p.2</w:t>
      </w:r>
    </w:p>
    <w:p>
      <w:pPr>
        <w:pStyle w:val="Compact"/>
        <w:numPr>
          <w:ilvl w:val="0"/>
          <w:numId w:val="1007"/>
        </w:numPr>
      </w:pPr>
      <w:r>
        <w:t xml:space="preserve">C&amp;S Wholesale </w:t>
      </w:r>
      <w:r>
        <w:rPr>
          <w:rFonts w:hint="eastAsia"/>
        </w:rPr>
        <w:t xml:space="preserve">Grocersとの法的紛争を和解し解決。Q2</w:t>
      </w:r>
      <w:r>
        <w:t xml:space="preserve"> FY2026 EC, p.2</w:t>
      </w:r>
    </w:p>
    <w:p>
      <w:pPr>
        <w:pStyle w:val="Compact"/>
        <w:numPr>
          <w:ilvl w:val="0"/>
          <w:numId w:val="1007"/>
        </w:numPr>
      </w:pPr>
      <w:r>
        <w:rPr>
          <w:rFonts w:hint="eastAsia"/>
        </w:rPr>
        <w:t xml:space="preserve">FY2025通年でID</w:t>
      </w:r>
      <w:r>
        <w:t xml:space="preserve"> Sales </w:t>
      </w:r>
      <w:r>
        <w:rPr>
          <w:rFonts w:hint="eastAsia"/>
        </w:rPr>
        <w:t xml:space="preserve">2.9%成長、Adjusted</w:t>
      </w:r>
      <w:r>
        <w:t xml:space="preserve"> EPS </w:t>
      </w:r>
      <w:r>
        <w:rPr>
          <w:rFonts w:hint="eastAsia"/>
        </w:rPr>
        <w:t xml:space="preserve">9%成長と暫定経営体制下でも堅調な業績。Q4</w:t>
      </w:r>
      <w:r>
        <w:t xml:space="preserve"> FY2026 EC, p.2</w:t>
      </w:r>
    </w:p>
    <w:p>
      <w:pPr>
        <w:pStyle w:val="Compact"/>
        <w:numPr>
          <w:ilvl w:val="0"/>
          <w:numId w:val="1007"/>
        </w:numPr>
      </w:pPr>
      <w:r>
        <w:rPr>
          <w:rFonts w:hint="eastAsia"/>
        </w:rPr>
        <w:t xml:space="preserve">出典:</w:t>
      </w:r>
      <w:r>
        <w:t xml:space="preserve"> Q1 FY2026 EC (2025-06-20), p.2-3; Q2 FY2026 EC (2025-09-11), p.2-3; Q3 FY2026 EC (2025-12-04), p.2; Q4 FY2026 EC (2026-03-05), p.1-2</w:t>
      </w:r>
    </w:p>
    <w:bookmarkEnd w:id="42"/>
    <w:bookmarkStart w:id="43" w:name="納得度-6"/>
    <w:p>
      <w:pPr>
        <w:pStyle w:val="Heading3"/>
      </w:pPr>
      <w:r>
        <w:rPr>
          <w:rFonts w:hint="eastAsia"/>
        </w:rPr>
        <w:t xml:space="preserve">納得度</w:t>
      </w:r>
    </w:p>
    <w:p>
      <w:pPr>
        <w:pStyle w:val="FirstParagraph"/>
      </w:pPr>
      <w:r>
        <w:t xml:space="preserve">□ 90%　□ 70%　□ 50%　□ 30%　□ 10%</w:t>
      </w:r>
    </w:p>
    <w:bookmarkEnd w:id="43"/>
    <w:bookmarkStart w:id="44" w:name="備考任意-6"/>
    <w:p>
      <w:pPr>
        <w:pStyle w:val="Heading3"/>
      </w:pPr>
      <w:r>
        <w:rPr>
          <w:rFonts w:hint="eastAsia"/>
        </w:rPr>
        <w:t xml:space="preserve">備考（任意）</w:t>
      </w:r>
    </w:p>
    <w:p>
      <w:r>
        <w:pict>
          <v:rect style="width:0;height:1.5pt" o:hralign="center" o:hrstd="t" o:hr="t"/>
        </w:pict>
      </w:r>
    </w:p>
    <w:bookmarkEnd w:id="44"/>
    <w:bookmarkEnd w:id="45"/>
    <w:bookmarkStart w:id="50" w:name="仮説-88"/>
    <w:p>
      <w:pPr>
        <w:pStyle w:val="Heading2"/>
      </w:pPr>
      <w:r>
        <w:rPr>
          <w:rFonts w:hint="eastAsia"/>
        </w:rPr>
        <w:t xml:space="preserve">仮説</w:t>
      </w:r>
      <w:r>
        <w:t xml:space="preserve"> 8/8</w:t>
      </w:r>
    </w:p>
    <w:p>
      <w:pPr>
        <w:pStyle w:val="FirstParagraph"/>
      </w:pPr>
      <w:r>
        <w:rPr>
          <w:rFonts w:hint="eastAsia"/>
          <w:b/>
          <w:bCs/>
        </w:rPr>
        <w:t xml:space="preserve">【リスク仮説】バジェットコンシャス世帯の支出圧力が長期化し、ユニット成長の回復が想定より遅れるリスク</w:t>
      </w:r>
    </w:p>
    <w:bookmarkStart w:id="46" w:name="根拠情報-7"/>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バジェットコンシャス世帯の支出が2023年通年でマイナス推移、SNAP給付30%減が直撃</w:t>
            </w:r>
          </w:p>
        </w:tc>
        <w:tc>
          <w:tcPr/>
          <w:p>
            <w:pPr>
              <w:pStyle w:val="Compact"/>
            </w:pPr>
            <w:r>
              <w:rPr>
                <w:rFonts w:ascii="Times New Roman" w:hAnsi="Times New Roman" w:eastAsia="游明朝"/>
                <w:sz w:val="18"/>
              </w:rPr>
              <w:t xml:space="preserve">Q2 FY2024 EC, p.2; Q3 FY2024 EC, p.11-12</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ユニット成長がマイナスからの回復に5四半期連続の改善を要するもFY2024末時点で未達</w:t>
            </w:r>
          </w:p>
        </w:tc>
        <w:tc>
          <w:tcPr/>
          <w:p>
            <w:pPr>
              <w:pStyle w:val="Compact"/>
            </w:pPr>
            <w:r>
              <w:rPr>
                <w:rFonts w:ascii="Times New Roman" w:hAnsi="Times New Roman" w:eastAsia="游明朝"/>
                <w:sz w:val="18"/>
              </w:rPr>
              <w:t xml:space="preserve">Q4 FY2024 EC, p.6; Q1 FY2025 EC, p.4</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中間所得層の顧客もFY2025に入り支出行動の変化を見せ始め（低価格肉へのシフト、必需品への集中）</w:t>
            </w:r>
          </w:p>
        </w:tc>
        <w:tc>
          <w:tcPr/>
          <w:p>
            <w:pPr>
              <w:pStyle w:val="Compact"/>
            </w:pPr>
            <w:r>
              <w:rPr>
                <w:rFonts w:ascii="Times New Roman" w:hAnsi="Times New Roman" w:eastAsia="游明朝"/>
                <w:sz w:val="18"/>
              </w:rPr>
              <w:t xml:space="preserve">Q2 FY2025 EC, p.2</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食品インフレはモデレートしたが、2019年以降のパンデミック期間を含む累積インフレ負担が顧客に残存</w:t>
            </w:r>
          </w:p>
        </w:tc>
        <w:tc>
          <w:tcPr/>
          <w:p>
            <w:pPr>
              <w:pStyle w:val="Compact"/>
            </w:pPr>
            <w:r>
              <w:rPr>
                <w:rFonts w:ascii="Times New Roman" w:hAnsi="Times New Roman" w:eastAsia="游明朝"/>
                <w:sz w:val="18"/>
              </w:rPr>
              <w:t xml:space="preserve">Q3 FY2024 EC, p.1-2; Q2 FY2025 EC, p.2</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マクロ不確実性（金利・インフレ・余剰貯蓄の枯渇）がバジェットコンシャス世帯の回復を遅延</w:t>
            </w:r>
          </w:p>
        </w:tc>
        <w:tc>
          <w:tcPr/>
          <w:p>
            <w:pPr>
              <w:pStyle w:val="Compact"/>
            </w:pPr>
            <w:r>
              <w:rPr>
                <w:rFonts w:ascii="Times New Roman" w:hAnsi="Times New Roman" w:eastAsia="游明朝"/>
                <w:sz w:val="18"/>
              </w:rPr>
              <w:t xml:space="preserve">Q1 FY2025 EC, p.2; Q3 FY2025 EC, p.2</w:t>
            </w:r>
          </w:p>
        </w:tc>
      </w:tr>
    </w:tbl>
    <w:bookmarkEnd w:id="46"/>
    <w:bookmarkStart w:id="47" w:name="更新情報直近1年-7"/>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リスク顕在化</w:t>
      </w:r>
    </w:p>
    <w:p>
      <w:pPr>
        <w:pStyle w:val="BodyText"/>
      </w:pPr>
      <w:r>
        <w:rPr>
          <w:rFonts w:hint="eastAsia"/>
          <w:b/>
          <w:bCs/>
        </w:rPr>
        <w:t xml:space="preserve">初期仮説への影響:</w:t>
      </w:r>
      <w:r>
        <w:t xml:space="preserve"> </w:t>
      </w:r>
      <w:r>
        <w:rPr>
          <w:rFonts w:hint="eastAsia"/>
        </w:rPr>
        <w:t xml:space="preserve">初期仮説構築時点ではバジェットコンシャス世帯の回復が2024年後半以降に見込まれていたが、直近1年で中間所得層にも支出圧力が拡大。FY2026</w:t>
      </w:r>
      <w:r>
        <w:t xml:space="preserve"> </w:t>
      </w:r>
      <w:r>
        <w:rPr>
          <w:rFonts w:hint="eastAsia"/>
        </w:rPr>
        <w:t xml:space="preserve">Q3では政府シャットダウン・SNAP一時停止が追加的なheadwindとなった。Krogerは3,500品目以上の値下げと紙クーポン復活で対応しているが、食品ボリュームの回復はまだ初期段階。ただしFY2025最終期間に初めてポジティブなマーケットシェア成長を達成した点は好材料で、価格投資の効果が顕在化しつつある。完全なボリューム回復にはなお時間を要する見込み。</w:t>
      </w:r>
    </w:p>
    <w:p>
      <w:pPr>
        <w:pStyle w:val="Compact"/>
        <w:numPr>
          <w:ilvl w:val="0"/>
          <w:numId w:val="1008"/>
        </w:numPr>
      </w:pPr>
      <w:r>
        <w:rPr>
          <w:rFonts w:hint="eastAsia"/>
        </w:rPr>
        <w:t xml:space="preserve">中間所得層にも支出圧力が拡大、小口頻回購入・ディスクレショナリー購入削減の傾向が強まる。Q3</w:t>
      </w:r>
      <w:r>
        <w:t xml:space="preserve"> FY2026 EC, p.3</w:t>
      </w:r>
    </w:p>
    <w:p>
      <w:pPr>
        <w:pStyle w:val="Compact"/>
        <w:numPr>
          <w:ilvl w:val="0"/>
          <w:numId w:val="1008"/>
        </w:numPr>
      </w:pPr>
      <w:r>
        <w:t xml:space="preserve">Q3 </w:t>
      </w:r>
      <w:r>
        <w:rPr>
          <w:rFonts w:hint="eastAsia"/>
        </w:rPr>
        <w:t xml:space="preserve">FY2026で政府シャットダウン・SNAP一時停止がID</w:t>
      </w:r>
      <w:r>
        <w:t xml:space="preserve"> </w:t>
      </w:r>
      <w:r>
        <w:rPr>
          <w:rFonts w:hint="eastAsia"/>
        </w:rPr>
        <w:t xml:space="preserve">Salesの追加headwindに。Q3</w:t>
      </w:r>
      <w:r>
        <w:t xml:space="preserve"> FY2026 EC, p.4-5</w:t>
      </w:r>
    </w:p>
    <w:p>
      <w:pPr>
        <w:pStyle w:val="Compact"/>
        <w:numPr>
          <w:ilvl w:val="0"/>
          <w:numId w:val="1008"/>
        </w:numPr>
      </w:pPr>
      <w:r>
        <w:rPr>
          <w:rFonts w:hint="eastAsia"/>
        </w:rPr>
        <w:t xml:space="preserve">FY2025通年で3,500品目以上の値下げ、紙クーポン復活で非デジタル顧客にもリーチ。Q2</w:t>
      </w:r>
      <w:r>
        <w:t xml:space="preserve"> FY2026 EC, p.2-3</w:t>
      </w:r>
    </w:p>
    <w:p>
      <w:pPr>
        <w:pStyle w:val="Compact"/>
        <w:numPr>
          <w:ilvl w:val="0"/>
          <w:numId w:val="1008"/>
        </w:numPr>
      </w:pPr>
      <w:r>
        <w:rPr>
          <w:rFonts w:hint="eastAsia"/>
        </w:rPr>
        <w:t xml:space="preserve">FY2025最終期間に初のポジティブなマーケットシェア成長を達成（2021年以来）。Q4</w:t>
      </w:r>
      <w:r>
        <w:t xml:space="preserve"> FY2026 EC, p.2</w:t>
      </w:r>
    </w:p>
    <w:p>
      <w:pPr>
        <w:pStyle w:val="Compact"/>
        <w:numPr>
          <w:ilvl w:val="0"/>
          <w:numId w:val="1008"/>
        </w:numPr>
      </w:pPr>
      <w:r>
        <w:rPr>
          <w:rFonts w:hint="eastAsia"/>
        </w:rPr>
        <w:t xml:space="preserve">食品ボリュームは改善傾向だがまだ初期段階、グロサリーID</w:t>
      </w:r>
      <w:r>
        <w:t xml:space="preserve"> </w:t>
      </w:r>
      <w:r>
        <w:rPr>
          <w:rFonts w:hint="eastAsia"/>
        </w:rPr>
        <w:t xml:space="preserve">Salesの改善が6四半期連続。Q4</w:t>
      </w:r>
      <w:r>
        <w:t xml:space="preserve"> FY2026 EC, p.4</w:t>
      </w:r>
    </w:p>
    <w:p>
      <w:pPr>
        <w:pStyle w:val="Compact"/>
        <w:numPr>
          <w:ilvl w:val="0"/>
          <w:numId w:val="1008"/>
        </w:numPr>
      </w:pPr>
      <w:r>
        <w:rPr>
          <w:rFonts w:hint="eastAsia"/>
        </w:rPr>
        <w:t xml:space="preserve">出典:</w:t>
      </w:r>
      <w:r>
        <w:t xml:space="preserve"> Q2 FY2026 EC (2025-09-11), p.2-3; Q3 FY2026 EC (2025-12-04), p.3-5; Q4 FY2026 EC (2026-03-05), p.2, 4</w:t>
      </w:r>
    </w:p>
    <w:bookmarkEnd w:id="47"/>
    <w:bookmarkStart w:id="48" w:name="納得度-7"/>
    <w:p>
      <w:pPr>
        <w:pStyle w:val="Heading3"/>
      </w:pPr>
      <w:r>
        <w:rPr>
          <w:rFonts w:hint="eastAsia"/>
        </w:rPr>
        <w:t xml:space="preserve">納得度</w:t>
      </w:r>
    </w:p>
    <w:p>
      <w:pPr>
        <w:pStyle w:val="FirstParagraph"/>
      </w:pPr>
      <w:r>
        <w:t xml:space="preserve">□ 90%　□ 70%　□ 50%　□ 30%　□ 10%</w:t>
      </w:r>
    </w:p>
    <w:bookmarkEnd w:id="48"/>
    <w:bookmarkStart w:id="49" w:name="備考任意-7"/>
    <w:p>
      <w:pPr>
        <w:pStyle w:val="Heading3"/>
      </w:pPr>
      <w:r>
        <w:rPr>
          <w:rFonts w:hint="eastAsia"/>
        </w:rPr>
        <w:t xml:space="preserve">備考（任意）</w:t>
      </w:r>
    </w:p>
    <w:p>
      <w:r>
        <w:pict>
          <v:rect style="width:0;height:1.5pt" o:hralign="center" o:hrstd="t" o:hr="t"/>
        </w:pict>
      </w:r>
    </w:p>
    <w:bookmarkEnd w:id="49"/>
    <w:bookmarkEnd w:id="50"/>
    <w:bookmarkStart w:id="53" w:name="補足-sec-edgar-財務サマリー"/>
    <w:p>
      <w:pPr>
        <w:pStyle w:val="Heading2"/>
      </w:pPr>
      <w:r>
        <w:rPr>
          <w:rFonts w:hint="eastAsia"/>
        </w:rPr>
        <w:t xml:space="preserve">補足:</w:t>
      </w:r>
      <w:r>
        <w:t xml:space="preserve"> SEC EDGAR </w:t>
      </w:r>
      <w:r>
        <w:rPr>
          <w:rFonts w:hint="eastAsia"/>
        </w:rPr>
        <w:t xml:space="preserve">財務サマリー</w:t>
      </w:r>
    </w:p>
    <w:bookmarkStart w:id="51" w:name="初期仮説構築期間fy2023-fy2024-10-k"/>
    <w:p>
      <w:pPr>
        <w:pStyle w:val="Heading3"/>
      </w:pPr>
      <w:r>
        <w:rPr>
          <w:rFonts w:hint="eastAsia"/>
        </w:rPr>
        <w:t xml:space="preserve">初期仮説構築期間（FY2023</w:t>
      </w:r>
      <w:r>
        <w:t xml:space="preserve"> 〜 FY2024 </w:t>
      </w:r>
      <w:r>
        <w:rPr>
          <w:rFonts w:hint="eastAsia"/>
        </w:rPr>
        <w:t xml:space="preserve">10-K）</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FY2024</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FY2023</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増減</w:t>
            </w:r>
          </w:p>
        </w:tc>
      </w:tr>
      <w:tr>
        <w:tc>
          <w:tcPr/>
          <w:p>
            <w:pPr>
              <w:pStyle w:val="Compact"/>
            </w:pPr>
            <w:r>
              <w:rPr>
                <w:rFonts w:hint="eastAsia" w:ascii="Times New Roman" w:hAnsi="Times New Roman" w:eastAsia="游明朝"/>
                <w:sz w:val="18"/>
              </w:rPr>
              <w:t xml:space="preserve">総売上</w:t>
            </w:r>
          </w:p>
        </w:tc>
        <w:tc>
          <w:tcPr/>
          <w:p>
            <w:pPr>
              <w:pStyle w:val="Compact"/>
            </w:pPr>
            <w:r>
              <w:rPr>
                <w:rFonts w:ascii="Times New Roman" w:hAnsi="Times New Roman" w:eastAsia="游明朝"/>
                <w:sz w:val="18"/>
              </w:rPr>
              <w:t xml:space="preserve">$150.0B</w:t>
            </w:r>
          </w:p>
        </w:tc>
        <w:tc>
          <w:tcPr/>
          <w:p>
            <w:pPr>
              <w:pStyle w:val="Compact"/>
            </w:pPr>
            <w:r>
              <w:rPr>
                <w:rFonts w:ascii="Times New Roman" w:hAnsi="Times New Roman" w:eastAsia="游明朝"/>
                <w:sz w:val="18"/>
              </w:rPr>
              <w:t xml:space="preserve">$150.0B</w:t>
            </w:r>
          </w:p>
        </w:tc>
        <w:tc>
          <w:tcPr/>
          <w:p>
            <w:pPr>
              <w:pStyle w:val="Compact"/>
            </w:pPr>
            <w:r>
              <w:rPr>
                <w:rFonts w:ascii="Times New Roman" w:hAnsi="Times New Roman" w:eastAsia="游明朝"/>
                <w:sz w:val="18"/>
              </w:rPr>
              <w:t xml:space="preserve">flat</w:t>
            </w:r>
          </w:p>
        </w:tc>
      </w:tr>
      <w:tr>
        <w:tc>
          <w:tcPr/>
          <w:p>
            <w:pPr>
              <w:pStyle w:val="Compact"/>
            </w:pPr>
            <w:r>
              <w:rPr>
                <w:rFonts w:hint="eastAsia" w:ascii="Times New Roman" w:hAnsi="Times New Roman" w:eastAsia="游明朝"/>
                <w:sz w:val="18"/>
              </w:rPr>
              <w:t xml:space="preserve">営業利益</w:t>
            </w:r>
          </w:p>
        </w:tc>
        <w:tc>
          <w:tcPr/>
          <w:p>
            <w:pPr>
              <w:pStyle w:val="Compact"/>
            </w:pPr>
            <w:r>
              <w:rPr>
                <w:rFonts w:ascii="Times New Roman" w:hAnsi="Times New Roman" w:eastAsia="游明朝"/>
                <w:sz w:val="18"/>
              </w:rPr>
              <w:t xml:space="preserve">$4.7B (Adj. FIFO OP)</w:t>
            </w:r>
          </w:p>
        </w:tc>
        <w:tc>
          <w:tcPr/>
          <w:p>
            <w:pPr>
              <w:pStyle w:val="Compact"/>
            </w:pPr>
            <w:r>
              <w:rPr>
                <w:rFonts w:ascii="Times New Roman" w:hAnsi="Times New Roman" w:eastAsia="游明朝"/>
                <w:sz w:val="18"/>
              </w:rPr>
              <w:t xml:space="preserve">$5.0B (Adj. FIFO OP)</w:t>
            </w:r>
          </w:p>
        </w:tc>
        <w:tc>
          <w:tcPr/>
          <w:p>
            <w:pPr>
              <w:pStyle w:val="Compact"/>
            </w:pPr>
            <w:r>
              <w:rPr>
                <w:rFonts w:ascii="Times New Roman" w:hAnsi="Times New Roman" w:eastAsia="游明朝"/>
                <w:sz w:val="18"/>
              </w:rPr>
              <w:t xml:space="preserve">▲6%</w:t>
            </w:r>
          </w:p>
        </w:tc>
      </w:tr>
      <w:tr>
        <w:tc>
          <w:tcPr/>
          <w:p>
            <w:pPr>
              <w:pStyle w:val="Compact"/>
            </w:pPr>
            <w:r>
              <w:rPr>
                <w:rFonts w:ascii="Times New Roman" w:hAnsi="Times New Roman" w:eastAsia="游明朝"/>
                <w:sz w:val="18"/>
              </w:rPr>
              <w:t xml:space="preserve">Adjusted EPS</w:t>
            </w:r>
          </w:p>
        </w:tc>
        <w:tc>
          <w:tcPr/>
          <w:p>
            <w:pPr>
              <w:pStyle w:val="Compact"/>
            </w:pPr>
            <w:r>
              <w:rPr>
                <w:rFonts w:ascii="Times New Roman" w:hAnsi="Times New Roman" w:eastAsia="游明朝"/>
                <w:sz w:val="18"/>
              </w:rPr>
              <w:t xml:space="preserve">$4.47</w:t>
            </w:r>
          </w:p>
        </w:tc>
        <w:tc>
          <w:tcPr/>
          <w:p>
            <w:pPr>
              <w:pStyle w:val="Compact"/>
            </w:pPr>
            <w:r>
              <w:rPr>
                <w:rFonts w:ascii="Times New Roman" w:hAnsi="Times New Roman" w:eastAsia="游明朝"/>
                <w:sz w:val="18"/>
              </w:rPr>
              <w:t xml:space="preserve">$4.76 (52-wk: $4.56)</w:t>
            </w:r>
          </w:p>
        </w:tc>
        <w:tc>
          <w:tcPr/>
          <w:p>
            <w:pPr>
              <w:pStyle w:val="Compact"/>
            </w:pPr>
            <w:r>
              <w:rPr>
                <w:rFonts w:ascii="Times New Roman" w:hAnsi="Times New Roman" w:eastAsia="游明朝"/>
                <w:sz w:val="18"/>
              </w:rPr>
              <w:t xml:space="preserve">▲2% (52-wk basis)</w:t>
            </w:r>
          </w:p>
        </w:tc>
      </w:tr>
    </w:tbl>
    <w:bookmarkEnd w:id="51"/>
    <w:bookmarkStart w:id="52" w:name="更新情報期間fy2025-10-k-filed-2026-03-31"/>
    <w:p>
      <w:pPr>
        <w:pStyle w:val="Heading3"/>
      </w:pPr>
      <w:r>
        <w:rPr>
          <w:rFonts w:hint="eastAsia"/>
        </w:rPr>
        <w:t xml:space="preserve">更新情報期間（FY2025</w:t>
      </w:r>
      <w:r>
        <w:t xml:space="preserve"> 10-K, filed </w:t>
      </w:r>
      <w:r>
        <w:rPr>
          <w:rFonts w:hint="eastAsia"/>
        </w:rPr>
        <w:t xml:space="preserve">2026-03-31）</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FY2025</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FY2024</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増減</w:t>
            </w:r>
          </w:p>
        </w:tc>
      </w:tr>
      <w:tr>
        <w:tc>
          <w:tcPr/>
          <w:p>
            <w:pPr>
              <w:pStyle w:val="Compact"/>
            </w:pPr>
            <w:r>
              <w:rPr>
                <w:rFonts w:hint="eastAsia" w:ascii="Times New Roman" w:hAnsi="Times New Roman" w:eastAsia="游明朝"/>
                <w:sz w:val="18"/>
              </w:rPr>
              <w:t xml:space="preserve">総売上</w:t>
            </w:r>
          </w:p>
        </w:tc>
        <w:tc>
          <w:tcPr/>
          <w:p>
            <w:pPr>
              <w:pStyle w:val="Compact"/>
            </w:pPr>
            <w:r>
              <w:rPr>
                <w:rFonts w:ascii="Times New Roman" w:hAnsi="Times New Roman" w:eastAsia="游明朝"/>
                <w:sz w:val="18"/>
              </w:rPr>
              <w:t xml:space="preserve">$147.6B</w:t>
            </w:r>
          </w:p>
        </w:tc>
        <w:tc>
          <w:tcPr/>
          <w:p>
            <w:pPr>
              <w:pStyle w:val="Compact"/>
            </w:pPr>
            <w:r>
              <w:rPr>
                <w:rFonts w:ascii="Times New Roman" w:hAnsi="Times New Roman" w:eastAsia="游明朝"/>
                <w:sz w:val="18"/>
              </w:rPr>
              <w:t xml:space="preserve">—</w:t>
            </w:r>
          </w:p>
        </w:tc>
        <w:tc>
          <w:tcPr/>
          <w:p>
            <w:pPr>
              <w:pStyle w:val="Compact"/>
            </w:pPr>
            <w:r>
              <w:rPr>
                <w:rFonts w:ascii="Times New Roman" w:hAnsi="Times New Roman" w:eastAsia="游明朝"/>
                <w:sz w:val="18"/>
              </w:rPr>
              <w:t xml:space="preserve">—</w:t>
            </w:r>
          </w:p>
        </w:tc>
      </w:tr>
      <w:tr>
        <w:tc>
          <w:tcPr/>
          <w:p>
            <w:pPr>
              <w:pStyle w:val="Compact"/>
            </w:pPr>
            <w:r>
              <w:rPr>
                <w:rFonts w:hint="eastAsia" w:ascii="Times New Roman" w:hAnsi="Times New Roman" w:eastAsia="游明朝"/>
                <w:sz w:val="18"/>
              </w:rPr>
              <w:t xml:space="preserve">営業利益</w:t>
            </w:r>
            <w:r>
              <w:rPr>
                <w:rFonts w:ascii="Times New Roman" w:hAnsi="Times New Roman" w:eastAsia="游明朝"/>
                <w:sz w:val="18"/>
              </w:rPr>
              <w:t xml:space="preserve"> (GAAP)</w:t>
            </w:r>
          </w:p>
        </w:tc>
        <w:tc>
          <w:tcPr/>
          <w:p>
            <w:pPr>
              <w:pStyle w:val="Compact"/>
            </w:pPr>
            <w:r>
              <w:rPr>
                <w:rFonts w:ascii="Times New Roman" w:hAnsi="Times New Roman" w:eastAsia="游明朝"/>
                <w:sz w:val="18"/>
              </w:rPr>
              <w:t xml:space="preserve">$1.9B</w:t>
            </w:r>
          </w:p>
        </w:tc>
        <w:tc>
          <w:tcPr/>
          <w:p>
            <w:pPr>
              <w:pStyle w:val="Compact"/>
            </w:pPr>
            <w:r>
              <w:rPr>
                <w:rFonts w:ascii="Times New Roman" w:hAnsi="Times New Roman" w:eastAsia="游明朝"/>
                <w:sz w:val="18"/>
              </w:rPr>
              <w:t xml:space="preserve">—</w:t>
            </w:r>
          </w:p>
        </w:tc>
        <w:tc>
          <w:tcPr/>
          <w:p>
            <w:pPr>
              <w:pStyle w:val="Compact"/>
            </w:pPr>
            <w:r>
              <w:rPr>
                <w:rFonts w:ascii="Times New Roman" w:hAnsi="Times New Roman" w:eastAsia="游明朝"/>
                <w:sz w:val="18"/>
              </w:rPr>
              <w:t xml:space="preserve">—</w:t>
            </w:r>
          </w:p>
        </w:tc>
      </w:tr>
      <w:tr>
        <w:tc>
          <w:tcPr/>
          <w:p>
            <w:pPr>
              <w:pStyle w:val="Compact"/>
            </w:pPr>
            <w:r>
              <w:rPr>
                <w:rFonts w:hint="eastAsia" w:ascii="Times New Roman" w:hAnsi="Times New Roman" w:eastAsia="游明朝"/>
                <w:sz w:val="18"/>
              </w:rPr>
              <w:t xml:space="preserve">営業CF</w:t>
            </w:r>
          </w:p>
        </w:tc>
        <w:tc>
          <w:tcPr/>
          <w:p>
            <w:pPr>
              <w:pStyle w:val="Compact"/>
            </w:pPr>
            <w:r>
              <w:rPr>
                <w:rFonts w:ascii="Times New Roman" w:hAnsi="Times New Roman" w:eastAsia="游明朝"/>
                <w:sz w:val="18"/>
              </w:rPr>
              <w:t xml:space="preserve">—</w:t>
            </w:r>
          </w:p>
        </w:tc>
        <w:tc>
          <w:tcPr/>
          <w:p>
            <w:pPr>
              <w:pStyle w:val="Compact"/>
            </w:pPr>
            <w:r>
              <w:rPr>
                <w:rFonts w:ascii="Times New Roman" w:hAnsi="Times New Roman" w:eastAsia="游明朝"/>
                <w:sz w:val="18"/>
              </w:rPr>
              <w:t xml:space="preserve">—</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Adjusted EPS</w:t>
            </w:r>
          </w:p>
        </w:tc>
        <w:tc>
          <w:tcPr/>
          <w:p>
            <w:pPr>
              <w:pStyle w:val="Compact"/>
            </w:pPr>
            <w:r>
              <w:rPr>
                <w:rFonts w:ascii="Times New Roman" w:hAnsi="Times New Roman" w:eastAsia="游明朝"/>
                <w:sz w:val="18"/>
              </w:rPr>
              <w:t xml:space="preserve">$4.85</w:t>
            </w:r>
          </w:p>
        </w:tc>
        <w:tc>
          <w:tcPr/>
          <w:p>
            <w:pPr>
              <w:pStyle w:val="Compact"/>
            </w:pPr>
            <w:r>
              <w:rPr>
                <w:rFonts w:ascii="Times New Roman" w:hAnsi="Times New Roman" w:eastAsia="游明朝"/>
                <w:sz w:val="18"/>
              </w:rPr>
              <w:t xml:space="preserve">$4.47</w:t>
            </w:r>
          </w:p>
        </w:tc>
        <w:tc>
          <w:tcPr/>
          <w:p>
            <w:pPr>
              <w:pStyle w:val="Compact"/>
            </w:pPr>
            <w:r>
              <w:rPr>
                <w:rFonts w:ascii="Times New Roman" w:hAnsi="Times New Roman" w:eastAsia="游明朝"/>
                <w:sz w:val="18"/>
              </w:rPr>
              <w:t xml:space="preserve">+9%</w:t>
            </w:r>
          </w:p>
        </w:tc>
      </w:tr>
    </w:tbl>
    <w:p>
      <w:pPr>
        <w:pStyle w:val="BodyText"/>
      </w:pPr>
      <w:r>
        <w:rPr>
          <w:rFonts w:hint="eastAsia"/>
        </w:rPr>
        <w:t xml:space="preserve">注:</w:t>
      </w:r>
      <w:r>
        <w:t xml:space="preserve"> </w:t>
      </w:r>
      <w:r>
        <w:rPr>
          <w:rFonts w:hint="eastAsia"/>
        </w:rPr>
        <w:t xml:space="preserve">FY2025のGAAP営業利益はeCommerce関連の$2.6Bの減損・関連費用により大幅に圧縮されている。Adjusted</w:t>
      </w:r>
      <w:r>
        <w:t xml:space="preserve"> FIFO </w:t>
      </w:r>
      <w:r>
        <w:rPr>
          <w:rFonts w:hint="eastAsia"/>
        </w:rPr>
        <w:t xml:space="preserve">OPベースでは$4.8-4.9B（ガイダンスレンジ上限）であり、実態に近い。FY2025の総売上がFY2024を下回るのはKroger</w:t>
      </w:r>
      <w:r>
        <w:t xml:space="preserve"> Specialty </w:t>
      </w:r>
      <w:r>
        <w:rPr>
          <w:rFonts w:hint="eastAsia"/>
        </w:rPr>
        <w:t xml:space="preserve">Pharmacy（年間約$3B）の売却影響が主因。</w:t>
      </w:r>
    </w:p>
    <w:bookmarkEnd w:id="52"/>
    <w:bookmarkEnd w:id="53"/>
    <w:bookmarkEnd w:id="54"/>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2026-04-10T01:22:45Z</dcterms:created>
  <dcterms:modified xsi:type="dcterms:W3CDTF">2026-04-10T01:22:45Z</dcterms:modified>
</cp:coreProperties>
</file>

<file path=docProps/custom.xml><?xml version="1.0" encoding="utf-8"?>
<Properties xmlns="http://schemas.openxmlformats.org/officeDocument/2006/custom-properties" xmlns:vt="http://schemas.openxmlformats.org/officeDocument/2006/docPropsVTypes"/>
</file>