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KB3 Few-shot </w:t>
      </w:r>
      <w:r>
        <w:rPr>
          <w:rFonts w:hint="eastAsia"/>
        </w:rPr>
        <w:t xml:space="preserve">例集</w:t>
      </w:r>
    </w:p>
    <w:bookmarkStart w:id="11" w:name="kb3-few-shot-例集"/>
    <w:p>
      <w:pPr>
        <w:pStyle w:val="Heading1"/>
      </w:pPr>
      <w:r>
        <w:t xml:space="preserve">KB3: Few-shot </w:t>
      </w:r>
      <w:r>
        <w:rPr>
          <w:rFonts w:hint="eastAsia"/>
        </w:rPr>
        <w:t xml:space="preserve">例集</w:t>
      </w:r>
    </w:p>
    <w:p>
      <w:pPr>
        <w:pStyle w:val="FirstParagraph"/>
      </w:pPr>
      <w:r>
        <w:rPr>
          <w:rFonts w:hint="eastAsia"/>
        </w:rPr>
        <w:t xml:space="preserve">アナリストによる競争優位性評価の具体的な銘柄評価例5件を収録。</w:t>
      </w:r>
    </w:p>
    <w:bookmarkStart w:id="9" w:name="目次"/>
    <w:p>
      <w:pPr>
        <w:pStyle w:val="Heading2"/>
      </w:pPr>
      <w:r>
        <w:rPr>
          <w:rFonts w:hint="eastAsia"/>
        </w:rPr>
        <w:t xml:space="preserve">目次</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ID</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ティッカー</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企業名</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平均スコア</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バージョン</w:t>
            </w:r>
          </w:p>
        </w:tc>
      </w:tr>
      <w:tr>
        <w:tc>
          <w:tcPr/>
          <w:p>
            <w:pPr>
              <w:pStyle w:val="Compact"/>
            </w:pPr>
            <w:r>
              <w:rPr>
                <w:rFonts w:ascii="Times New Roman" w:hAnsi="Times New Roman" w:eastAsia="游明朝"/>
                <w:sz w:val="18"/>
              </w:rPr>
              <w:t xml:space="preserve">fewshot_CHD</w:t>
            </w:r>
          </w:p>
        </w:tc>
        <w:tc>
          <w:tcPr/>
          <w:p>
            <w:pPr>
              <w:pStyle w:val="Compact"/>
            </w:pPr>
            <w:r>
              <w:rPr>
                <w:rFonts w:ascii="Times New Roman" w:hAnsi="Times New Roman" w:eastAsia="游明朝"/>
                <w:sz w:val="18"/>
              </w:rPr>
              <w:t xml:space="preserve">CHD</w:t>
            </w:r>
          </w:p>
        </w:tc>
        <w:tc>
          <w:tcPr/>
          <w:p>
            <w:pPr>
              <w:pStyle w:val="Compact"/>
            </w:pPr>
            <w:r>
              <w:rPr>
                <w:rFonts w:ascii="Times New Roman" w:hAnsi="Times New Roman" w:eastAsia="游明朝"/>
                <w:sz w:val="18"/>
              </w:rPr>
              <w:t xml:space="preserve">Church &amp; Dwight</w:t>
            </w:r>
          </w:p>
        </w:tc>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fewshot_COST</w:t>
            </w:r>
          </w:p>
        </w:tc>
        <w:tc>
          <w:tcPr/>
          <w:p>
            <w:pPr>
              <w:pStyle w:val="Compact"/>
            </w:pPr>
            <w:r>
              <w:rPr>
                <w:rFonts w:ascii="Times New Roman" w:hAnsi="Times New Roman" w:eastAsia="游明朝"/>
                <w:sz w:val="18"/>
              </w:rPr>
              <w:t xml:space="preserve">COST</w:t>
            </w:r>
          </w:p>
        </w:tc>
        <w:tc>
          <w:tcPr/>
          <w:p>
            <w:pPr>
              <w:pStyle w:val="Compact"/>
            </w:pPr>
            <w:r>
              <w:rPr>
                <w:rFonts w:ascii="Times New Roman" w:hAnsi="Times New Roman" w:eastAsia="游明朝"/>
                <w:sz w:val="18"/>
              </w:rPr>
              <w:t xml:space="preserve">Costco</w:t>
            </w:r>
          </w:p>
        </w:tc>
        <w:tc>
          <w:tcPr/>
          <w:p>
            <w:pPr>
              <w:pStyle w:val="Compact"/>
            </w:pPr>
            <w:r>
              <w:rPr>
                <w:rFonts w:ascii="Times New Roman" w:hAnsi="Times New Roman" w:eastAsia="游明朝"/>
                <w:sz w:val="18"/>
              </w:rPr>
              <w:t xml:space="preserve">39%</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fewshot_LLY</w:t>
            </w:r>
          </w:p>
        </w:tc>
        <w:tc>
          <w:tcPr/>
          <w:p>
            <w:pPr>
              <w:pStyle w:val="Compact"/>
            </w:pPr>
            <w:r>
              <w:rPr>
                <w:rFonts w:ascii="Times New Roman" w:hAnsi="Times New Roman" w:eastAsia="游明朝"/>
                <w:sz w:val="18"/>
              </w:rPr>
              <w:t xml:space="preserve">LLY</w:t>
            </w:r>
          </w:p>
        </w:tc>
        <w:tc>
          <w:tcPr/>
          <w:p>
            <w:pPr>
              <w:pStyle w:val="Compact"/>
            </w:pPr>
            <w:r>
              <w:rPr>
                <w:rFonts w:ascii="Times New Roman" w:hAnsi="Times New Roman" w:eastAsia="游明朝"/>
                <w:sz w:val="18"/>
              </w:rPr>
              <w:t xml:space="preserve">Eli Lilly</w:t>
            </w:r>
          </w:p>
        </w:tc>
        <w:tc>
          <w:tcPr/>
          <w:p>
            <w:pPr>
              <w:pStyle w:val="Compact"/>
            </w:pPr>
            <w:r>
              <w:rPr>
                <w:rFonts w:ascii="Times New Roman" w:hAnsi="Times New Roman" w:eastAsia="游明朝"/>
                <w:sz w:val="18"/>
              </w:rPr>
              <w:t xml:space="preserve">47%</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fewshot_MNST</w:t>
            </w:r>
          </w:p>
        </w:tc>
        <w:tc>
          <w:tcPr/>
          <w:p>
            <w:pPr>
              <w:pStyle w:val="Compact"/>
            </w:pPr>
            <w:r>
              <w:rPr>
                <w:rFonts w:ascii="Times New Roman" w:hAnsi="Times New Roman" w:eastAsia="游明朝"/>
                <w:sz w:val="18"/>
              </w:rPr>
              <w:t xml:space="preserve">MNST</w:t>
            </w:r>
          </w:p>
        </w:tc>
        <w:tc>
          <w:tcPr/>
          <w:p>
            <w:pPr>
              <w:pStyle w:val="Compact"/>
            </w:pPr>
            <w:r>
              <w:rPr>
                <w:rFonts w:ascii="Times New Roman" w:hAnsi="Times New Roman" w:eastAsia="游明朝"/>
                <w:sz w:val="18"/>
              </w:rPr>
              <w:t xml:space="preserve">Monster Beverage</w:t>
            </w:r>
          </w:p>
        </w:tc>
        <w:tc>
          <w:tcPr/>
          <w:p>
            <w:pPr>
              <w:pStyle w:val="Compact"/>
            </w:pPr>
            <w:r>
              <w:rPr>
                <w:rFonts w:ascii="Times New Roman" w:hAnsi="Times New Roman" w:eastAsia="游明朝"/>
                <w:sz w:val="18"/>
              </w:rPr>
              <w:t xml:space="preserve">40%</w:t>
            </w:r>
          </w:p>
        </w:tc>
        <w:tc>
          <w:tcPr/>
          <w:p>
            <w:pPr>
              <w:pStyle w:val="Compact"/>
            </w:pPr>
            <w:r>
              <w:rPr>
                <w:rFonts w:ascii="Times New Roman" w:hAnsi="Times New Roman" w:eastAsia="游明朝"/>
                <w:sz w:val="18"/>
              </w:rPr>
              <w:t xml:space="preserve">1.0</w:t>
            </w:r>
          </w:p>
        </w:tc>
      </w:tr>
      <w:tr>
        <w:tc>
          <w:tcPr/>
          <w:p>
            <w:pPr>
              <w:pStyle w:val="Compact"/>
            </w:pPr>
            <w:r>
              <w:rPr>
                <w:rFonts w:ascii="Times New Roman" w:hAnsi="Times New Roman" w:eastAsia="游明朝"/>
                <w:sz w:val="18"/>
              </w:rPr>
              <w:t xml:space="preserve">fewshot_ORLY</w:t>
            </w:r>
          </w:p>
        </w:tc>
        <w:tc>
          <w:tcPr/>
          <w:p>
            <w:pPr>
              <w:pStyle w:val="Compact"/>
            </w:pPr>
            <w:r>
              <w:rPr>
                <w:rFonts w:ascii="Times New Roman" w:hAnsi="Times New Roman" w:eastAsia="游明朝"/>
                <w:sz w:val="18"/>
              </w:rPr>
              <w:t xml:space="preserve">ORLY</w:t>
            </w:r>
          </w:p>
        </w:tc>
        <w:tc>
          <w:tcPr/>
          <w:p>
            <w:pPr>
              <w:pStyle w:val="Compact"/>
            </w:pPr>
            <w:r>
              <w:rPr>
                <w:rFonts w:ascii="Times New Roman" w:hAnsi="Times New Roman" w:eastAsia="游明朝"/>
                <w:sz w:val="18"/>
              </w:rPr>
              <w:t xml:space="preserve">O’Reilly Automotive</w:t>
            </w:r>
          </w:p>
        </w:tc>
        <w:tc>
          <w:tcPr/>
          <w:p>
            <w:pPr>
              <w:pStyle w:val="Compact"/>
            </w:pPr>
            <w:r>
              <w:rPr>
                <w:rFonts w:ascii="Times New Roman" w:hAnsi="Times New Roman" w:eastAsia="游明朝"/>
                <w:sz w:val="18"/>
              </w:rPr>
              <w:t xml:space="preserve">63%</w:t>
            </w:r>
          </w:p>
        </w:tc>
        <w:tc>
          <w:tcPr/>
          <w:p>
            <w:pPr>
              <w:pStyle w:val="Compact"/>
            </w:pPr>
            <w:r>
              <w:rPr>
                <w:rFonts w:ascii="Times New Roman" w:hAnsi="Times New Roman" w:eastAsia="游明朝"/>
                <w:sz w:val="18"/>
              </w:rPr>
              <w:t xml:space="preserve">1.0</w:t>
            </w:r>
          </w:p>
        </w:tc>
      </w:tr>
    </w:tbl>
    <w:bookmarkEnd w:id="9"/>
    <w:bookmarkStart w:id="10" w:name="スコア分布サマリー"/>
    <w:p>
      <w:pPr>
        <w:pStyle w:val="Heading2"/>
      </w:pPr>
      <w:r>
        <w:rPr>
          <w:rFonts w:hint="eastAsia"/>
        </w:rPr>
        <w:t xml:space="preserve">スコア分布サマリー</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スコアレンジ</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件数</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割合</w:t>
            </w:r>
          </w:p>
        </w:tc>
      </w:tr>
      <w:tr>
        <w:tc>
          <w:tcPr/>
          <w:p>
            <w:pPr>
              <w:pStyle w:val="Compact"/>
            </w:pPr>
            <w:r>
              <w:rPr>
                <w:rFonts w:ascii="Times New Roman" w:hAnsi="Times New Roman" w:eastAsia="游明朝"/>
                <w:sz w:val="18"/>
              </w:rPr>
              <w:t xml:space="preserve">90%</w:t>
            </w:r>
          </w:p>
        </w:tc>
        <w:tc>
          <w:tcPr/>
          <w:p>
            <w:pPr>
              <w:pStyle w:val="Compact"/>
            </w:pPr>
            <w:r>
              <w:rPr>
                <w:rFonts w:ascii="Times New Roman" w:hAnsi="Times New Roman" w:eastAsia="游明朝"/>
                <w:sz w:val="18"/>
              </w:rPr>
              <w:t xml:space="preserve">2</w:t>
            </w:r>
          </w:p>
        </w:tc>
        <w:tc>
          <w:tcPr/>
          <w:p>
            <w:pPr>
              <w:pStyle w:val="Compact"/>
            </w:pPr>
            <w:r>
              <w:rPr>
                <w:rFonts w:ascii="Times New Roman" w:hAnsi="Times New Roman" w:eastAsia="游明朝"/>
                <w:sz w:val="18"/>
              </w:rPr>
              <w:t xml:space="preserve">6%</w:t>
            </w:r>
          </w:p>
        </w:tc>
      </w:tr>
      <w:tr>
        <w:tc>
          <w:tcPr/>
          <w:p>
            <w:pPr>
              <w:pStyle w:val="Compact"/>
            </w:pPr>
            <w:r>
              <w:rPr>
                <w:rFonts w:ascii="Times New Roman" w:hAnsi="Times New Roman" w:eastAsia="游明朝"/>
                <w:sz w:val="18"/>
              </w:rPr>
              <w:t xml:space="preserve">70%</w:t>
            </w:r>
          </w:p>
        </w:tc>
        <w:tc>
          <w:tcPr/>
          <w:p>
            <w:pPr>
              <w:pStyle w:val="Compact"/>
            </w:pPr>
            <w:r>
              <w:rPr>
                <w:rFonts w:ascii="Times New Roman" w:hAnsi="Times New Roman" w:eastAsia="游明朝"/>
                <w:sz w:val="18"/>
              </w:rPr>
              <w:t xml:space="preserve">9</w:t>
            </w:r>
          </w:p>
        </w:tc>
        <w:tc>
          <w:tcPr/>
          <w:p>
            <w:pPr>
              <w:pStyle w:val="Compact"/>
            </w:pPr>
            <w:r>
              <w:rPr>
                <w:rFonts w:ascii="Times New Roman" w:hAnsi="Times New Roman" w:eastAsia="游明朝"/>
                <w:sz w:val="18"/>
              </w:rPr>
              <w:t xml:space="preserve">26%</w:t>
            </w:r>
          </w:p>
        </w:tc>
      </w:tr>
      <w:tr>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10</w:t>
            </w:r>
          </w:p>
        </w:tc>
        <w:tc>
          <w:tcPr/>
          <w:p>
            <w:pPr>
              <w:pStyle w:val="Compact"/>
            </w:pPr>
            <w:r>
              <w:rPr>
                <w:rFonts w:ascii="Times New Roman" w:hAnsi="Times New Roman" w:eastAsia="游明朝"/>
                <w:sz w:val="18"/>
              </w:rPr>
              <w:t xml:space="preserve">29%</w:t>
            </w:r>
          </w:p>
        </w:tc>
      </w:tr>
      <w:tr>
        <w:tc>
          <w:tcPr/>
          <w:p>
            <w:pPr>
              <w:pStyle w:val="Compact"/>
            </w:pPr>
            <w:r>
              <w:rPr>
                <w:rFonts w:ascii="Times New Roman" w:hAnsi="Times New Roman" w:eastAsia="游明朝"/>
                <w:sz w:val="18"/>
              </w:rPr>
              <w:t xml:space="preserve">30%</w:t>
            </w:r>
          </w:p>
        </w:tc>
        <w:tc>
          <w:tcPr/>
          <w:p>
            <w:pPr>
              <w:pStyle w:val="Compact"/>
            </w:pPr>
            <w:r>
              <w:rPr>
                <w:rFonts w:ascii="Times New Roman" w:hAnsi="Times New Roman" w:eastAsia="游明朝"/>
                <w:sz w:val="18"/>
              </w:rPr>
              <w:t xml:space="preserve">7</w:t>
            </w:r>
          </w:p>
        </w:tc>
        <w:tc>
          <w:tcPr/>
          <w:p>
            <w:pPr>
              <w:pStyle w:val="Compact"/>
            </w:pPr>
            <w:r>
              <w:rPr>
                <w:rFonts w:ascii="Times New Roman" w:hAnsi="Times New Roman" w:eastAsia="游明朝"/>
                <w:sz w:val="18"/>
              </w:rPr>
              <w:t xml:space="preserve">21%</w:t>
            </w:r>
          </w:p>
        </w:tc>
      </w:tr>
      <w:tr>
        <w:tc>
          <w:tcPr/>
          <w:p>
            <w:pPr>
              <w:pStyle w:val="Compact"/>
            </w:pPr>
            <w:r>
              <w:rPr>
                <w:rFonts w:ascii="Times New Roman" w:hAnsi="Times New Roman" w:eastAsia="游明朝"/>
                <w:sz w:val="18"/>
              </w:rPr>
              <w:t xml:space="preserve">20%</w:t>
            </w:r>
          </w:p>
        </w:tc>
        <w:tc>
          <w:tcPr/>
          <w:p>
            <w:pPr>
              <w:pStyle w:val="Compact"/>
            </w:pPr>
            <w:r>
              <w:rPr>
                <w:rFonts w:ascii="Times New Roman" w:hAnsi="Times New Roman" w:eastAsia="游明朝"/>
                <w:sz w:val="18"/>
              </w:rPr>
              <w:t xml:space="preserve">3</w:t>
            </w:r>
          </w:p>
        </w:tc>
        <w:tc>
          <w:tcPr/>
          <w:p>
            <w:pPr>
              <w:pStyle w:val="Compact"/>
            </w:pPr>
            <w:r>
              <w:rPr>
                <w:rFonts w:ascii="Times New Roman" w:hAnsi="Times New Roman" w:eastAsia="游明朝"/>
                <w:sz w:val="18"/>
              </w:rPr>
              <w:t xml:space="preserve">9%</w:t>
            </w:r>
          </w:p>
        </w:tc>
      </w:tr>
      <w:tr>
        <w:tc>
          <w:tcPr/>
          <w:p>
            <w:pPr>
              <w:pStyle w:val="Compact"/>
            </w:pPr>
            <w:r>
              <w:rPr>
                <w:rFonts w:hint="eastAsia" w:ascii="Times New Roman" w:hAnsi="Times New Roman" w:eastAsia="游明朝"/>
                <w:sz w:val="18"/>
              </w:rPr>
              <w:t xml:space="preserve">10%（却下）</w:t>
            </w:r>
          </w:p>
        </w:tc>
        <w:tc>
          <w:tcPr/>
          <w:p>
            <w:pPr>
              <w:pStyle w:val="Compact"/>
            </w:pPr>
            <w:r>
              <w:rPr>
                <w:rFonts w:ascii="Times New Roman" w:hAnsi="Times New Roman" w:eastAsia="游明朝"/>
                <w:sz w:val="18"/>
              </w:rPr>
              <w:t xml:space="preserve">3</w:t>
            </w:r>
          </w:p>
        </w:tc>
        <w:tc>
          <w:tcPr/>
          <w:p>
            <w:pPr>
              <w:pStyle w:val="Compact"/>
            </w:pPr>
            <w:r>
              <w:rPr>
                <w:rFonts w:ascii="Times New Roman" w:hAnsi="Times New Roman" w:eastAsia="游明朝"/>
                <w:sz w:val="18"/>
              </w:rPr>
              <w:t xml:space="preserve">9%</w:t>
            </w:r>
          </w:p>
        </w:tc>
      </w:tr>
    </w:tbl>
    <w:p>
      <w:r>
        <w:pict>
          <v:rect style="width:0;height:1.5pt" o:hralign="center" o:hrstd="t" o:hr="t"/>
        </w:pict>
      </w:r>
    </w:p>
    <w:bookmarkEnd w:id="10"/>
    <w:bookmarkEnd w:id="11"/>
    <w:bookmarkStart w:id="22" w:name="few-shot例-chdchurch-dwight"/>
    <w:p>
      <w:pPr>
        <w:pStyle w:val="Heading1"/>
      </w:pPr>
      <w:r>
        <w:rPr>
          <w:rFonts w:hint="eastAsia"/>
        </w:rPr>
        <w:t xml:space="preserve">few-shot例:</w:t>
      </w:r>
      <w:r>
        <w:t xml:space="preserve"> </w:t>
      </w:r>
      <w:r>
        <w:rPr>
          <w:rFonts w:hint="eastAsia"/>
        </w:rPr>
        <w:t xml:space="preserve">CHD（Church</w:t>
      </w:r>
      <w:r>
        <w:t xml:space="preserve"> &amp; </w:t>
      </w:r>
      <w:r>
        <w:rPr>
          <w:rFonts w:hint="eastAsia"/>
        </w:rPr>
        <w:t xml:space="preserve">Dwight）</w:t>
      </w:r>
    </w:p>
    <w:bookmarkStart w:id="12" w:name="銘柄概要"/>
    <w:p>
      <w:pPr>
        <w:pStyle w:val="Heading2"/>
      </w:pPr>
      <w:r>
        <w:rPr>
          <w:rFonts w:hint="eastAsia"/>
        </w:rPr>
        <w:t xml:space="preserve">銘柄概要</w:t>
      </w:r>
    </w:p>
    <w:p>
      <w:pPr>
        <w:pStyle w:val="Compact"/>
        <w:numPr>
          <w:ilvl w:val="0"/>
          <w:numId w:val="1001"/>
        </w:numPr>
      </w:pPr>
      <w:r>
        <w:rPr>
          <w:rFonts w:hint="eastAsia"/>
          <w:b/>
          <w:bCs/>
        </w:rPr>
        <w:t xml:space="preserve">平均優位性スコア</w:t>
      </w:r>
      <w:r>
        <w:t xml:space="preserve">: 50%</w:t>
      </w:r>
    </w:p>
    <w:p>
      <w:pPr>
        <w:pStyle w:val="Compact"/>
        <w:numPr>
          <w:ilvl w:val="0"/>
          <w:numId w:val="1001"/>
        </w:numPr>
      </w:pPr>
      <w:r>
        <w:rPr>
          <w:rFonts w:hint="eastAsia"/>
          <w:b/>
          <w:bCs/>
        </w:rPr>
        <w:t xml:space="preserve">特徴</w:t>
      </w:r>
      <w:r>
        <w:t xml:space="preserve">: </w:t>
      </w:r>
      <w:r>
        <w:rPr>
          <w:rFonts w:hint="eastAsia"/>
        </w:rPr>
        <w:t xml:space="preserve">能力vs結果の区別が明確。買収関連の能力は評価、結果は低評価</w:t>
      </w:r>
    </w:p>
    <w:p>
      <w:pPr>
        <w:pStyle w:val="Compact"/>
        <w:numPr>
          <w:ilvl w:val="0"/>
          <w:numId w:val="1001"/>
        </w:numPr>
      </w:pPr>
      <w:r>
        <w:rPr>
          <w:rFonts w:hint="eastAsia"/>
          <w:b/>
          <w:bCs/>
        </w:rPr>
        <w:t xml:space="preserve">アナリストの重要な構造的指摘</w:t>
      </w:r>
      <w:r>
        <w:t xml:space="preserve">:</w:t>
      </w:r>
    </w:p>
    <w:p>
      <w:pPr>
        <w:pStyle w:val="Compact"/>
        <w:numPr>
          <w:ilvl w:val="1"/>
          <w:numId w:val="1002"/>
        </w:numPr>
      </w:pPr>
      <w:r>
        <w:rPr>
          <w:rFonts w:hint="eastAsia"/>
        </w:rPr>
        <w:t xml:space="preserve">確度のCAGRパラメータ統合:</w:t>
      </w:r>
      <w:r>
        <w:t xml:space="preserve"> </w:t>
      </w:r>
      <w:r>
        <w:rPr>
          <w:rFonts w:hint="eastAsia"/>
        </w:rPr>
        <w:t xml:space="preserve">競争優位性はパラメータへの寄与のみならず、その確度にも反映させるべき</w:t>
      </w:r>
    </w:p>
    <w:p>
      <w:pPr>
        <w:pStyle w:val="Compact"/>
        <w:numPr>
          <w:ilvl w:val="1"/>
          <w:numId w:val="1002"/>
        </w:numPr>
      </w:pPr>
      <w:r>
        <w:rPr>
          <w:rFonts w:hint="eastAsia"/>
        </w:rPr>
        <w:t xml:space="preserve">①期初レポートが主、②四半期レビューが従:</w:t>
      </w:r>
      <w:r>
        <w:t xml:space="preserve"> </w:t>
      </w:r>
      <w:r>
        <w:rPr>
          <w:rFonts w:hint="eastAsia"/>
        </w:rPr>
        <w:t xml:space="preserve">②の積み重ねから拡大解釈するのでなく、①の妥当性を再検討させる仕組みが必要</w:t>
      </w:r>
    </w:p>
    <w:p>
      <w:pPr>
        <w:pStyle w:val="Compact"/>
        <w:numPr>
          <w:ilvl w:val="1"/>
          <w:numId w:val="1002"/>
        </w:numPr>
      </w:pPr>
      <w:r>
        <w:rPr>
          <w:rFonts w:hint="eastAsia"/>
        </w:rPr>
        <w:t xml:space="preserve">既存判断への警鐘機能への要望:</w:t>
      </w:r>
      <w:r>
        <w:t xml:space="preserve"> </w:t>
      </w:r>
      <w:r>
        <w:rPr>
          <w:rFonts w:hint="eastAsia"/>
        </w:rPr>
        <w:t xml:space="preserve">「FMやANが既存判断に縛られて、当初の合理性を欠いていることへの警鐘的機能ほしいです」</w:t>
      </w:r>
    </w:p>
    <w:bookmarkEnd w:id="12"/>
    <w:bookmarkStart w:id="20" w:name="優位性スコア"/>
    <w:p>
      <w:pPr>
        <w:pStyle w:val="Heading2"/>
      </w:pPr>
      <w:r>
        <w:rPr>
          <w:rFonts w:hint="eastAsia"/>
        </w:rPr>
        <w:t xml:space="preserve">優位性スコア</w:t>
      </w:r>
    </w:p>
    <w:bookmarkStart w:id="13" w:name="精緻な買収ターゲット選定能力と買収後統合力70"/>
    <w:p>
      <w:pPr>
        <w:pStyle w:val="Heading3"/>
      </w:pPr>
      <w:r>
        <w:t xml:space="preserve">#1: </w:t>
      </w:r>
      <w:r>
        <w:rPr>
          <w:rFonts w:hint="eastAsia"/>
        </w:rPr>
        <w:t xml:space="preserve">精緻な買収ターゲット選定能力と買収後統合力（70%）</w:t>
      </w:r>
    </w:p>
    <w:p>
      <w:pPr>
        <w:pStyle w:val="Compact"/>
        <w:numPr>
          <w:ilvl w:val="0"/>
          <w:numId w:val="1003"/>
        </w:numPr>
      </w:pPr>
      <w:r>
        <w:rPr>
          <w:rFonts w:hint="eastAsia"/>
          <w:b/>
          <w:bCs/>
        </w:rPr>
        <w:t xml:space="preserve">アナリストの理由</w:t>
      </w:r>
      <w:r>
        <w:t xml:space="preserve">: </w:t>
      </w:r>
      <w:r>
        <w:rPr>
          <w:rFonts w:hint="eastAsia"/>
        </w:rPr>
        <w:t xml:space="preserve">買収基準の明確化、人員投入、精査過程、断念例で補足。選定能力には納得感あり。ただしIRR/payback等のPMI尺度不明で統合力は納得感低下</w:t>
      </w:r>
    </w:p>
    <w:p>
      <w:pPr>
        <w:pStyle w:val="Compact"/>
        <w:numPr>
          <w:ilvl w:val="0"/>
          <w:numId w:val="1003"/>
        </w:numPr>
      </w:pPr>
      <w:r>
        <w:rPr>
          <w:rFonts w:hint="eastAsia"/>
          <w:b/>
          <w:bCs/>
        </w:rPr>
        <w:t xml:space="preserve">該当パターン</w:t>
      </w:r>
      <w:r>
        <w:t xml:space="preserve">: </w:t>
      </w:r>
      <w:r>
        <w:rPr>
          <w:rFonts w:hint="eastAsia"/>
        </w:rPr>
        <w:t xml:space="preserve">パターンIII（能力&gt;結果）、パターンI（定量的裏付け）</w:t>
      </w:r>
    </w:p>
    <w:p>
      <w:pPr>
        <w:pStyle w:val="Compact"/>
        <w:numPr>
          <w:ilvl w:val="0"/>
          <w:numId w:val="1003"/>
        </w:numPr>
      </w:pPr>
      <w:r>
        <w:rPr>
          <w:rFonts w:hint="eastAsia"/>
          <w:b/>
          <w:bCs/>
        </w:rPr>
        <w:t xml:space="preserve">CAGR接続</w:t>
      </w:r>
      <w:r>
        <w:t xml:space="preserve">: </w:t>
      </w:r>
      <w:r>
        <w:rPr>
          <w:rFonts w:hint="eastAsia"/>
        </w:rPr>
        <w:t xml:space="preserve">70%。+LSD%は過去15年実績と同等で納得感あり</w:t>
      </w:r>
    </w:p>
    <w:bookmarkEnd w:id="13"/>
    <w:bookmarkStart w:id="14" w:name="効率経営による一人当たり売上高業界最高70"/>
    <w:p>
      <w:pPr>
        <w:pStyle w:val="Heading3"/>
      </w:pPr>
      <w:r>
        <w:t xml:space="preserve">#2: </w:t>
      </w:r>
      <w:r>
        <w:rPr>
          <w:rFonts w:hint="eastAsia"/>
        </w:rPr>
        <w:t xml:space="preserve">効率経営による一人当たり売上高業界最高（70%）</w:t>
      </w:r>
    </w:p>
    <w:p>
      <w:pPr>
        <w:pStyle w:val="Compact"/>
        <w:numPr>
          <w:ilvl w:val="0"/>
          <w:numId w:val="1004"/>
        </w:numPr>
      </w:pPr>
      <w:r>
        <w:rPr>
          <w:rFonts w:hint="eastAsia"/>
          <w:b/>
          <w:bCs/>
        </w:rPr>
        <w:t xml:space="preserve">アナリストの理由</w:t>
      </w:r>
      <w:r>
        <w:t xml:space="preserve">: </w:t>
      </w:r>
      <w:r>
        <w:rPr>
          <w:rFonts w:hint="eastAsia"/>
        </w:rPr>
        <w:t xml:space="preserve">粗利額25%ボーナス制度が売上増への動機づけとして有効</w:t>
      </w:r>
    </w:p>
    <w:p>
      <w:pPr>
        <w:pStyle w:val="Compact"/>
        <w:numPr>
          <w:ilvl w:val="0"/>
          <w:numId w:val="1004"/>
        </w:numPr>
      </w:pPr>
      <w:r>
        <w:rPr>
          <w:rFonts w:hint="eastAsia"/>
          <w:b/>
          <w:bCs/>
        </w:rPr>
        <w:t xml:space="preserve">該当パターン</w:t>
      </w:r>
      <w:r>
        <w:t xml:space="preserve">: </w:t>
      </w:r>
      <w:r>
        <w:rPr>
          <w:rFonts w:hint="eastAsia"/>
        </w:rPr>
        <w:t xml:space="preserve">パターンI（定量的裏付け）</w:t>
      </w:r>
    </w:p>
    <w:p>
      <w:pPr>
        <w:pStyle w:val="Compact"/>
        <w:numPr>
          <w:ilvl w:val="0"/>
          <w:numId w:val="1004"/>
        </w:numPr>
      </w:pPr>
      <w:r>
        <w:rPr>
          <w:rFonts w:hint="eastAsia"/>
          <w:b/>
          <w:bCs/>
        </w:rPr>
        <w:t xml:space="preserve">CAGR接続</w:t>
      </w:r>
      <w:r>
        <w:t xml:space="preserve">: </w:t>
      </w:r>
      <w:r>
        <w:rPr>
          <w:rFonts w:hint="eastAsia"/>
        </w:rPr>
        <w:t xml:space="preserve">70%。雇用コスト差がなければ営業レバレッジが業界相対で高まる</w:t>
      </w:r>
    </w:p>
    <w:bookmarkEnd w:id="14"/>
    <w:bookmarkStart w:id="15" w:name="バリュープレミアム二層ポートフォリオ50"/>
    <w:p>
      <w:pPr>
        <w:pStyle w:val="Heading3"/>
      </w:pPr>
      <w:r>
        <w:t xml:space="preserve">#3: </w:t>
      </w:r>
      <w:r>
        <w:rPr>
          <w:rFonts w:hint="eastAsia"/>
        </w:rPr>
        <w:t xml:space="preserve">バリュー/プレミアム二層ポートフォリオ（50%）</w:t>
      </w:r>
    </w:p>
    <w:p>
      <w:pPr>
        <w:pStyle w:val="Compact"/>
        <w:numPr>
          <w:ilvl w:val="0"/>
          <w:numId w:val="1005"/>
        </w:numPr>
      </w:pPr>
      <w:r>
        <w:rPr>
          <w:rFonts w:hint="eastAsia"/>
          <w:b/>
          <w:bCs/>
        </w:rPr>
        <w:t xml:space="preserve">アナリストの理由</w:t>
      </w:r>
      <w:r>
        <w:t xml:space="preserve">: </w:t>
      </w:r>
      <w:r>
        <w:rPr>
          <w:rFonts w:hint="eastAsia"/>
        </w:rPr>
        <w:t xml:space="preserve">2層ポートそのものではなく、管理できるポート管理能力が優位性</w:t>
      </w:r>
    </w:p>
    <w:p>
      <w:pPr>
        <w:pStyle w:val="Compact"/>
        <w:numPr>
          <w:ilvl w:val="0"/>
          <w:numId w:val="1005"/>
        </w:numPr>
      </w:pPr>
      <w:r>
        <w:rPr>
          <w:rFonts w:hint="eastAsia"/>
          <w:b/>
          <w:bCs/>
        </w:rPr>
        <w:t xml:space="preserve">該当パターン</w:t>
      </w:r>
      <w:r>
        <w:t xml:space="preserve">: </w:t>
      </w:r>
      <w:r>
        <w:rPr>
          <w:rFonts w:hint="eastAsia"/>
        </w:rPr>
        <w:t xml:space="preserve">パターンIII（能力&gt;結果）</w:t>
      </w:r>
    </w:p>
    <w:p>
      <w:pPr>
        <w:pStyle w:val="Compact"/>
        <w:numPr>
          <w:ilvl w:val="0"/>
          <w:numId w:val="1005"/>
        </w:numPr>
      </w:pPr>
      <w:r>
        <w:rPr>
          <w:rFonts w:hint="eastAsia"/>
          <w:b/>
          <w:bCs/>
        </w:rPr>
        <w:t xml:space="preserve">CAGR接続</w:t>
      </w:r>
      <w:r>
        <w:t xml:space="preserve">: </w:t>
      </w:r>
      <w:r>
        <w:rPr>
          <w:rFonts w:hint="eastAsia"/>
        </w:rPr>
        <w:t xml:space="preserve">70%。2層分散により+5%への確度上昇</w:t>
      </w:r>
    </w:p>
    <w:bookmarkEnd w:id="15"/>
    <w:bookmarkStart w:id="16" w:name="買収ブランドの海外拡販スピード加速30"/>
    <w:p>
      <w:pPr>
        <w:pStyle w:val="Heading3"/>
      </w:pPr>
      <w:r>
        <w:t xml:space="preserve">#4: </w:t>
      </w:r>
      <w:r>
        <w:rPr>
          <w:rFonts w:hint="eastAsia"/>
        </w:rPr>
        <w:t xml:space="preserve">買収ブランドの海外拡販スピード加速（30%）</w:t>
      </w:r>
    </w:p>
    <w:p>
      <w:pPr>
        <w:pStyle w:val="Compact"/>
        <w:numPr>
          <w:ilvl w:val="0"/>
          <w:numId w:val="1006"/>
        </w:numPr>
      </w:pPr>
      <w:r>
        <w:rPr>
          <w:rFonts w:hint="eastAsia"/>
          <w:b/>
          <w:bCs/>
        </w:rPr>
        <w:t xml:space="preserve">アナリストの理由</w:t>
      </w:r>
      <w:r>
        <w:t xml:space="preserve">: </w:t>
      </w:r>
      <w:r>
        <w:rPr>
          <w:rFonts w:hint="eastAsia"/>
        </w:rPr>
        <w:t xml:space="preserve">成長加速は結果であり、背景となる優位性ではない</w:t>
      </w:r>
    </w:p>
    <w:p>
      <w:pPr>
        <w:pStyle w:val="Compact"/>
        <w:numPr>
          <w:ilvl w:val="0"/>
          <w:numId w:val="1006"/>
        </w:numPr>
      </w:pPr>
      <w:r>
        <w:rPr>
          <w:rFonts w:hint="eastAsia"/>
          <w:b/>
          <w:bCs/>
        </w:rPr>
        <w:t xml:space="preserve">該当パターン</w:t>
      </w:r>
      <w:r>
        <w:t xml:space="preserve">: </w:t>
      </w:r>
      <w:r>
        <w:rPr>
          <w:rFonts w:hint="eastAsia"/>
        </w:rPr>
        <w:t xml:space="preserve">パターンA（結果を原因と取り違え）</w:t>
      </w:r>
    </w:p>
    <w:p>
      <w:pPr>
        <w:pStyle w:val="Compact"/>
        <w:numPr>
          <w:ilvl w:val="0"/>
          <w:numId w:val="1006"/>
        </w:numPr>
      </w:pPr>
      <w:r>
        <w:rPr>
          <w:rFonts w:hint="eastAsia"/>
          <w:b/>
          <w:bCs/>
        </w:rPr>
        <w:t xml:space="preserve">CAGR接続</w:t>
      </w:r>
      <w:r>
        <w:t xml:space="preserve">: 50%</w:t>
      </w:r>
    </w:p>
    <w:bookmarkEnd w:id="16"/>
    <w:bookmarkStart w:id="17" w:name="高収益パーソナルケア領域への戦略的ポートフォリオシフト30"/>
    <w:p>
      <w:pPr>
        <w:pStyle w:val="Heading3"/>
      </w:pPr>
      <w:r>
        <w:t xml:space="preserve">#5: </w:t>
      </w:r>
      <w:r>
        <w:rPr>
          <w:rFonts w:hint="eastAsia"/>
        </w:rPr>
        <w:t xml:space="preserve">高収益パーソナルケア領域への戦略的ポートフォリオシフト（30%）</w:t>
      </w:r>
    </w:p>
    <w:p>
      <w:pPr>
        <w:pStyle w:val="Compact"/>
        <w:numPr>
          <w:ilvl w:val="0"/>
          <w:numId w:val="1007"/>
        </w:numPr>
      </w:pPr>
      <w:r>
        <w:rPr>
          <w:rFonts w:hint="eastAsia"/>
          <w:b/>
          <w:bCs/>
        </w:rPr>
        <w:t xml:space="preserve">アナリストの理由</w:t>
      </w:r>
      <w:r>
        <w:t xml:space="preserve">: </w:t>
      </w:r>
      <w:r>
        <w:rPr>
          <w:rFonts w:hint="eastAsia"/>
        </w:rPr>
        <w:t xml:space="preserve">ポート管理運営力そのものが優位性であり、ポートシフトは結果</w:t>
      </w:r>
    </w:p>
    <w:p>
      <w:pPr>
        <w:pStyle w:val="Compact"/>
        <w:numPr>
          <w:ilvl w:val="0"/>
          <w:numId w:val="1007"/>
        </w:numPr>
      </w:pPr>
      <w:r>
        <w:rPr>
          <w:rFonts w:hint="eastAsia"/>
          <w:b/>
          <w:bCs/>
        </w:rPr>
        <w:t xml:space="preserve">該当パターン</w:t>
      </w:r>
      <w:r>
        <w:t xml:space="preserve">: </w:t>
      </w:r>
      <w:r>
        <w:rPr>
          <w:rFonts w:hint="eastAsia"/>
        </w:rPr>
        <w:t xml:space="preserve">パターンA（結果を原因と取り違え）、パターンF（戦略を優位性と混同）</w:t>
      </w:r>
    </w:p>
    <w:p>
      <w:pPr>
        <w:pStyle w:val="Compact"/>
        <w:numPr>
          <w:ilvl w:val="0"/>
          <w:numId w:val="1007"/>
        </w:numPr>
      </w:pPr>
      <w:r>
        <w:rPr>
          <w:rFonts w:hint="eastAsia"/>
          <w:b/>
          <w:bCs/>
        </w:rPr>
        <w:t xml:space="preserve">CAGR接続</w:t>
      </w:r>
      <w:r>
        <w:t xml:space="preserve">: 50%</w:t>
      </w:r>
    </w:p>
    <w:bookmarkEnd w:id="17"/>
    <w:bookmarkStart w:id="18" w:name="デジタルマーケティング能力と新商品イノベーション50"/>
    <w:p>
      <w:pPr>
        <w:pStyle w:val="Heading3"/>
      </w:pPr>
      <w:r>
        <w:t xml:space="preserve">#6: </w:t>
      </w:r>
      <w:r>
        <w:rPr>
          <w:rFonts w:hint="eastAsia"/>
        </w:rPr>
        <w:t xml:space="preserve">デジタル・マーケティング能力と新商品イノベーション（50%）</w:t>
      </w:r>
    </w:p>
    <w:p>
      <w:pPr>
        <w:pStyle w:val="Compact"/>
        <w:numPr>
          <w:ilvl w:val="0"/>
          <w:numId w:val="1008"/>
        </w:numPr>
      </w:pPr>
      <w:r>
        <w:rPr>
          <w:rFonts w:hint="eastAsia"/>
          <w:b/>
          <w:bCs/>
        </w:rPr>
        <w:t xml:space="preserve">アナリストの理由</w:t>
      </w:r>
      <w:r>
        <w:t xml:space="preserve">: </w:t>
      </w:r>
      <w:r>
        <w:rPr>
          <w:rFonts w:hint="eastAsia"/>
        </w:rPr>
        <w:t xml:space="preserve">数値面での補完はあるが、根源的要因や他社対比の優位性に言及なし</w:t>
      </w:r>
    </w:p>
    <w:p>
      <w:pPr>
        <w:pStyle w:val="Compact"/>
        <w:numPr>
          <w:ilvl w:val="0"/>
          <w:numId w:val="1008"/>
        </w:numPr>
      </w:pPr>
      <w:r>
        <w:rPr>
          <w:rFonts w:hint="eastAsia"/>
          <w:b/>
          <w:bCs/>
        </w:rPr>
        <w:t xml:space="preserve">CAGR接続</w:t>
      </w:r>
      <w:r>
        <w:t xml:space="preserve">: </w:t>
      </w:r>
      <w:r>
        <w:rPr>
          <w:rFonts w:hint="eastAsia"/>
        </w:rPr>
        <w:t xml:space="preserve">90%★。「日用品製造にあってマーケティングや新製品は売り上げの主要ドライバーとなる」</w:t>
      </w:r>
    </w:p>
    <w:bookmarkEnd w:id="18"/>
    <w:bookmarkStart w:id="19" w:name="明確で実行性の高い経営戦略と規律ある意思決定50"/>
    <w:p>
      <w:pPr>
        <w:pStyle w:val="Heading3"/>
      </w:pPr>
      <w:r>
        <w:t xml:space="preserve">#7: </w:t>
      </w:r>
      <w:r>
        <w:rPr>
          <w:rFonts w:hint="eastAsia"/>
        </w:rPr>
        <w:t xml:space="preserve">明確で実行性の高い経営戦略と規律ある意思決定（50%）</w:t>
      </w:r>
    </w:p>
    <w:p>
      <w:pPr>
        <w:pStyle w:val="Compact"/>
        <w:numPr>
          <w:ilvl w:val="0"/>
          <w:numId w:val="1009"/>
        </w:numPr>
      </w:pPr>
      <w:r>
        <w:rPr>
          <w:rFonts w:hint="eastAsia"/>
          <w:b/>
          <w:bCs/>
        </w:rPr>
        <w:t xml:space="preserve">アナリストの理由</w:t>
      </w:r>
      <w:r>
        <w:t xml:space="preserve">: </w:t>
      </w:r>
      <w:r>
        <w:rPr>
          <w:rFonts w:hint="eastAsia"/>
        </w:rPr>
        <w:t xml:space="preserve">実行しなかった例をもって評価している点に納得感</w:t>
      </w:r>
    </w:p>
    <w:p>
      <w:pPr>
        <w:pStyle w:val="Compact"/>
        <w:numPr>
          <w:ilvl w:val="0"/>
          <w:numId w:val="1009"/>
        </w:numPr>
      </w:pPr>
      <w:r>
        <w:rPr>
          <w:rFonts w:hint="eastAsia"/>
          <w:b/>
          <w:bCs/>
        </w:rPr>
        <w:t xml:space="preserve">該当パターン</w:t>
      </w:r>
      <w:r>
        <w:t xml:space="preserve">: </w:t>
      </w:r>
      <w:r>
        <w:rPr>
          <w:rFonts w:hint="eastAsia"/>
        </w:rPr>
        <w:t xml:space="preserve">ルール10（ネガティブケース）</w:t>
      </w:r>
    </w:p>
    <w:p>
      <w:pPr>
        <w:pStyle w:val="Compact"/>
        <w:numPr>
          <w:ilvl w:val="0"/>
          <w:numId w:val="1009"/>
        </w:numPr>
      </w:pPr>
      <w:r>
        <w:rPr>
          <w:rFonts w:hint="eastAsia"/>
          <w:b/>
          <w:bCs/>
        </w:rPr>
        <w:t xml:space="preserve">CAGR接続</w:t>
      </w:r>
      <w:r>
        <w:t xml:space="preserve">: </w:t>
      </w:r>
      <w:r>
        <w:rPr>
          <w:rFonts w:hint="eastAsia"/>
        </w:rPr>
        <w:t xml:space="preserve">90%★。経営力の高さがあれば目標達成への蓋然性高い</w:t>
      </w:r>
    </w:p>
    <w:bookmarkEnd w:id="19"/>
    <w:bookmarkEnd w:id="20"/>
    <w:bookmarkStart w:id="21" w:name="アナリストが重視した視点"/>
    <w:p>
      <w:pPr>
        <w:pStyle w:val="Heading2"/>
      </w:pPr>
      <w:r>
        <w:rPr>
          <w:rFonts w:hint="eastAsia"/>
        </w:rPr>
        <w:t xml:space="preserve">アナリストが重視した視点</w:t>
      </w:r>
    </w:p>
    <w:p>
      <w:pPr>
        <w:pStyle w:val="Compact"/>
        <w:numPr>
          <w:ilvl w:val="0"/>
          <w:numId w:val="1010"/>
        </w:numPr>
      </w:pPr>
      <w:r>
        <w:rPr>
          <w:rFonts w:hint="eastAsia"/>
        </w:rPr>
        <w:t xml:space="preserve">能力（選定能力、管理運営力）vs</w:t>
      </w:r>
      <w:r>
        <w:t xml:space="preserve"> </w:t>
      </w:r>
      <w:r>
        <w:rPr>
          <w:rFonts w:hint="eastAsia"/>
        </w:rPr>
        <w:t xml:space="preserve">結果（成長加速、ポートシフト）の区別が明確</w:t>
      </w:r>
    </w:p>
    <w:p>
      <w:pPr>
        <w:pStyle w:val="Compact"/>
        <w:numPr>
          <w:ilvl w:val="0"/>
          <w:numId w:val="1010"/>
        </w:numPr>
      </w:pPr>
      <w:r>
        <w:rPr>
          <w:rFonts w:hint="eastAsia"/>
        </w:rPr>
        <w:t xml:space="preserve">ネガティブケース（断念例）による能力の裏付けを高く評価</w:t>
      </w:r>
    </w:p>
    <w:p>
      <w:pPr>
        <w:pStyle w:val="Compact"/>
        <w:numPr>
          <w:ilvl w:val="0"/>
          <w:numId w:val="1010"/>
        </w:numPr>
      </w:pPr>
      <w:r>
        <w:rPr>
          <w:rFonts w:hint="eastAsia"/>
        </w:rPr>
        <w:t xml:space="preserve">①主②従の情報ソース階層を重視</w:t>
      </w:r>
    </w:p>
    <w:p>
      <w:pPr>
        <w:pStyle w:val="Compact"/>
        <w:numPr>
          <w:ilvl w:val="0"/>
          <w:numId w:val="1010"/>
        </w:numPr>
      </w:pPr>
      <w:r>
        <w:rPr>
          <w:rFonts w:hint="eastAsia"/>
        </w:rPr>
        <w:t xml:space="preserve">CAGR接続では業界特性との合致（日用品のマーケティング=主要ドライバー）が最高評価</w:t>
      </w:r>
    </w:p>
    <w:p>
      <w:r>
        <w:pict>
          <v:rect style="width:0;height:1.5pt" o:hralign="center" o:hrstd="t" o:hr="t"/>
        </w:pict>
      </w:r>
    </w:p>
    <w:bookmarkEnd w:id="21"/>
    <w:bookmarkEnd w:id="22"/>
    <w:bookmarkStart w:id="36" w:name="few-shot例-costcostco"/>
    <w:p>
      <w:pPr>
        <w:pStyle w:val="Heading1"/>
      </w:pPr>
      <w:r>
        <w:rPr>
          <w:rFonts w:hint="eastAsia"/>
        </w:rPr>
        <w:t xml:space="preserve">few-shot例:</w:t>
      </w:r>
      <w:r>
        <w:t xml:space="preserve"> </w:t>
      </w:r>
      <w:r>
        <w:rPr>
          <w:rFonts w:hint="eastAsia"/>
        </w:rPr>
        <w:t xml:space="preserve">COST（Costco）</w:t>
      </w:r>
    </w:p>
    <w:bookmarkStart w:id="23" w:name="銘柄概要-1"/>
    <w:p>
      <w:pPr>
        <w:pStyle w:val="Heading2"/>
      </w:pPr>
      <w:r>
        <w:rPr>
          <w:rFonts w:hint="eastAsia"/>
        </w:rPr>
        <w:t xml:space="preserve">銘柄概要</w:t>
      </w:r>
    </w:p>
    <w:p>
      <w:pPr>
        <w:pStyle w:val="Compact"/>
        <w:numPr>
          <w:ilvl w:val="0"/>
          <w:numId w:val="1011"/>
        </w:numPr>
      </w:pPr>
      <w:r>
        <w:rPr>
          <w:rFonts w:hint="eastAsia"/>
          <w:b/>
          <w:bCs/>
        </w:rPr>
        <w:t xml:space="preserve">平均優位性スコア</w:t>
      </w:r>
      <w:r>
        <w:t xml:space="preserve">: </w:t>
      </w:r>
      <w:r>
        <w:rPr>
          <w:rFonts w:hint="eastAsia"/>
        </w:rPr>
        <w:t xml:space="preserve">39%（5銘柄中最低水準、最も分散大）</w:t>
      </w:r>
    </w:p>
    <w:p>
      <w:pPr>
        <w:pStyle w:val="Compact"/>
        <w:numPr>
          <w:ilvl w:val="0"/>
          <w:numId w:val="1011"/>
        </w:numPr>
      </w:pPr>
      <w:r>
        <w:rPr>
          <w:rFonts w:hint="eastAsia"/>
          <w:b/>
          <w:bCs/>
        </w:rPr>
        <w:t xml:space="preserve">特徴</w:t>
      </w:r>
      <w:r>
        <w:t xml:space="preserve">: </w:t>
      </w:r>
      <w:r>
        <w:rPr>
          <w:rFonts w:hint="eastAsia"/>
        </w:rPr>
        <w:t xml:space="preserve">構造的要素は評価するが、一般論は厳しく却下</w:t>
      </w:r>
    </w:p>
    <w:p>
      <w:pPr>
        <w:pStyle w:val="Compact"/>
        <w:numPr>
          <w:ilvl w:val="0"/>
          <w:numId w:val="1011"/>
        </w:numPr>
      </w:pPr>
      <w:r>
        <w:rPr>
          <w:rFonts w:hint="eastAsia"/>
          <w:b/>
          <w:bCs/>
        </w:rPr>
        <w:t xml:space="preserve">アナリストの全体印象</w:t>
      </w:r>
      <w:r>
        <w:t xml:space="preserve">: </w:t>
      </w:r>
      <w:r>
        <w:rPr>
          <w:rFonts w:hint="eastAsia"/>
        </w:rPr>
        <w:t xml:space="preserve">「納得度低いものは、アナリストの推奨レポートからいわゆる競争優位性『らしき』部分を抽出して、競争優位としている印象あり」</w:t>
      </w:r>
    </w:p>
    <w:bookmarkEnd w:id="23"/>
    <w:bookmarkStart w:id="31" w:name="優位性スコア-1"/>
    <w:p>
      <w:pPr>
        <w:pStyle w:val="Heading2"/>
      </w:pPr>
      <w:r>
        <w:rPr>
          <w:rFonts w:hint="eastAsia"/>
        </w:rPr>
        <w:t xml:space="preserve">優位性スコア</w:t>
      </w:r>
    </w:p>
    <w:bookmarkStart w:id="24" w:name="思いやり経営による従業員定着率の高さ70"/>
    <w:p>
      <w:pPr>
        <w:pStyle w:val="Heading3"/>
      </w:pPr>
      <w:r>
        <w:t xml:space="preserve">#1: </w:t>
      </w:r>
      <w:r>
        <w:rPr>
          <w:rFonts w:hint="eastAsia"/>
        </w:rPr>
        <w:t xml:space="preserve">「思いやり経営」による従業員定着率の高さ（70%）</w:t>
      </w:r>
    </w:p>
    <w:p>
      <w:pPr>
        <w:pStyle w:val="Compact"/>
        <w:numPr>
          <w:ilvl w:val="0"/>
          <w:numId w:val="1012"/>
        </w:numPr>
      </w:pPr>
      <w:r>
        <w:rPr>
          <w:rFonts w:hint="eastAsia"/>
          <w:b/>
          <w:bCs/>
        </w:rPr>
        <w:t xml:space="preserve">アナリストの理由</w:t>
      </w:r>
      <w:r>
        <w:t xml:space="preserve">: </w:t>
      </w:r>
      <w:r>
        <w:rPr>
          <w:rFonts w:hint="eastAsia"/>
        </w:rPr>
        <w:t xml:space="preserve">退職率9%</w:t>
      </w:r>
      <w:r>
        <w:t xml:space="preserve"> vs </w:t>
      </w:r>
      <w:r>
        <w:rPr>
          <w:rFonts w:hint="eastAsia"/>
        </w:rPr>
        <w:t xml:space="preserve">業界20%+という数値裏付けが納得感を高めた。何らかの帰属意識を高める要素として持続的な困難模倣性につながる可能性あり</w:t>
      </w:r>
    </w:p>
    <w:p>
      <w:pPr>
        <w:pStyle w:val="Compact"/>
        <w:numPr>
          <w:ilvl w:val="0"/>
          <w:numId w:val="1012"/>
        </w:numPr>
      </w:pPr>
      <w:r>
        <w:rPr>
          <w:rFonts w:hint="eastAsia"/>
          <w:b/>
          <w:bCs/>
        </w:rPr>
        <w:t xml:space="preserve">該当パターン</w:t>
      </w:r>
      <w:r>
        <w:t xml:space="preserve">: </w:t>
      </w:r>
      <w:r>
        <w:rPr>
          <w:rFonts w:hint="eastAsia"/>
        </w:rPr>
        <w:t xml:space="preserve">パターンI（定量的裏付けのある差別化）</w:t>
      </w:r>
    </w:p>
    <w:bookmarkEnd w:id="24"/>
    <w:bookmarkStart w:id="25" w:name="劇場的価値による差別化された顧客体験10-却下"/>
    <w:p>
      <w:pPr>
        <w:pStyle w:val="Heading3"/>
      </w:pPr>
      <w:r>
        <w:t xml:space="preserve">#2: </w:t>
      </w:r>
      <w:r>
        <w:rPr>
          <w:rFonts w:hint="eastAsia"/>
        </w:rPr>
        <w:t xml:space="preserve">「劇場的価値」による差別化された顧客体験（10%</w:t>
      </w:r>
      <w:r>
        <w:t xml:space="preserve"> — </w:t>
      </w:r>
      <w:r>
        <w:rPr>
          <w:rFonts w:hint="eastAsia"/>
        </w:rPr>
        <w:t xml:space="preserve">却下）</w:t>
      </w:r>
    </w:p>
    <w:p>
      <w:pPr>
        <w:pStyle w:val="Compact"/>
        <w:numPr>
          <w:ilvl w:val="0"/>
          <w:numId w:val="1013"/>
        </w:numPr>
      </w:pPr>
      <w:r>
        <w:rPr>
          <w:rFonts w:hint="eastAsia"/>
          <w:b/>
          <w:bCs/>
        </w:rPr>
        <w:t xml:space="preserve">アナリストの理由</w:t>
      </w:r>
      <w:r>
        <w:t xml:space="preserve">: </w:t>
      </w:r>
      <w:r>
        <w:rPr>
          <w:rFonts w:hint="eastAsia"/>
        </w:rPr>
        <w:t xml:space="preserve">売り場づくりの定性的差異がわかりにくく、定量的評価もしがたい。競合対比での優位性として評価不可</w:t>
      </w:r>
    </w:p>
    <w:p>
      <w:pPr>
        <w:pStyle w:val="Compact"/>
        <w:numPr>
          <w:ilvl w:val="0"/>
          <w:numId w:val="1013"/>
        </w:numPr>
      </w:pPr>
      <w:r>
        <w:rPr>
          <w:rFonts w:hint="eastAsia"/>
          <w:b/>
          <w:bCs/>
        </w:rPr>
        <w:t xml:space="preserve">該当パターン</w:t>
      </w:r>
      <w:r>
        <w:t xml:space="preserve">: </w:t>
      </w:r>
      <w:r>
        <w:rPr>
          <w:rFonts w:hint="eastAsia"/>
        </w:rPr>
        <w:t xml:space="preserve">パターンD（定性的で定量的裏付けなし）</w:t>
      </w:r>
    </w:p>
    <w:bookmarkEnd w:id="25"/>
    <w:bookmarkStart w:id="26" w:name="倉庫型店舗設計による独自の経済性50"/>
    <w:p>
      <w:pPr>
        <w:pStyle w:val="Heading3"/>
      </w:pPr>
      <w:r>
        <w:t xml:space="preserve">#3: </w:t>
      </w:r>
      <w:r>
        <w:rPr>
          <w:rFonts w:hint="eastAsia"/>
        </w:rPr>
        <w:t xml:space="preserve">倉庫型店舗設計による独自の経済性（50%）</w:t>
      </w:r>
    </w:p>
    <w:p>
      <w:pPr>
        <w:pStyle w:val="Compact"/>
        <w:numPr>
          <w:ilvl w:val="0"/>
          <w:numId w:val="1014"/>
        </w:numPr>
      </w:pPr>
      <w:r>
        <w:rPr>
          <w:rFonts w:hint="eastAsia"/>
          <w:b/>
          <w:bCs/>
        </w:rPr>
        <w:t xml:space="preserve">アナリストの理由</w:t>
      </w:r>
      <w:r>
        <w:t xml:space="preserve">: </w:t>
      </w:r>
      <w:r>
        <w:rPr>
          <w:rFonts w:hint="eastAsia"/>
        </w:rPr>
        <w:t xml:space="preserve">他の小売業に対する差別化は認めるが、SAMS</w:t>
      </w:r>
      <w:r>
        <w:t xml:space="preserve"> </w:t>
      </w:r>
      <w:r>
        <w:rPr>
          <w:rFonts w:hint="eastAsia"/>
        </w:rPr>
        <w:t xml:space="preserve">CLUBやBJのような純粋競合に対して優位かは不明</w:t>
      </w:r>
    </w:p>
    <w:p>
      <w:pPr>
        <w:pStyle w:val="Compact"/>
        <w:numPr>
          <w:ilvl w:val="0"/>
          <w:numId w:val="1014"/>
        </w:numPr>
      </w:pPr>
      <w:r>
        <w:rPr>
          <w:rFonts w:hint="eastAsia"/>
          <w:b/>
          <w:bCs/>
        </w:rPr>
        <w:t xml:space="preserve">該当パターン</w:t>
      </w:r>
      <w:r>
        <w:t xml:space="preserve">: </w:t>
      </w:r>
      <w:r>
        <w:rPr>
          <w:rFonts w:hint="eastAsia"/>
        </w:rPr>
        <w:t xml:space="preserve">パターンG（純粋競合に対する優位性不明）</w:t>
      </w:r>
    </w:p>
    <w:bookmarkEnd w:id="26"/>
    <w:bookmarkStart w:id="27" w:name="配達の自社内製化50"/>
    <w:p>
      <w:pPr>
        <w:pStyle w:val="Heading3"/>
      </w:pPr>
      <w:r>
        <w:t xml:space="preserve">#4: </w:t>
      </w:r>
      <w:r>
        <w:rPr>
          <w:rFonts w:hint="eastAsia"/>
        </w:rPr>
        <w:t xml:space="preserve">配達の自社内製化（50%）</w:t>
      </w:r>
    </w:p>
    <w:p>
      <w:pPr>
        <w:pStyle w:val="Compact"/>
        <w:numPr>
          <w:ilvl w:val="0"/>
          <w:numId w:val="1015"/>
        </w:numPr>
      </w:pPr>
      <w:r>
        <w:rPr>
          <w:rFonts w:hint="eastAsia"/>
          <w:b/>
          <w:bCs/>
        </w:rPr>
        <w:t xml:space="preserve">アナリストの理由</w:t>
      </w:r>
      <w:r>
        <w:t xml:space="preserve">: </w:t>
      </w:r>
      <w:r>
        <w:rPr>
          <w:rFonts w:hint="eastAsia"/>
        </w:rPr>
        <w:t xml:space="preserve">ラストマイル物流の重要性は認識。ただしCOSTの内製化の進捗・寄与に関する情報不足</w:t>
      </w:r>
    </w:p>
    <w:bookmarkEnd w:id="27"/>
    <w:bookmarkStart w:id="28" w:name="国際展開における現地市場適応20"/>
    <w:p>
      <w:pPr>
        <w:pStyle w:val="Heading3"/>
      </w:pPr>
      <w:r>
        <w:t xml:space="preserve">#5: </w:t>
      </w:r>
      <w:r>
        <w:rPr>
          <w:rFonts w:hint="eastAsia"/>
        </w:rPr>
        <w:t xml:space="preserve">国際展開における現地市場適応（20%）</w:t>
      </w:r>
    </w:p>
    <w:p>
      <w:pPr>
        <w:pStyle w:val="Compact"/>
        <w:numPr>
          <w:ilvl w:val="0"/>
          <w:numId w:val="1016"/>
        </w:numPr>
      </w:pPr>
      <w:r>
        <w:rPr>
          <w:rFonts w:hint="eastAsia"/>
          <w:b/>
          <w:bCs/>
        </w:rPr>
        <w:t xml:space="preserve">アナリストの理由</w:t>
      </w:r>
      <w:r>
        <w:t xml:space="preserve">: </w:t>
      </w:r>
      <w:r>
        <w:rPr>
          <w:rFonts w:hint="eastAsia"/>
        </w:rPr>
        <w:t xml:space="preserve">「多くの企業が言っていることであり具体性に乏しく評価しがたい」</w:t>
      </w:r>
    </w:p>
    <w:p>
      <w:pPr>
        <w:pStyle w:val="Compact"/>
        <w:numPr>
          <w:ilvl w:val="0"/>
          <w:numId w:val="1016"/>
        </w:numPr>
      </w:pPr>
      <w:r>
        <w:rPr>
          <w:rFonts w:hint="eastAsia"/>
          <w:b/>
          <w:bCs/>
        </w:rPr>
        <w:t xml:space="preserve">該当パターン</w:t>
      </w:r>
      <w:r>
        <w:t xml:space="preserve">: </w:t>
      </w:r>
      <w:r>
        <w:rPr>
          <w:rFonts w:hint="eastAsia"/>
        </w:rPr>
        <w:t xml:space="preserve">パターンB（業界共通で差別化にならない）</w:t>
      </w:r>
    </w:p>
    <w:bookmarkEnd w:id="28"/>
    <w:bookmarkStart w:id="29" w:name="ガソリン販売戦略20"/>
    <w:p>
      <w:pPr>
        <w:pStyle w:val="Heading3"/>
      </w:pPr>
      <w:r>
        <w:t xml:space="preserve">#6: </w:t>
      </w:r>
      <w:r>
        <w:rPr>
          <w:rFonts w:hint="eastAsia"/>
        </w:rPr>
        <w:t xml:space="preserve">ガソリン販売戦略（20%）</w:t>
      </w:r>
    </w:p>
    <w:p>
      <w:pPr>
        <w:pStyle w:val="Compact"/>
        <w:numPr>
          <w:ilvl w:val="0"/>
          <w:numId w:val="1017"/>
        </w:numPr>
      </w:pPr>
      <w:r>
        <w:rPr>
          <w:rFonts w:hint="eastAsia"/>
          <w:b/>
          <w:bCs/>
        </w:rPr>
        <w:t xml:space="preserve">アナリストの理由</w:t>
      </w:r>
      <w:r>
        <w:t xml:space="preserve">: </w:t>
      </w:r>
      <w:r>
        <w:rPr>
          <w:rFonts w:hint="eastAsia"/>
        </w:rPr>
        <w:t xml:space="preserve">「多くの郊外型リテールモールではガススタの近接が行われており訴求力は小さい」。補完的要素との区分けには納得</w:t>
      </w:r>
    </w:p>
    <w:p>
      <w:pPr>
        <w:pStyle w:val="Compact"/>
        <w:numPr>
          <w:ilvl w:val="0"/>
          <w:numId w:val="1017"/>
        </w:numPr>
      </w:pPr>
      <w:r>
        <w:rPr>
          <w:rFonts w:hint="eastAsia"/>
          <w:b/>
          <w:bCs/>
        </w:rPr>
        <w:t xml:space="preserve">該当パターン</w:t>
      </w:r>
      <w:r>
        <w:t xml:space="preserve">: </w:t>
      </w:r>
      <w:r>
        <w:rPr>
          <w:rFonts w:hint="eastAsia"/>
        </w:rPr>
        <w:t xml:space="preserve">パターンB（業界共通）、ルール6（構造的vs補完的）</w:t>
      </w:r>
    </w:p>
    <w:bookmarkEnd w:id="29"/>
    <w:bookmarkStart w:id="30" w:name="pb商品開発力70"/>
    <w:p>
      <w:pPr>
        <w:pStyle w:val="Heading3"/>
      </w:pPr>
      <w:r>
        <w:t xml:space="preserve">#7: </w:t>
      </w:r>
      <w:r>
        <w:rPr>
          <w:rFonts w:hint="eastAsia"/>
        </w:rPr>
        <w:t xml:space="preserve">PB商品開発力（70%）</w:t>
      </w:r>
    </w:p>
    <w:p>
      <w:pPr>
        <w:pStyle w:val="Compact"/>
        <w:numPr>
          <w:ilvl w:val="0"/>
          <w:numId w:val="1018"/>
        </w:numPr>
      </w:pPr>
      <w:r>
        <w:rPr>
          <w:rFonts w:hint="eastAsia"/>
          <w:b/>
          <w:bCs/>
        </w:rPr>
        <w:t xml:space="preserve">アナリストの理由</w:t>
      </w:r>
      <w:r>
        <w:t xml:space="preserve">: </w:t>
      </w:r>
      <w:r>
        <w:rPr>
          <w:rFonts w:hint="eastAsia"/>
        </w:rPr>
        <w:t xml:space="preserve">kirklandブランドの認知。NB交渉ツールとしても機能</w:t>
      </w:r>
    </w:p>
    <w:p>
      <w:pPr>
        <w:pStyle w:val="Compact"/>
        <w:numPr>
          <w:ilvl w:val="0"/>
          <w:numId w:val="1018"/>
        </w:numPr>
      </w:pPr>
      <w:r>
        <w:rPr>
          <w:rFonts w:hint="eastAsia"/>
          <w:b/>
          <w:bCs/>
        </w:rPr>
        <w:t xml:space="preserve">該当パターン</w:t>
      </w:r>
      <w:r>
        <w:t xml:space="preserve">: </w:t>
      </w:r>
      <w:r>
        <w:rPr>
          <w:rFonts w:hint="eastAsia"/>
        </w:rPr>
        <w:t xml:space="preserve">パターンV（競合との具体的比較）</w:t>
      </w:r>
    </w:p>
    <w:bookmarkEnd w:id="30"/>
    <w:bookmarkEnd w:id="31"/>
    <w:bookmarkStart w:id="34" w:name="cagr接続の特徴"/>
    <w:p>
      <w:pPr>
        <w:pStyle w:val="Heading2"/>
      </w:pPr>
      <w:r>
        <w:rPr>
          <w:rFonts w:hint="eastAsia"/>
        </w:rPr>
        <w:t xml:space="preserve">CAGR接続の特徴</w:t>
      </w:r>
    </w:p>
    <w:bookmarkStart w:id="32" w:name="最高評価90"/>
    <w:p>
      <w:pPr>
        <w:pStyle w:val="Heading3"/>
      </w:pPr>
      <w:r>
        <w:rPr>
          <w:rFonts w:hint="eastAsia"/>
        </w:rPr>
        <w:t xml:space="preserve">最高評価（90%）</w:t>
      </w:r>
    </w:p>
    <w:p>
      <w:pPr>
        <w:pStyle w:val="Compact"/>
        <w:numPr>
          <w:ilvl w:val="0"/>
          <w:numId w:val="1019"/>
        </w:numPr>
      </w:pPr>
      <w:r>
        <w:rPr>
          <w:rFonts w:hint="eastAsia"/>
          <w:b/>
          <w:bCs/>
        </w:rPr>
        <w:t xml:space="preserve">顧客粘着力</w:t>
      </w:r>
      <w:r>
        <w:t xml:space="preserve">: </w:t>
      </w:r>
      <w:r>
        <w:rPr>
          <w:rFonts w:hint="eastAsia"/>
        </w:rPr>
        <w:t xml:space="preserve">会員更新率→上級会員ミックス改善→ARPU向上→既存店売上成長。開示データで検証可能</w:t>
      </w:r>
    </w:p>
    <w:p>
      <w:pPr>
        <w:pStyle w:val="Compact"/>
        <w:numPr>
          <w:ilvl w:val="0"/>
          <w:numId w:val="1019"/>
        </w:numPr>
      </w:pPr>
      <w:r>
        <w:rPr>
          <w:rFonts w:hint="eastAsia"/>
          <w:b/>
          <w:bCs/>
        </w:rPr>
        <w:t xml:space="preserve">国際展開</w:t>
      </w:r>
      <w:r>
        <w:t xml:space="preserve">: </w:t>
      </w:r>
      <w:r>
        <w:rPr>
          <w:rFonts w:hint="eastAsia"/>
        </w:rPr>
        <w:t xml:space="preserve">tailor→米国優位性横展開→新規出店+2-2.5%</w:t>
      </w:r>
    </w:p>
    <w:bookmarkEnd w:id="32"/>
    <w:bookmarkStart w:id="33" w:name="最低評価20"/>
    <w:p>
      <w:pPr>
        <w:pStyle w:val="Heading3"/>
      </w:pPr>
      <w:r>
        <w:rPr>
          <w:rFonts w:hint="eastAsia"/>
        </w:rPr>
        <w:t xml:space="preserve">最低評価（20%）</w:t>
      </w:r>
    </w:p>
    <w:p>
      <w:pPr>
        <w:pStyle w:val="Compact"/>
        <w:numPr>
          <w:ilvl w:val="0"/>
          <w:numId w:val="1020"/>
        </w:numPr>
      </w:pPr>
      <w:r>
        <w:rPr>
          <w:rFonts w:hint="eastAsia"/>
          <w:b/>
          <w:bCs/>
        </w:rPr>
        <w:t xml:space="preserve">思いやり経営</w:t>
      </w:r>
      <w:r>
        <w:t xml:space="preserve">: </w:t>
      </w:r>
      <w:r>
        <w:rPr>
          <w:rFonts w:hint="eastAsia"/>
        </w:rPr>
        <w:t xml:space="preserve">退職率低下→営業レバレッジ+0.25%は「飛躍しすぎ」。顧客サービス→既存店は倉庫型店舗では成立しにくい</w:t>
      </w:r>
    </w:p>
    <w:p>
      <w:pPr>
        <w:pStyle w:val="Compact"/>
        <w:numPr>
          <w:ilvl w:val="0"/>
          <w:numId w:val="1020"/>
        </w:numPr>
      </w:pPr>
      <w:r>
        <w:rPr>
          <w:rFonts w:hint="eastAsia"/>
          <w:b/>
          <w:bCs/>
        </w:rPr>
        <w:t xml:space="preserve">劇場的価値</w:t>
      </w:r>
      <w:r>
        <w:t xml:space="preserve">: </w:t>
      </w:r>
      <w:r>
        <w:rPr>
          <w:rFonts w:hint="eastAsia"/>
        </w:rPr>
        <w:t xml:space="preserve">宝探し的価値はSKU絞込みで生み出しにくい</w:t>
      </w:r>
    </w:p>
    <w:p>
      <w:pPr>
        <w:pStyle w:val="Compact"/>
        <w:numPr>
          <w:ilvl w:val="0"/>
          <w:numId w:val="1020"/>
        </w:numPr>
      </w:pPr>
      <w:r>
        <w:rPr>
          <w:b/>
          <w:bCs/>
        </w:rPr>
        <w:t xml:space="preserve">ガソリン</w:t>
      </w:r>
      <w:r>
        <w:t xml:space="preserve">: </w:t>
      </w:r>
      <w:r>
        <w:rPr>
          <w:rFonts w:hint="eastAsia"/>
        </w:rPr>
        <w:t xml:space="preserve">差別化に乏しく、既存店増収のけん引役としては期待薄</w:t>
      </w:r>
    </w:p>
    <w:bookmarkEnd w:id="33"/>
    <w:bookmarkEnd w:id="34"/>
    <w:bookmarkStart w:id="35" w:name="アナリストが重視した視点-1"/>
    <w:p>
      <w:pPr>
        <w:pStyle w:val="Heading2"/>
      </w:pPr>
      <w:r>
        <w:rPr>
          <w:rFonts w:hint="eastAsia"/>
        </w:rPr>
        <w:t xml:space="preserve">アナリストが重視した視点</w:t>
      </w:r>
    </w:p>
    <w:p>
      <w:pPr>
        <w:pStyle w:val="Compact"/>
        <w:numPr>
          <w:ilvl w:val="0"/>
          <w:numId w:val="1021"/>
        </w:numPr>
      </w:pPr>
      <w:r>
        <w:rPr>
          <w:rFonts w:hint="eastAsia"/>
        </w:rPr>
        <w:t xml:space="preserve">数値裏付けの有無が評価を大きく左右（退職率9%→70%、劇場的価値→10%）</w:t>
      </w:r>
    </w:p>
    <w:p>
      <w:pPr>
        <w:pStyle w:val="Compact"/>
        <w:numPr>
          <w:ilvl w:val="0"/>
          <w:numId w:val="1021"/>
        </w:numPr>
      </w:pPr>
      <w:r>
        <w:rPr>
          <w:rFonts w:hint="eastAsia"/>
        </w:rPr>
        <w:t xml:space="preserve">純粋競合（SAMS</w:t>
      </w:r>
      <w:r>
        <w:t xml:space="preserve"> CLUB, </w:t>
      </w:r>
      <w:r>
        <w:rPr>
          <w:rFonts w:hint="eastAsia"/>
        </w:rPr>
        <w:t xml:space="preserve">BJ’s）に対する差別化を要求</w:t>
      </w:r>
    </w:p>
    <w:p>
      <w:pPr>
        <w:pStyle w:val="Compact"/>
        <w:numPr>
          <w:ilvl w:val="0"/>
          <w:numId w:val="1021"/>
        </w:numPr>
      </w:pPr>
      <w:r>
        <w:rPr>
          <w:rFonts w:hint="eastAsia"/>
        </w:rPr>
        <w:t xml:space="preserve">構造的vs補完的の区分けを重視</w:t>
      </w:r>
    </w:p>
    <w:p>
      <w:pPr>
        <w:pStyle w:val="Compact"/>
        <w:numPr>
          <w:ilvl w:val="0"/>
          <w:numId w:val="1021"/>
        </w:numPr>
      </w:pPr>
      <w:r>
        <w:rPr>
          <w:rFonts w:hint="eastAsia"/>
        </w:rPr>
        <w:t xml:space="preserve">CAGR接続は検証可能性と直接性を重視（会員データ→90%、営業レバレッジ→20%）</w:t>
      </w:r>
    </w:p>
    <w:p>
      <w:r>
        <w:pict>
          <v:rect style="width:0;height:1.5pt" o:hralign="center" o:hrstd="t" o:hr="t"/>
        </w:pict>
      </w:r>
    </w:p>
    <w:bookmarkEnd w:id="35"/>
    <w:bookmarkEnd w:id="36"/>
    <w:bookmarkStart w:id="47" w:name="few-shot例-llyeli-lilly"/>
    <w:p>
      <w:pPr>
        <w:pStyle w:val="Heading1"/>
      </w:pPr>
      <w:r>
        <w:rPr>
          <w:rFonts w:hint="eastAsia"/>
        </w:rPr>
        <w:t xml:space="preserve">few-shot例:</w:t>
      </w:r>
      <w:r>
        <w:t xml:space="preserve"> </w:t>
      </w:r>
      <w:r>
        <w:rPr>
          <w:rFonts w:hint="eastAsia"/>
        </w:rPr>
        <w:t xml:space="preserve">LLY（Eli</w:t>
      </w:r>
      <w:r>
        <w:t xml:space="preserve"> </w:t>
      </w:r>
      <w:r>
        <w:rPr>
          <w:rFonts w:hint="eastAsia"/>
        </w:rPr>
        <w:t xml:space="preserve">Lilly）</w:t>
      </w:r>
    </w:p>
    <w:bookmarkStart w:id="37" w:name="銘柄概要-2"/>
    <w:p>
      <w:pPr>
        <w:pStyle w:val="Heading2"/>
      </w:pPr>
      <w:r>
        <w:rPr>
          <w:rFonts w:hint="eastAsia"/>
        </w:rPr>
        <w:t xml:space="preserve">銘柄概要</w:t>
      </w:r>
    </w:p>
    <w:p>
      <w:pPr>
        <w:pStyle w:val="Compact"/>
        <w:numPr>
          <w:ilvl w:val="0"/>
          <w:numId w:val="1022"/>
        </w:numPr>
      </w:pPr>
      <w:r>
        <w:rPr>
          <w:rFonts w:hint="eastAsia"/>
          <w:b/>
          <w:bCs/>
        </w:rPr>
        <w:t xml:space="preserve">平均優位性スコア</w:t>
      </w:r>
      <w:r>
        <w:t xml:space="preserve">: 47%</w:t>
      </w:r>
    </w:p>
    <w:p>
      <w:pPr>
        <w:pStyle w:val="Compact"/>
        <w:numPr>
          <w:ilvl w:val="0"/>
          <w:numId w:val="1022"/>
        </w:numPr>
      </w:pPr>
      <w:r>
        <w:rPr>
          <w:rFonts w:hint="eastAsia"/>
          <w:b/>
          <w:bCs/>
        </w:rPr>
        <w:t xml:space="preserve">特徴</w:t>
      </w:r>
      <w:r>
        <w:t xml:space="preserve">: </w:t>
      </w:r>
      <w:r>
        <w:rPr>
          <w:rFonts w:hint="eastAsia"/>
        </w:rPr>
        <w:t xml:space="preserve">業界共通能力を厳しく批判。REASONING段階での批判的推論の発見</w:t>
      </w:r>
    </w:p>
    <w:p>
      <w:pPr>
        <w:pStyle w:val="Compact"/>
        <w:numPr>
          <w:ilvl w:val="0"/>
          <w:numId w:val="1022"/>
        </w:numPr>
      </w:pPr>
      <w:r>
        <w:rPr>
          <w:rFonts w:hint="eastAsia"/>
          <w:b/>
          <w:bCs/>
        </w:rPr>
        <w:t xml:space="preserve">アナリストの重要な発見</w:t>
      </w:r>
      <w:r>
        <w:t xml:space="preserve">: </w:t>
      </w:r>
      <w:r>
        <w:rPr>
          <w:rFonts w:hint="eastAsia"/>
        </w:rPr>
        <w:t xml:space="preserve">AIのREASONING段階（最終出力の前段階）での指摘に有意なものがある。批判的推論が最終出力で消えないことを要求</w:t>
      </w:r>
    </w:p>
    <w:bookmarkEnd w:id="37"/>
    <w:bookmarkStart w:id="44" w:name="優位性スコア-2"/>
    <w:p>
      <w:pPr>
        <w:pStyle w:val="Heading2"/>
      </w:pPr>
      <w:r>
        <w:rPr>
          <w:rFonts w:hint="eastAsia"/>
        </w:rPr>
        <w:t xml:space="preserve">優位性スコア</w:t>
      </w:r>
    </w:p>
    <w:bookmarkStart w:id="38" w:name="複数の超大型市場への同時ポートフォリオ戦略50"/>
    <w:p>
      <w:pPr>
        <w:pStyle w:val="Heading3"/>
      </w:pPr>
      <w:r>
        <w:t xml:space="preserve">#1: </w:t>
      </w:r>
      <w:r>
        <w:rPr>
          <w:rFonts w:hint="eastAsia"/>
        </w:rPr>
        <w:t xml:space="preserve">複数の超大型市場への同時ポートフォリオ戦略（50%）</w:t>
      </w:r>
    </w:p>
    <w:p>
      <w:pPr>
        <w:pStyle w:val="Compact"/>
        <w:numPr>
          <w:ilvl w:val="0"/>
          <w:numId w:val="1023"/>
        </w:numPr>
      </w:pPr>
      <w:r>
        <w:rPr>
          <w:rFonts w:hint="eastAsia"/>
          <w:b/>
          <w:bCs/>
        </w:rPr>
        <w:t xml:space="preserve">アナリストの理由</w:t>
      </w:r>
      <w:r>
        <w:t xml:space="preserve">: </w:t>
      </w:r>
      <w:r>
        <w:rPr>
          <w:rFonts w:hint="eastAsia"/>
        </w:rPr>
        <w:t xml:space="preserve">単一薬品依存企業との比較では業績安定性への寄与あり。ただし「グローバル大手医薬品であれば売上は複数製品の薬剤ポートから構成されるものであり、大手間の優位性とはなりにくい」</w:t>
      </w:r>
    </w:p>
    <w:p>
      <w:pPr>
        <w:pStyle w:val="Compact"/>
        <w:numPr>
          <w:ilvl w:val="0"/>
          <w:numId w:val="1023"/>
        </w:numPr>
      </w:pPr>
      <w:r>
        <w:rPr>
          <w:rFonts w:hint="eastAsia"/>
          <w:b/>
          <w:bCs/>
        </w:rPr>
        <w:t xml:space="preserve">該当パターン</w:t>
      </w:r>
      <w:r>
        <w:t xml:space="preserve">: </w:t>
      </w:r>
      <w:r>
        <w:rPr>
          <w:rFonts w:hint="eastAsia"/>
        </w:rPr>
        <w:t xml:space="preserve">パターンB（業界共通で差別化にならない）</w:t>
      </w:r>
    </w:p>
    <w:p>
      <w:pPr>
        <w:pStyle w:val="Compact"/>
        <w:numPr>
          <w:ilvl w:val="0"/>
          <w:numId w:val="1023"/>
        </w:numPr>
      </w:pPr>
      <w:r>
        <w:rPr>
          <w:rFonts w:hint="eastAsia"/>
          <w:b/>
          <w:bCs/>
        </w:rPr>
        <w:t xml:space="preserve">CAGR接続</w:t>
      </w:r>
      <w:r>
        <w:t xml:space="preserve">: </w:t>
      </w:r>
      <w:r>
        <w:rPr>
          <w:rFonts w:hint="eastAsia"/>
        </w:rPr>
        <w:t xml:space="preserve">70%。製品ミックス変化がマージン改善を相殺する可能性の指摘は妥当</w:t>
      </w:r>
    </w:p>
    <w:bookmarkEnd w:id="38"/>
    <w:bookmarkStart w:id="39" w:name="低分子型経口glp-1作動薬における技術的差別化70"/>
    <w:p>
      <w:pPr>
        <w:pStyle w:val="Heading3"/>
      </w:pPr>
      <w:r>
        <w:t xml:space="preserve">#2: </w:t>
      </w:r>
      <w:r>
        <w:rPr>
          <w:rFonts w:hint="eastAsia"/>
        </w:rPr>
        <w:t xml:space="preserve">低分子型経口GLP-1作動薬における技術的差別化（70%）</w:t>
      </w:r>
    </w:p>
    <w:p>
      <w:pPr>
        <w:pStyle w:val="Compact"/>
        <w:numPr>
          <w:ilvl w:val="0"/>
          <w:numId w:val="1024"/>
        </w:numPr>
      </w:pPr>
      <w:r>
        <w:rPr>
          <w:rFonts w:hint="eastAsia"/>
          <w:b/>
          <w:bCs/>
        </w:rPr>
        <w:t xml:space="preserve">アナリストの理由</w:t>
      </w:r>
      <w:r>
        <w:t xml:space="preserve">: </w:t>
      </w:r>
      <w:r>
        <w:rPr>
          <w:rFonts w:hint="eastAsia"/>
        </w:rPr>
        <w:t xml:space="preserve">Novo対比で食事制限・製造面での優位性が確認されている。注射剤より差別化が明確</w:t>
      </w:r>
    </w:p>
    <w:p>
      <w:pPr>
        <w:pStyle w:val="Compact"/>
        <w:numPr>
          <w:ilvl w:val="0"/>
          <w:numId w:val="1024"/>
        </w:numPr>
      </w:pPr>
      <w:r>
        <w:rPr>
          <w:rFonts w:hint="eastAsia"/>
          <w:b/>
          <w:bCs/>
        </w:rPr>
        <w:t xml:space="preserve">アナリストの指摘</w:t>
      </w:r>
      <w:r>
        <w:t xml:space="preserve">: </w:t>
      </w:r>
      <w:r>
        <w:rPr>
          <w:rFonts w:hint="eastAsia"/>
        </w:rPr>
        <w:t xml:space="preserve">「なぜ低分子製法を選別したのか、また選別し得たのかなどの競争優位性の根源要因への言及は不足」</w:t>
      </w:r>
    </w:p>
    <w:p>
      <w:pPr>
        <w:pStyle w:val="Compact"/>
        <w:numPr>
          <w:ilvl w:val="0"/>
          <w:numId w:val="1024"/>
        </w:numPr>
      </w:pPr>
      <w:r>
        <w:rPr>
          <w:rFonts w:hint="eastAsia"/>
          <w:b/>
          <w:bCs/>
        </w:rPr>
        <w:t xml:space="preserve">該当パターン</w:t>
      </w:r>
      <w:r>
        <w:t xml:space="preserve">: </w:t>
      </w:r>
      <w:r>
        <w:rPr>
          <w:rFonts w:hint="eastAsia"/>
        </w:rPr>
        <w:t xml:space="preserve">パターンV（競合との具体的比較）</w:t>
      </w:r>
    </w:p>
    <w:p>
      <w:pPr>
        <w:pStyle w:val="Compact"/>
        <w:numPr>
          <w:ilvl w:val="0"/>
          <w:numId w:val="1024"/>
        </w:numPr>
      </w:pPr>
      <w:r>
        <w:rPr>
          <w:rFonts w:hint="eastAsia"/>
          <w:b/>
          <w:bCs/>
        </w:rPr>
        <w:t xml:space="preserve">CAGR接続</w:t>
      </w:r>
      <w:r>
        <w:t xml:space="preserve">: 70%</w:t>
      </w:r>
    </w:p>
    <w:bookmarkEnd w:id="39"/>
    <w:bookmarkStart w:id="40" w:name="アルツハイマー領域における複数メカニズムの多面的開発戦略30"/>
    <w:p>
      <w:pPr>
        <w:pStyle w:val="Heading3"/>
      </w:pPr>
      <w:r>
        <w:t xml:space="preserve">#3: </w:t>
      </w:r>
      <w:r>
        <w:rPr>
          <w:rFonts w:hint="eastAsia"/>
        </w:rPr>
        <w:t xml:space="preserve">アルツハイマー領域における複数メカニズムの多面的開発戦略（30%）</w:t>
      </w:r>
    </w:p>
    <w:p>
      <w:pPr>
        <w:pStyle w:val="Compact"/>
        <w:numPr>
          <w:ilvl w:val="0"/>
          <w:numId w:val="1025"/>
        </w:numPr>
      </w:pPr>
      <w:r>
        <w:rPr>
          <w:rFonts w:hint="eastAsia"/>
          <w:b/>
          <w:bCs/>
        </w:rPr>
        <w:t xml:space="preserve">アナリストの理由</w:t>
      </w:r>
      <w:r>
        <w:t xml:space="preserve">: </w:t>
      </w:r>
      <w:r>
        <w:rPr>
          <w:rFonts w:hint="eastAsia"/>
        </w:rPr>
        <w:t xml:space="preserve">同一治療領域での複数メカニズムへの取り組みが優位性につながるとは限らない</w:t>
      </w:r>
    </w:p>
    <w:p>
      <w:pPr>
        <w:pStyle w:val="Compact"/>
        <w:numPr>
          <w:ilvl w:val="0"/>
          <w:numId w:val="1025"/>
        </w:numPr>
      </w:pPr>
      <w:r>
        <w:rPr>
          <w:rFonts w:hint="eastAsia"/>
          <w:b/>
          <w:bCs/>
        </w:rPr>
        <w:t xml:space="preserve">CAGR接続</w:t>
      </w:r>
      <w:r>
        <w:t xml:space="preserve">: </w:t>
      </w:r>
      <w:r>
        <w:rPr>
          <w:rFonts w:hint="eastAsia"/>
        </w:rPr>
        <w:t xml:space="preserve">30%。開発失敗リスク高く、売上寄与の確度は低い</w:t>
      </w:r>
    </w:p>
    <w:bookmarkEnd w:id="40"/>
    <w:bookmarkStart w:id="41" w:name="アルツハイマー領域における長期的な臨床開発ノウハウの蓄積50"/>
    <w:p>
      <w:pPr>
        <w:pStyle w:val="Heading3"/>
      </w:pPr>
      <w:r>
        <w:t xml:space="preserve">#4: </w:t>
      </w:r>
      <w:r>
        <w:rPr>
          <w:rFonts w:hint="eastAsia"/>
        </w:rPr>
        <w:t xml:space="preserve">アルツハイマー領域における長期的な臨床開発ノウハウの蓄積（50%）</w:t>
      </w:r>
    </w:p>
    <w:p>
      <w:pPr>
        <w:pStyle w:val="Compact"/>
        <w:numPr>
          <w:ilvl w:val="0"/>
          <w:numId w:val="1026"/>
        </w:numPr>
      </w:pPr>
      <w:r>
        <w:rPr>
          <w:rFonts w:hint="eastAsia"/>
          <w:b/>
          <w:bCs/>
        </w:rPr>
        <w:t xml:space="preserve">アナリストの理由</w:t>
      </w:r>
      <w:r>
        <w:t xml:space="preserve">: </w:t>
      </w:r>
      <w:r>
        <w:rPr>
          <w:rFonts w:hint="eastAsia"/>
        </w:rPr>
        <w:t xml:space="preserve">長年の研究開発による知見蓄積は妥当も、2時点のコメントで15年以上とするのは違和感</w:t>
      </w:r>
    </w:p>
    <w:p>
      <w:pPr>
        <w:pStyle w:val="Compact"/>
        <w:numPr>
          <w:ilvl w:val="0"/>
          <w:numId w:val="1026"/>
        </w:numPr>
      </w:pPr>
      <w:r>
        <w:rPr>
          <w:rFonts w:hint="eastAsia"/>
          <w:b/>
          <w:bCs/>
        </w:rPr>
        <w:t xml:space="preserve">アナリストの重要指摘</w:t>
      </w:r>
      <w:r>
        <w:t xml:space="preserve">: </w:t>
      </w:r>
      <w:r>
        <w:rPr>
          <w:rFonts w:hint="eastAsia"/>
        </w:rPr>
        <w:t xml:space="preserve">「優位性の評価はCAGR数値のみでなく、その数値の達成確度も含めて評価すべき」</w:t>
      </w:r>
    </w:p>
    <w:p>
      <w:pPr>
        <w:pStyle w:val="Compact"/>
        <w:numPr>
          <w:ilvl w:val="0"/>
          <w:numId w:val="1026"/>
        </w:numPr>
      </w:pPr>
      <w:r>
        <w:rPr>
          <w:rFonts w:hint="eastAsia"/>
          <w:b/>
          <w:bCs/>
        </w:rPr>
        <w:t xml:space="preserve">CAGR接続</w:t>
      </w:r>
      <w:r>
        <w:t xml:space="preserve">: </w:t>
      </w:r>
      <w:r>
        <w:rPr>
          <w:rFonts w:hint="eastAsia"/>
        </w:rPr>
        <w:t xml:space="preserve">30%。達成確度と数値パラメータ寄与を厳密に分離</w:t>
      </w:r>
    </w:p>
    <w:bookmarkEnd w:id="41"/>
    <w:bookmarkStart w:id="42" w:name="既承認glp-1製品mounjaroによる市場ポジション確立50"/>
    <w:p>
      <w:pPr>
        <w:pStyle w:val="Heading3"/>
      </w:pPr>
      <w:r>
        <w:t xml:space="preserve">#5: </w:t>
      </w:r>
      <w:r>
        <w:rPr>
          <w:rFonts w:hint="eastAsia"/>
        </w:rPr>
        <w:t xml:space="preserve">既承認GLP-1製品(Mounjaro)による市場ポジション確立（50%）</w:t>
      </w:r>
    </w:p>
    <w:p>
      <w:pPr>
        <w:pStyle w:val="Compact"/>
        <w:numPr>
          <w:ilvl w:val="0"/>
          <w:numId w:val="1027"/>
        </w:numPr>
      </w:pPr>
      <w:r>
        <w:rPr>
          <w:rFonts w:hint="eastAsia"/>
          <w:b/>
          <w:bCs/>
        </w:rPr>
        <w:t xml:space="preserve">アナリストの理由</w:t>
      </w:r>
      <w:r>
        <w:t xml:space="preserve">: </w:t>
      </w:r>
      <w:r>
        <w:rPr>
          <w:rFonts w:hint="eastAsia"/>
        </w:rPr>
        <w:t xml:space="preserve">慢性疾患（糖尿・肥満症）での粘着性は重要。規模の効果、注射→経口移行時の粘着性効果も一定程度期待</w:t>
      </w:r>
    </w:p>
    <w:p>
      <w:pPr>
        <w:pStyle w:val="Compact"/>
        <w:numPr>
          <w:ilvl w:val="0"/>
          <w:numId w:val="1027"/>
        </w:numPr>
      </w:pPr>
      <w:r>
        <w:rPr>
          <w:rFonts w:hint="eastAsia"/>
          <w:b/>
          <w:bCs/>
        </w:rPr>
        <w:t xml:space="preserve">CAGR接続</w:t>
      </w:r>
      <w:r>
        <w:t xml:space="preserve">: 70%</w:t>
      </w:r>
    </w:p>
    <w:bookmarkEnd w:id="42"/>
    <w:bookmarkStart w:id="43" w:name="グローバル医療機関ネットワークと医学情報提供体制30"/>
    <w:p>
      <w:pPr>
        <w:pStyle w:val="Heading3"/>
      </w:pPr>
      <w:r>
        <w:t xml:space="preserve">#6: </w:t>
      </w:r>
      <w:r>
        <w:rPr>
          <w:rFonts w:hint="eastAsia"/>
        </w:rPr>
        <w:t xml:space="preserve">グローバル医療機関ネットワークと医学情報提供体制（30%）</w:t>
      </w:r>
    </w:p>
    <w:p>
      <w:pPr>
        <w:pStyle w:val="Compact"/>
        <w:numPr>
          <w:ilvl w:val="0"/>
          <w:numId w:val="1028"/>
        </w:numPr>
      </w:pPr>
      <w:r>
        <w:rPr>
          <w:rFonts w:hint="eastAsia"/>
          <w:b/>
          <w:bCs/>
        </w:rPr>
        <w:t xml:space="preserve">アナリストの理由</w:t>
      </w:r>
      <w:r>
        <w:t xml:space="preserve">: </w:t>
      </w:r>
      <w:r>
        <w:rPr>
          <w:rFonts w:hint="eastAsia"/>
        </w:rPr>
        <w:t xml:space="preserve">「グローバル大手医薬品であればほぼ同等に備わっているネットワークであり、大手間での優位性とはなりにくい」</w:t>
      </w:r>
    </w:p>
    <w:p>
      <w:pPr>
        <w:pStyle w:val="Compact"/>
        <w:numPr>
          <w:ilvl w:val="0"/>
          <w:numId w:val="1028"/>
        </w:numPr>
      </w:pPr>
      <w:r>
        <w:rPr>
          <w:rFonts w:hint="eastAsia"/>
          <w:b/>
          <w:bCs/>
        </w:rPr>
        <w:t xml:space="preserve">該当パターン</w:t>
      </w:r>
      <w:r>
        <w:t xml:space="preserve">: </w:t>
      </w:r>
      <w:r>
        <w:rPr>
          <w:rFonts w:hint="eastAsia"/>
        </w:rPr>
        <w:t xml:space="preserve">パターンB（業界共通で差別化にならない）</w:t>
      </w:r>
    </w:p>
    <w:p>
      <w:pPr>
        <w:pStyle w:val="Compact"/>
        <w:numPr>
          <w:ilvl w:val="0"/>
          <w:numId w:val="1028"/>
        </w:numPr>
      </w:pPr>
      <w:r>
        <w:rPr>
          <w:rFonts w:hint="eastAsia"/>
          <w:b/>
          <w:bCs/>
        </w:rPr>
        <w:t xml:space="preserve">CAGR接続</w:t>
      </w:r>
      <w:r>
        <w:t xml:space="preserve">: </w:t>
      </w:r>
      <w:r>
        <w:rPr>
          <w:rFonts w:hint="eastAsia"/>
        </w:rPr>
        <w:t xml:space="preserve">50%。数値+1-2%/+1-2%は背景不明</w:t>
      </w:r>
    </w:p>
    <w:bookmarkEnd w:id="43"/>
    <w:bookmarkEnd w:id="44"/>
    <w:bookmarkStart w:id="45" w:name="reasoning段階の有意な指摘アナリストが注目したai出力"/>
    <w:p>
      <w:pPr>
        <w:pStyle w:val="Heading2"/>
      </w:pPr>
      <w:r>
        <w:rPr>
          <w:rFonts w:hint="eastAsia"/>
        </w:rPr>
        <w:t xml:space="preserve">REASONING段階の有意な指摘（アナリストが注目したAI出力）</w:t>
      </w:r>
    </w:p>
    <w:p>
      <w:pPr>
        <w:pStyle w:val="BlockText"/>
      </w:pPr>
      <w:r>
        <w:rPr>
          <w:rFonts w:hint="eastAsia"/>
        </w:rPr>
        <w:t xml:space="preserve">「これらの強みはメガファーマのほぼすべてが保有しているのではないか。競争優位性として機能するには、相対的に際立つ必要がある」</w:t>
      </w:r>
    </w:p>
    <w:p>
      <w:pPr>
        <w:pStyle w:val="BlockText"/>
      </w:pPr>
      <w:r>
        <w:rPr>
          <w:rFonts w:hint="eastAsia"/>
        </w:rPr>
        <w:t xml:space="preserve">「優位性は『名詞』で表現される属性であり、ブランド力、スイッチングコスト、エコシステム、技術力、ノウハウ…」</w:t>
      </w:r>
    </w:p>
    <w:p>
      <w:pPr>
        <w:pStyle w:val="BlockText"/>
      </w:pPr>
      <w:r>
        <w:rPr>
          <w:rFonts w:hint="eastAsia"/>
        </w:rPr>
        <w:t xml:space="preserve">「TSMCの例を見直すと、彼らが挙げている優位性は全て『相対的な競争力そのもの』だ」</w:t>
      </w:r>
    </w:p>
    <w:bookmarkEnd w:id="45"/>
    <w:bookmarkStart w:id="46" w:name="アナリストが重視した視点-2"/>
    <w:p>
      <w:pPr>
        <w:pStyle w:val="Heading2"/>
      </w:pPr>
      <w:r>
        <w:rPr>
          <w:rFonts w:hint="eastAsia"/>
        </w:rPr>
        <w:t xml:space="preserve">アナリストが重視した視点</w:t>
      </w:r>
    </w:p>
    <w:p>
      <w:pPr>
        <w:pStyle w:val="Compact"/>
        <w:numPr>
          <w:ilvl w:val="0"/>
          <w:numId w:val="1029"/>
        </w:numPr>
      </w:pPr>
      <w:r>
        <w:rPr>
          <w:rFonts w:hint="eastAsia"/>
        </w:rPr>
        <w:t xml:space="preserve">「メガファーマ共通」の能力は優位性として認めない（ルール3の厳格適用）</w:t>
      </w:r>
    </w:p>
    <w:p>
      <w:pPr>
        <w:pStyle w:val="Compact"/>
        <w:numPr>
          <w:ilvl w:val="0"/>
          <w:numId w:val="1029"/>
        </w:numPr>
      </w:pPr>
      <w:r>
        <w:rPr>
          <w:rFonts w:hint="eastAsia"/>
        </w:rPr>
        <w:t xml:space="preserve">REASONING段階での批判的推論が最終出力で消えないことを最重視</w:t>
      </w:r>
    </w:p>
    <w:p>
      <w:pPr>
        <w:pStyle w:val="Compact"/>
        <w:numPr>
          <w:ilvl w:val="0"/>
          <w:numId w:val="1029"/>
        </w:numPr>
      </w:pPr>
      <w:r>
        <w:rPr>
          <w:rFonts w:hint="eastAsia"/>
        </w:rPr>
        <w:t xml:space="preserve">確度とCAGRパラメータ寄与の独立評価</w:t>
      </w:r>
    </w:p>
    <w:p>
      <w:pPr>
        <w:pStyle w:val="Compact"/>
        <w:numPr>
          <w:ilvl w:val="0"/>
          <w:numId w:val="1029"/>
        </w:numPr>
      </w:pPr>
      <w:r>
        <w:rPr>
          <w:rFonts w:hint="eastAsia"/>
        </w:rPr>
        <w:t xml:space="preserve">「なぜその能力を持ちえたのか」（根源要因）への言及を要求</w:t>
      </w:r>
    </w:p>
    <w:p>
      <w:r>
        <w:pict>
          <v:rect style="width:0;height:1.5pt" o:hralign="center" o:hrstd="t" o:hr="t"/>
        </w:pict>
      </w:r>
    </w:p>
    <w:bookmarkEnd w:id="46"/>
    <w:bookmarkEnd w:id="47"/>
    <w:bookmarkStart w:id="57" w:name="few-shot例-mnstmonster-beverage"/>
    <w:p>
      <w:pPr>
        <w:pStyle w:val="Heading1"/>
      </w:pPr>
      <w:r>
        <w:rPr>
          <w:rFonts w:hint="eastAsia"/>
        </w:rPr>
        <w:t xml:space="preserve">few-shot例:</w:t>
      </w:r>
      <w:r>
        <w:t xml:space="preserve"> </w:t>
      </w:r>
      <w:r>
        <w:rPr>
          <w:rFonts w:hint="eastAsia"/>
        </w:rPr>
        <w:t xml:space="preserve">MNST（Monster</w:t>
      </w:r>
      <w:r>
        <w:t xml:space="preserve"> </w:t>
      </w:r>
      <w:r>
        <w:rPr>
          <w:rFonts w:hint="eastAsia"/>
        </w:rPr>
        <w:t xml:space="preserve">Beverage）</w:t>
      </w:r>
    </w:p>
    <w:bookmarkStart w:id="48" w:name="銘柄概要-3"/>
    <w:p>
      <w:pPr>
        <w:pStyle w:val="Heading2"/>
      </w:pPr>
      <w:r>
        <w:rPr>
          <w:rFonts w:hint="eastAsia"/>
        </w:rPr>
        <w:t xml:space="preserve">銘柄概要</w:t>
      </w:r>
    </w:p>
    <w:p>
      <w:pPr>
        <w:pStyle w:val="Compact"/>
        <w:numPr>
          <w:ilvl w:val="0"/>
          <w:numId w:val="1030"/>
        </w:numPr>
      </w:pPr>
      <w:r>
        <w:rPr>
          <w:rFonts w:hint="eastAsia"/>
          <w:b/>
          <w:bCs/>
        </w:rPr>
        <w:t xml:space="preserve">平均優位性スコア</w:t>
      </w:r>
      <w:r>
        <w:t xml:space="preserve">: 40%</w:t>
      </w:r>
    </w:p>
    <w:p>
      <w:pPr>
        <w:pStyle w:val="Compact"/>
        <w:numPr>
          <w:ilvl w:val="0"/>
          <w:numId w:val="1030"/>
        </w:numPr>
      </w:pPr>
      <w:r>
        <w:rPr>
          <w:rFonts w:hint="eastAsia"/>
          <w:b/>
          <w:bCs/>
        </w:rPr>
        <w:t xml:space="preserve">特徴</w:t>
      </w:r>
      <w:r>
        <w:t xml:space="preserve">: </w:t>
      </w:r>
      <w:r>
        <w:rPr>
          <w:rFonts w:hint="eastAsia"/>
        </w:rPr>
        <w:t xml:space="preserve">シェア=結果の原則を厳格適用。ブランド力評価フレームワークを展開</w:t>
      </w:r>
    </w:p>
    <w:p>
      <w:pPr>
        <w:pStyle w:val="Compact"/>
        <w:numPr>
          <w:ilvl w:val="0"/>
          <w:numId w:val="1030"/>
        </w:numPr>
      </w:pPr>
      <w:r>
        <w:rPr>
          <w:rFonts w:hint="eastAsia"/>
          <w:b/>
          <w:bCs/>
        </w:rPr>
        <w:t xml:space="preserve">アナリストの特記事項</w:t>
      </w:r>
      <w:r>
        <w:t xml:space="preserve">: </w:t>
      </w:r>
      <w:r>
        <w:rPr>
          <w:rFonts w:hint="eastAsia"/>
        </w:rPr>
        <w:t xml:space="preserve">ブランド力に対する4類型の評価体系を本銘柄で詳細に展開</w:t>
      </w:r>
    </w:p>
    <w:bookmarkEnd w:id="48"/>
    <w:bookmarkStart w:id="55" w:name="優位性スコア-3"/>
    <w:p>
      <w:pPr>
        <w:pStyle w:val="Heading2"/>
      </w:pPr>
      <w:r>
        <w:rPr>
          <w:rFonts w:hint="eastAsia"/>
        </w:rPr>
        <w:t xml:space="preserve">優位性スコア</w:t>
      </w:r>
    </w:p>
    <w:bookmarkStart w:id="49" w:name="米国を中心とした圧倒的なブランド力と市場シェア50"/>
    <w:p>
      <w:pPr>
        <w:pStyle w:val="Heading3"/>
      </w:pPr>
      <w:r>
        <w:t xml:space="preserve">#1: </w:t>
      </w:r>
      <w:r>
        <w:rPr>
          <w:rFonts w:hint="eastAsia"/>
        </w:rPr>
        <w:t xml:space="preserve">米国を中心とした圧倒的なブランド力と市場シェア（50%）</w:t>
      </w:r>
    </w:p>
    <w:p>
      <w:pPr>
        <w:pStyle w:val="Compact"/>
        <w:numPr>
          <w:ilvl w:val="0"/>
          <w:numId w:val="1031"/>
        </w:numPr>
      </w:pPr>
      <w:r>
        <w:rPr>
          <w:rFonts w:hint="eastAsia"/>
          <w:b/>
          <w:bCs/>
        </w:rPr>
        <w:t xml:space="preserve">アナリストの理由</w:t>
      </w:r>
      <w:r>
        <w:t xml:space="preserve">: </w:t>
      </w:r>
      <w:r>
        <w:rPr>
          <w:rFonts w:hint="eastAsia"/>
        </w:rPr>
        <w:t xml:space="preserve">「シェアはあくまで結果であり、どのようにブランド価値を蓄積、維持しているかなどの背後要因が乏しい」</w:t>
      </w:r>
    </w:p>
    <w:p>
      <w:pPr>
        <w:pStyle w:val="Compact"/>
        <w:numPr>
          <w:ilvl w:val="0"/>
          <w:numId w:val="1031"/>
        </w:numPr>
      </w:pPr>
      <w:r>
        <w:rPr>
          <w:rFonts w:hint="eastAsia"/>
          <w:b/>
          <w:bCs/>
        </w:rPr>
        <w:t xml:space="preserve">アナリストの追加</w:t>
      </w:r>
      <w:r>
        <w:t xml:space="preserve">: </w:t>
      </w:r>
      <w:r>
        <w:rPr>
          <w:rFonts w:hint="eastAsia"/>
        </w:rPr>
        <w:t xml:space="preserve">ブランド力4類型（ポート運営力、知名度、価値維持/通貨代替、キーパーソン取込）での評価基準を展開</w:t>
      </w:r>
    </w:p>
    <w:p>
      <w:pPr>
        <w:pStyle w:val="Compact"/>
        <w:numPr>
          <w:ilvl w:val="0"/>
          <w:numId w:val="1031"/>
        </w:numPr>
      </w:pPr>
      <w:r>
        <w:rPr>
          <w:rFonts w:hint="eastAsia"/>
          <w:b/>
          <w:bCs/>
        </w:rPr>
        <w:t xml:space="preserve">該当パターン</w:t>
      </w:r>
      <w:r>
        <w:t xml:space="preserve">: </w:t>
      </w:r>
      <w:r>
        <w:rPr>
          <w:rFonts w:hint="eastAsia"/>
        </w:rPr>
        <w:t xml:space="preserve">パターンA（結果を原因と取り違え）</w:t>
      </w:r>
    </w:p>
    <w:p>
      <w:pPr>
        <w:pStyle w:val="Compact"/>
        <w:numPr>
          <w:ilvl w:val="0"/>
          <w:numId w:val="1031"/>
        </w:numPr>
      </w:pPr>
      <w:r>
        <w:rPr>
          <w:rFonts w:hint="eastAsia"/>
          <w:b/>
          <w:bCs/>
        </w:rPr>
        <w:t xml:space="preserve">CAGR接続</w:t>
      </w:r>
      <w:r>
        <w:t xml:space="preserve">: 50%</w:t>
      </w:r>
    </w:p>
    <w:bookmarkEnd w:id="49"/>
    <w:bookmarkStart w:id="50" w:name="コカコーラとの戦略的パートナーシップ30"/>
    <w:p>
      <w:pPr>
        <w:pStyle w:val="Heading3"/>
      </w:pPr>
      <w:r>
        <w:t xml:space="preserve">#2: </w:t>
      </w:r>
      <w:r>
        <w:rPr>
          <w:rFonts w:hint="eastAsia"/>
        </w:rPr>
        <w:t xml:space="preserve">コカ・コーラとの戦略的パートナーシップ（30%）</w:t>
      </w:r>
    </w:p>
    <w:p>
      <w:pPr>
        <w:pStyle w:val="Compact"/>
        <w:numPr>
          <w:ilvl w:val="0"/>
          <w:numId w:val="1032"/>
        </w:numPr>
      </w:pPr>
      <w:r>
        <w:rPr>
          <w:rFonts w:hint="eastAsia"/>
          <w:b/>
          <w:bCs/>
        </w:rPr>
        <w:t xml:space="preserve">アナリストの理由</w:t>
      </w:r>
      <w:r>
        <w:t xml:space="preserve">: </w:t>
      </w:r>
      <w:r>
        <w:rPr>
          <w:rFonts w:hint="eastAsia"/>
        </w:rPr>
        <w:t xml:space="preserve">REDBULLは自社流通網、CelsiusはPepsiCoと提携。流通網の優劣はつけがたい。「少なくともCelsiusとMNSTは同等と判断」</w:t>
      </w:r>
    </w:p>
    <w:p>
      <w:pPr>
        <w:pStyle w:val="Compact"/>
        <w:numPr>
          <w:ilvl w:val="0"/>
          <w:numId w:val="1032"/>
        </w:numPr>
      </w:pPr>
      <w:r>
        <w:rPr>
          <w:rFonts w:hint="eastAsia"/>
          <w:b/>
          <w:bCs/>
        </w:rPr>
        <w:t xml:space="preserve">該当パターン</w:t>
      </w:r>
      <w:r>
        <w:t xml:space="preserve">: </w:t>
      </w:r>
      <w:r>
        <w:rPr>
          <w:rFonts w:hint="eastAsia"/>
        </w:rPr>
        <w:t xml:space="preserve">パターンG（純粋競合に対する優位性不明）</w:t>
      </w:r>
    </w:p>
    <w:p>
      <w:pPr>
        <w:pStyle w:val="Compact"/>
        <w:numPr>
          <w:ilvl w:val="0"/>
          <w:numId w:val="1032"/>
        </w:numPr>
      </w:pPr>
      <w:r>
        <w:rPr>
          <w:rFonts w:hint="eastAsia"/>
          <w:b/>
          <w:bCs/>
        </w:rPr>
        <w:t xml:space="preserve">CAGR接続</w:t>
      </w:r>
      <w:r>
        <w:t xml:space="preserve">: 50%</w:t>
      </w:r>
    </w:p>
    <w:bookmarkEnd w:id="50"/>
    <w:bookmarkStart w:id="51" w:name="継続的なイノベーション能力50"/>
    <w:p>
      <w:pPr>
        <w:pStyle w:val="Heading3"/>
      </w:pPr>
      <w:r>
        <w:t xml:space="preserve">#3: </w:t>
      </w:r>
      <w:r>
        <w:rPr>
          <w:rFonts w:hint="eastAsia"/>
        </w:rPr>
        <w:t xml:space="preserve">継続的なイノベーション能力（50%）</w:t>
      </w:r>
    </w:p>
    <w:p>
      <w:pPr>
        <w:pStyle w:val="Compact"/>
        <w:numPr>
          <w:ilvl w:val="0"/>
          <w:numId w:val="1033"/>
        </w:numPr>
      </w:pPr>
      <w:r>
        <w:rPr>
          <w:rFonts w:hint="eastAsia"/>
          <w:b/>
          <w:bCs/>
        </w:rPr>
        <w:t xml:space="preserve">アナリストの理由</w:t>
      </w:r>
      <w:r>
        <w:t xml:space="preserve">: </w:t>
      </w:r>
      <w:r>
        <w:rPr>
          <w:rFonts w:hint="eastAsia"/>
        </w:rPr>
        <w:t xml:space="preserve">シェア4割維持中、消費トレンド変化への対応はあると思われる。ただしイノベーションそのものの優位性評価はしがたく、結果としてのシェア動向に依存</w:t>
      </w:r>
    </w:p>
    <w:p>
      <w:pPr>
        <w:pStyle w:val="Compact"/>
        <w:numPr>
          <w:ilvl w:val="0"/>
          <w:numId w:val="1033"/>
        </w:numPr>
      </w:pPr>
      <w:r>
        <w:rPr>
          <w:rFonts w:hint="eastAsia"/>
          <w:b/>
          <w:bCs/>
        </w:rPr>
        <w:t xml:space="preserve">CAGR接続</w:t>
      </w:r>
      <w:r>
        <w:t xml:space="preserve">: </w:t>
      </w:r>
      <w:r>
        <w:rPr>
          <w:rFonts w:hint="eastAsia"/>
        </w:rPr>
        <w:t xml:space="preserve">70%。製品ラインアップ・イノベーションが奏功すれば数量寄与は妥当</w:t>
      </w:r>
    </w:p>
    <w:bookmarkEnd w:id="51"/>
    <w:bookmarkStart w:id="52" w:name="複数ブランド保有による消費者層の多層化70"/>
    <w:p>
      <w:pPr>
        <w:pStyle w:val="Heading3"/>
      </w:pPr>
      <w:r>
        <w:t xml:space="preserve">#4: </w:t>
      </w:r>
      <w:r>
        <w:rPr>
          <w:rFonts w:hint="eastAsia"/>
        </w:rPr>
        <w:t xml:space="preserve">複数ブランド保有による消費者層の多層化（70%）</w:t>
      </w:r>
    </w:p>
    <w:p>
      <w:pPr>
        <w:pStyle w:val="Compact"/>
        <w:numPr>
          <w:ilvl w:val="0"/>
          <w:numId w:val="1034"/>
        </w:numPr>
      </w:pPr>
      <w:r>
        <w:rPr>
          <w:rFonts w:hint="eastAsia"/>
          <w:b/>
          <w:bCs/>
        </w:rPr>
        <w:t xml:space="preserve">アナリストの理由</w:t>
      </w:r>
      <w:r>
        <w:t xml:space="preserve">: </w:t>
      </w:r>
      <w:r>
        <w:rPr>
          <w:rFonts w:hint="eastAsia"/>
        </w:rPr>
        <w:t xml:space="preserve">消費者や地域のセグメント分けのち、必要なブランドを補充している点は説得的。REDBULLとの対比（単一ブランド</w:t>
      </w:r>
      <w:r>
        <w:t xml:space="preserve"> vs </w:t>
      </w:r>
      <w:r>
        <w:rPr>
          <w:rFonts w:hint="eastAsia"/>
        </w:rPr>
        <w:t xml:space="preserve">複数ブランド）が明確</w:t>
      </w:r>
    </w:p>
    <w:p>
      <w:pPr>
        <w:pStyle w:val="Compact"/>
        <w:numPr>
          <w:ilvl w:val="0"/>
          <w:numId w:val="1034"/>
        </w:numPr>
      </w:pPr>
      <w:r>
        <w:rPr>
          <w:rFonts w:hint="eastAsia"/>
          <w:b/>
          <w:bCs/>
        </w:rPr>
        <w:t xml:space="preserve">該当パターン</w:t>
      </w:r>
      <w:r>
        <w:t xml:space="preserve">: </w:t>
      </w:r>
      <w:r>
        <w:rPr>
          <w:rFonts w:hint="eastAsia"/>
        </w:rPr>
        <w:t xml:space="preserve">パターンV（競合との具体的比較）</w:t>
      </w:r>
    </w:p>
    <w:p>
      <w:pPr>
        <w:pStyle w:val="Compact"/>
        <w:numPr>
          <w:ilvl w:val="0"/>
          <w:numId w:val="1034"/>
        </w:numPr>
      </w:pPr>
      <w:r>
        <w:rPr>
          <w:rFonts w:hint="eastAsia"/>
          <w:b/>
          <w:bCs/>
        </w:rPr>
        <w:t xml:space="preserve">CAGR接続</w:t>
      </w:r>
      <w:r>
        <w:t xml:space="preserve">: 70%</w:t>
      </w:r>
    </w:p>
    <w:bookmarkEnd w:id="52"/>
    <w:bookmarkStart w:id="53" w:name="北米低所得者層における習慣的消費基盤30"/>
    <w:p>
      <w:pPr>
        <w:pStyle w:val="Heading3"/>
      </w:pPr>
      <w:r>
        <w:t xml:space="preserve">#5: </w:t>
      </w:r>
      <w:r>
        <w:rPr>
          <w:rFonts w:hint="eastAsia"/>
        </w:rPr>
        <w:t xml:space="preserve">北米低所得者層における習慣的消費基盤（30%）</w:t>
      </w:r>
    </w:p>
    <w:p>
      <w:pPr>
        <w:pStyle w:val="Compact"/>
        <w:numPr>
          <w:ilvl w:val="0"/>
          <w:numId w:val="1035"/>
        </w:numPr>
      </w:pPr>
      <w:r>
        <w:rPr>
          <w:rFonts w:hint="eastAsia"/>
          <w:b/>
          <w:bCs/>
        </w:rPr>
        <w:t xml:space="preserve">アナリストの理由</w:t>
      </w:r>
      <w:r>
        <w:t xml:space="preserve">: </w:t>
      </w:r>
      <w:r>
        <w:rPr>
          <w:rFonts w:hint="eastAsia"/>
        </w:rPr>
        <w:t xml:space="preserve">「低所得→コンビニ購買率高い→粘着力高い」は飛躍的解釈。REDBURN社レポートからの廉価セグメントへの位置づけは参考</w:t>
      </w:r>
    </w:p>
    <w:p>
      <w:pPr>
        <w:pStyle w:val="Compact"/>
        <w:numPr>
          <w:ilvl w:val="0"/>
          <w:numId w:val="1035"/>
        </w:numPr>
      </w:pPr>
      <w:r>
        <w:rPr>
          <w:rFonts w:hint="eastAsia"/>
          <w:b/>
          <w:bCs/>
        </w:rPr>
        <w:t xml:space="preserve">該当パターン</w:t>
      </w:r>
      <w:r>
        <w:t xml:space="preserve">: </w:t>
      </w:r>
      <w:r>
        <w:rPr>
          <w:rFonts w:hint="eastAsia"/>
        </w:rPr>
        <w:t xml:space="preserve">パターンC（因果関係の飛躍）</w:t>
      </w:r>
    </w:p>
    <w:p>
      <w:pPr>
        <w:pStyle w:val="Compact"/>
        <w:numPr>
          <w:ilvl w:val="0"/>
          <w:numId w:val="1035"/>
        </w:numPr>
      </w:pPr>
      <w:r>
        <w:rPr>
          <w:rFonts w:hint="eastAsia"/>
          <w:b/>
          <w:bCs/>
        </w:rPr>
        <w:t xml:space="preserve">CAGR接続</w:t>
      </w:r>
      <w:r>
        <w:t xml:space="preserve">: 50%</w:t>
      </w:r>
    </w:p>
    <w:bookmarkEnd w:id="53"/>
    <w:bookmarkStart w:id="54" w:name="効率的なコスト構造と規模の経済10-却下"/>
    <w:p>
      <w:pPr>
        <w:pStyle w:val="Heading3"/>
      </w:pPr>
      <w:r>
        <w:t xml:space="preserve">#6: </w:t>
      </w:r>
      <w:r>
        <w:rPr>
          <w:rFonts w:hint="eastAsia"/>
        </w:rPr>
        <w:t xml:space="preserve">効率的なコスト構造と規模の経済（10%</w:t>
      </w:r>
      <w:r>
        <w:t xml:space="preserve"> — </w:t>
      </w:r>
      <w:r>
        <w:rPr>
          <w:rFonts w:hint="eastAsia"/>
        </w:rPr>
        <w:t xml:space="preserve">却下）</w:t>
      </w:r>
    </w:p>
    <w:p>
      <w:pPr>
        <w:pStyle w:val="Compact"/>
        <w:numPr>
          <w:ilvl w:val="0"/>
          <w:numId w:val="1036"/>
        </w:numPr>
      </w:pPr>
      <w:r>
        <w:rPr>
          <w:rFonts w:hint="eastAsia"/>
          <w:b/>
          <w:bCs/>
        </w:rPr>
        <w:t xml:space="preserve">アナリストの理由</w:t>
      </w:r>
      <w:r>
        <w:t xml:space="preserve">: </w:t>
      </w:r>
      <w:r>
        <w:rPr>
          <w:rFonts w:hint="eastAsia"/>
        </w:rPr>
        <w:t xml:space="preserve">「OPMをGPMと誤認。2015年から50%から60%台で推移しており、粗利改善進行との見解はNG」</w:t>
      </w:r>
    </w:p>
    <w:p>
      <w:pPr>
        <w:pStyle w:val="Compact"/>
        <w:numPr>
          <w:ilvl w:val="0"/>
          <w:numId w:val="1036"/>
        </w:numPr>
      </w:pPr>
      <w:r>
        <w:rPr>
          <w:rFonts w:hint="eastAsia"/>
          <w:b/>
          <w:bCs/>
        </w:rPr>
        <w:t xml:space="preserve">該当パターン</w:t>
      </w:r>
      <w:r>
        <w:t xml:space="preserve">: </w:t>
      </w:r>
      <w:r>
        <w:rPr>
          <w:rFonts w:hint="eastAsia"/>
        </w:rPr>
        <w:t xml:space="preserve">パターンE（事実誤認）</w:t>
      </w:r>
    </w:p>
    <w:p>
      <w:pPr>
        <w:pStyle w:val="Compact"/>
        <w:numPr>
          <w:ilvl w:val="0"/>
          <w:numId w:val="1036"/>
        </w:numPr>
      </w:pPr>
      <w:r>
        <w:rPr>
          <w:rFonts w:hint="eastAsia"/>
          <w:b/>
          <w:bCs/>
        </w:rPr>
        <w:t xml:space="preserve">CAGR接続</w:t>
      </w:r>
      <w:r>
        <w:t xml:space="preserve">: </w:t>
      </w:r>
      <w:r>
        <w:rPr>
          <w:rFonts w:hint="eastAsia"/>
        </w:rPr>
        <w:t xml:space="preserve">50%（優位性があれば営業レバレッジは見込めるとの前提）</w:t>
      </w:r>
    </w:p>
    <w:bookmarkEnd w:id="54"/>
    <w:bookmarkEnd w:id="55"/>
    <w:bookmarkStart w:id="56" w:name="アナリストが重視した視点-3"/>
    <w:p>
      <w:pPr>
        <w:pStyle w:val="Heading2"/>
      </w:pPr>
      <w:r>
        <w:rPr>
          <w:rFonts w:hint="eastAsia"/>
        </w:rPr>
        <w:t xml:space="preserve">アナリストが重視した視点</w:t>
      </w:r>
    </w:p>
    <w:p>
      <w:pPr>
        <w:pStyle w:val="Compact"/>
        <w:numPr>
          <w:ilvl w:val="0"/>
          <w:numId w:val="1037"/>
        </w:numPr>
      </w:pPr>
      <w:r>
        <w:rPr>
          <w:rFonts w:hint="eastAsia"/>
        </w:rPr>
        <w:t xml:space="preserve">シェア=結果であり、背後のブランド蓄積メカニズムを要求</w:t>
      </w:r>
    </w:p>
    <w:p>
      <w:pPr>
        <w:pStyle w:val="Compact"/>
        <w:numPr>
          <w:ilvl w:val="0"/>
          <w:numId w:val="1037"/>
        </w:numPr>
      </w:pPr>
      <w:r>
        <w:rPr>
          <w:rFonts w:hint="eastAsia"/>
        </w:rPr>
        <w:t xml:space="preserve">事実誤認（OPM/GPM混同）は即却下</w:t>
      </w:r>
    </w:p>
    <w:p>
      <w:pPr>
        <w:pStyle w:val="Compact"/>
        <w:numPr>
          <w:ilvl w:val="0"/>
          <w:numId w:val="1037"/>
        </w:numPr>
      </w:pPr>
      <w:r>
        <w:rPr>
          <w:rFonts w:hint="eastAsia"/>
        </w:rPr>
        <w:t xml:space="preserve">競合（REDBULL,</w:t>
      </w:r>
      <w:r>
        <w:t xml:space="preserve"> </w:t>
      </w:r>
      <w:r>
        <w:rPr>
          <w:rFonts w:hint="eastAsia"/>
        </w:rPr>
        <w:t xml:space="preserve">Celsius）との具体的比較が評価を高める</w:t>
      </w:r>
    </w:p>
    <w:p>
      <w:pPr>
        <w:pStyle w:val="Compact"/>
        <w:numPr>
          <w:ilvl w:val="0"/>
          <w:numId w:val="1037"/>
        </w:numPr>
      </w:pPr>
      <w:r>
        <w:rPr>
          <w:rFonts w:hint="eastAsia"/>
        </w:rPr>
        <w:t xml:space="preserve">ブランド力の「背後要因」分析を課題認識</w:t>
      </w:r>
    </w:p>
    <w:p>
      <w:r>
        <w:pict>
          <v:rect style="width:0;height:1.5pt" o:hralign="center" o:hrstd="t" o:hr="t"/>
        </w:pict>
      </w:r>
    </w:p>
    <w:bookmarkEnd w:id="56"/>
    <w:bookmarkEnd w:id="57"/>
    <w:bookmarkStart w:id="67" w:name="few-shot例-orlyoreilly-automotive"/>
    <w:p>
      <w:pPr>
        <w:pStyle w:val="Heading1"/>
      </w:pPr>
      <w:r>
        <w:rPr>
          <w:rFonts w:hint="eastAsia"/>
        </w:rPr>
        <w:t xml:space="preserve">few-shot例:</w:t>
      </w:r>
      <w:r>
        <w:t xml:space="preserve"> </w:t>
      </w:r>
      <w:r>
        <w:rPr>
          <w:rFonts w:hint="eastAsia"/>
        </w:rPr>
        <w:t xml:space="preserve">ORLY（O’Reilly</w:t>
      </w:r>
      <w:r>
        <w:t xml:space="preserve"> </w:t>
      </w:r>
      <w:r>
        <w:rPr>
          <w:rFonts w:hint="eastAsia"/>
        </w:rPr>
        <w:t xml:space="preserve">Automotive）</w:t>
      </w:r>
    </w:p>
    <w:bookmarkStart w:id="58" w:name="銘柄概要-4"/>
    <w:p>
      <w:pPr>
        <w:pStyle w:val="Heading2"/>
      </w:pPr>
      <w:r>
        <w:rPr>
          <w:rFonts w:hint="eastAsia"/>
        </w:rPr>
        <w:t xml:space="preserve">銘柄概要</w:t>
      </w:r>
    </w:p>
    <w:p>
      <w:pPr>
        <w:pStyle w:val="Compact"/>
        <w:numPr>
          <w:ilvl w:val="0"/>
          <w:numId w:val="1038"/>
        </w:numPr>
      </w:pPr>
      <w:r>
        <w:rPr>
          <w:rFonts w:hint="eastAsia"/>
          <w:b/>
          <w:bCs/>
        </w:rPr>
        <w:t xml:space="preserve">平均優位性スコア</w:t>
      </w:r>
      <w:r>
        <w:t xml:space="preserve">: </w:t>
      </w:r>
      <w:r>
        <w:rPr>
          <w:rFonts w:hint="eastAsia"/>
        </w:rPr>
        <w:t xml:space="preserve">63%（5銘柄中最高）</w:t>
      </w:r>
    </w:p>
    <w:p>
      <w:pPr>
        <w:pStyle w:val="Compact"/>
        <w:numPr>
          <w:ilvl w:val="0"/>
          <w:numId w:val="1038"/>
        </w:numPr>
      </w:pPr>
      <w:r>
        <w:rPr>
          <w:rFonts w:hint="eastAsia"/>
          <w:b/>
          <w:bCs/>
        </w:rPr>
        <w:t xml:space="preserve">特徴</w:t>
      </w:r>
      <w:r>
        <w:t xml:space="preserve">: </w:t>
      </w:r>
      <w:r>
        <w:rPr>
          <w:rFonts w:hint="eastAsia"/>
        </w:rPr>
        <w:t xml:space="preserve">市場構造との合致が最高評価要因。アナリストにとって最も説得力の高い銘柄</w:t>
      </w:r>
    </w:p>
    <w:p>
      <w:pPr>
        <w:pStyle w:val="Compact"/>
        <w:numPr>
          <w:ilvl w:val="0"/>
          <w:numId w:val="1038"/>
        </w:numPr>
      </w:pPr>
      <w:r>
        <w:rPr>
          <w:rFonts w:hint="eastAsia"/>
          <w:b/>
          <w:bCs/>
        </w:rPr>
        <w:t xml:space="preserve">アナリストの全体印象</w:t>
      </w:r>
      <w:r>
        <w:t xml:space="preserve">: </w:t>
      </w:r>
      <w:r>
        <w:rPr>
          <w:rFonts w:hint="eastAsia"/>
        </w:rPr>
        <w:t xml:space="preserve">「優位性の定義が説明されすぎていて、逆にあいまいとなっている印象」「CAGR接続での関係性は納得度あるケース多いが、ブレークダウンした数値への納得度は乏しい」</w:t>
      </w:r>
    </w:p>
    <w:bookmarkEnd w:id="58"/>
    <w:bookmarkStart w:id="65" w:name="主張一覧と評価"/>
    <w:p>
      <w:pPr>
        <w:pStyle w:val="Heading2"/>
      </w:pPr>
      <w:r>
        <w:rPr>
          <w:rFonts w:hint="eastAsia"/>
        </w:rPr>
        <w:t xml:space="preserve">主張一覧と評価</w:t>
      </w:r>
    </w:p>
    <w:bookmarkStart w:id="59" w:name="difm特化型の高頻度補充システムによるスイッチングコスト"/>
    <w:p>
      <w:pPr>
        <w:pStyle w:val="Heading3"/>
      </w:pPr>
      <w:r>
        <w:t xml:space="preserve">#1: </w:t>
      </w:r>
      <w:r>
        <w:rPr>
          <w:rFonts w:hint="eastAsia"/>
        </w:rPr>
        <w:t xml:space="preserve">DIFM特化型の高頻度補充システムによるスイッチングコスト</w:t>
      </w:r>
    </w:p>
    <w:p>
      <w:pPr>
        <w:pStyle w:val="Compact"/>
        <w:numPr>
          <w:ilvl w:val="0"/>
          <w:numId w:val="1039"/>
        </w:numPr>
      </w:pPr>
      <w:r>
        <w:rPr>
          <w:rFonts w:hint="eastAsia"/>
          <w:b/>
          <w:bCs/>
        </w:rPr>
        <w:t xml:space="preserve">優位性スコア</w:t>
      </w:r>
      <w:r>
        <w:t xml:space="preserve">: </w:t>
      </w:r>
      <w:r>
        <w:rPr>
          <w:rFonts w:hint="eastAsia"/>
        </w:rPr>
        <w:t xml:space="preserve">70%（おおむね納得）</w:t>
      </w:r>
    </w:p>
    <w:p>
      <w:pPr>
        <w:pStyle w:val="Compact"/>
        <w:numPr>
          <w:ilvl w:val="0"/>
          <w:numId w:val="1039"/>
        </w:numPr>
      </w:pPr>
      <w:r>
        <w:rPr>
          <w:rFonts w:hint="eastAsia"/>
          <w:b/>
          <w:bCs/>
        </w:rPr>
        <w:t xml:space="preserve">アナリストの理由</w:t>
      </w:r>
      <w:r>
        <w:t xml:space="preserve">: </w:t>
      </w:r>
      <w:r>
        <w:rPr>
          <w:rFonts w:hint="eastAsia"/>
        </w:rPr>
        <w:t xml:space="preserve">DIFM顧客（自動車整備工）の購買動機は欠品のなさ・品揃え。AZO対比で補充頻度が高い。DIY顧客より粘着性が高い</w:t>
      </w:r>
    </w:p>
    <w:p>
      <w:pPr>
        <w:pStyle w:val="Compact"/>
        <w:numPr>
          <w:ilvl w:val="0"/>
          <w:numId w:val="1039"/>
        </w:numPr>
      </w:pPr>
      <w:r>
        <w:rPr>
          <w:rFonts w:hint="eastAsia"/>
          <w:b/>
          <w:bCs/>
        </w:rPr>
        <w:t xml:space="preserve">アナリストの指摘</w:t>
      </w:r>
      <w:r>
        <w:t xml:space="preserve">: </w:t>
      </w:r>
      <w:r>
        <w:rPr>
          <w:rFonts w:hint="eastAsia"/>
        </w:rPr>
        <w:t xml:space="preserve">「DIFM特化型」「祖業からDIFMに一貫」に違和感。DIY比率の方が高い</w:t>
      </w:r>
    </w:p>
    <w:p>
      <w:pPr>
        <w:pStyle w:val="Compact"/>
        <w:numPr>
          <w:ilvl w:val="0"/>
          <w:numId w:val="1039"/>
        </w:numPr>
      </w:pPr>
      <w:r>
        <w:rPr>
          <w:rFonts w:hint="eastAsia"/>
          <w:b/>
          <w:bCs/>
        </w:rPr>
        <w:t xml:space="preserve">CAGR接続</w:t>
      </w:r>
      <w:r>
        <w:t xml:space="preserve">: </w:t>
      </w:r>
      <w:r>
        <w:rPr>
          <w:rFonts w:hint="eastAsia"/>
        </w:rPr>
        <w:t xml:space="preserve">50%。DIY事業で優位性が低下するため全体CAGRとしては説明不足</w:t>
      </w:r>
    </w:p>
    <w:bookmarkEnd w:id="59"/>
    <w:bookmarkStart w:id="60" w:name="ローカルな規模の経済とドミナント出店戦略によるシェアゲイン加速"/>
    <w:p>
      <w:pPr>
        <w:pStyle w:val="Heading3"/>
      </w:pPr>
      <w:r>
        <w:t xml:space="preserve">#2: </w:t>
      </w:r>
      <w:r>
        <w:rPr>
          <w:rFonts w:hint="eastAsia"/>
        </w:rPr>
        <w:t xml:space="preserve">ローカルな規模の経済とドミナント出店戦略によるシェアゲイン加速</w:t>
      </w:r>
    </w:p>
    <w:p>
      <w:pPr>
        <w:pStyle w:val="Compact"/>
        <w:numPr>
          <w:ilvl w:val="0"/>
          <w:numId w:val="1040"/>
        </w:numPr>
      </w:pPr>
      <w:r>
        <w:rPr>
          <w:rFonts w:hint="eastAsia"/>
          <w:b/>
          <w:bCs/>
        </w:rPr>
        <w:t xml:space="preserve">優位性スコア</w:t>
      </w:r>
      <w:r>
        <w:t xml:space="preserve">: </w:t>
      </w:r>
      <w:r>
        <w:rPr>
          <w:rFonts w:hint="eastAsia"/>
        </w:rPr>
        <w:t xml:space="preserve">90%（かなり納得）★最高評価</w:t>
      </w:r>
    </w:p>
    <w:p>
      <w:pPr>
        <w:pStyle w:val="Compact"/>
        <w:numPr>
          <w:ilvl w:val="0"/>
          <w:numId w:val="1040"/>
        </w:numPr>
      </w:pPr>
      <w:r>
        <w:rPr>
          <w:rFonts w:hint="eastAsia"/>
          <w:b/>
          <w:bCs/>
        </w:rPr>
        <w:t xml:space="preserve">アナリストの理由</w:t>
      </w:r>
      <w:r>
        <w:t xml:space="preserve">: </w:t>
      </w:r>
      <w:r>
        <w:rPr>
          <w:rFonts w:hint="eastAsia"/>
        </w:rPr>
        <w:t xml:space="preserve">配送網内の物流管理効率で規模・密度・ネットワークが優位性。出店可能エリアで飽和未到達</w:t>
      </w:r>
    </w:p>
    <w:p>
      <w:pPr>
        <w:pStyle w:val="Compact"/>
        <w:numPr>
          <w:ilvl w:val="0"/>
          <w:numId w:val="1040"/>
        </w:numPr>
      </w:pPr>
      <w:r>
        <w:rPr>
          <w:rFonts w:hint="eastAsia"/>
          <w:b/>
          <w:bCs/>
        </w:rPr>
        <w:t xml:space="preserve">アナリストの指摘</w:t>
      </w:r>
      <w:r>
        <w:t xml:space="preserve">: </w:t>
      </w:r>
      <w:r>
        <w:rPr>
          <w:rFonts w:hint="eastAsia"/>
        </w:rPr>
        <w:t xml:space="preserve">「ドミナント出店戦略＝戦略は優位性ではないのでは」。優位性は「ローカルな規模の経済」</w:t>
      </w:r>
    </w:p>
    <w:p>
      <w:pPr>
        <w:pStyle w:val="Compact"/>
        <w:numPr>
          <w:ilvl w:val="0"/>
          <w:numId w:val="1040"/>
        </w:numPr>
      </w:pPr>
      <w:r>
        <w:rPr>
          <w:rFonts w:hint="eastAsia"/>
          <w:b/>
          <w:bCs/>
        </w:rPr>
        <w:t xml:space="preserve">CAGR接続</w:t>
      </w:r>
      <w:r>
        <w:t xml:space="preserve">: </w:t>
      </w:r>
      <w:r>
        <w:rPr>
          <w:rFonts w:hint="eastAsia"/>
        </w:rPr>
        <w:t xml:space="preserve">70%。ローカル規模・密度・ネットワークは新規出店の収益化に直結。ただし新規+1.5%等の数値面は優位性のみからはサポートされず</w:t>
      </w:r>
    </w:p>
    <w:p>
      <w:pPr>
        <w:pStyle w:val="Compact"/>
        <w:numPr>
          <w:ilvl w:val="0"/>
          <w:numId w:val="1040"/>
        </w:numPr>
      </w:pPr>
      <w:r>
        <w:rPr>
          <w:rFonts w:hint="eastAsia"/>
          <w:b/>
          <w:bCs/>
        </w:rPr>
        <w:t xml:space="preserve">該当ルール</w:t>
      </w:r>
      <w:r>
        <w:t xml:space="preserve">: </w:t>
      </w:r>
      <w:r>
        <w:rPr>
          <w:rFonts w:hint="eastAsia"/>
        </w:rPr>
        <w:t xml:space="preserve">ルール8（戦略≠優位性）、ルール11（業界構造×企業ポジション合致）</w:t>
      </w:r>
    </w:p>
    <w:bookmarkEnd w:id="60"/>
    <w:bookmarkStart w:id="61" w:name="pb商品売上の50超による利益率維持と価格自由度"/>
    <w:p>
      <w:pPr>
        <w:pStyle w:val="Heading3"/>
      </w:pPr>
      <w:r>
        <w:t xml:space="preserve">#3: </w:t>
      </w:r>
      <w:r>
        <w:rPr>
          <w:rFonts w:hint="eastAsia"/>
        </w:rPr>
        <w:t xml:space="preserve">PB商品（売上の50%超）による利益率維持と価格自由度</w:t>
      </w:r>
    </w:p>
    <w:p>
      <w:pPr>
        <w:pStyle w:val="Compact"/>
        <w:numPr>
          <w:ilvl w:val="0"/>
          <w:numId w:val="1041"/>
        </w:numPr>
      </w:pPr>
      <w:r>
        <w:rPr>
          <w:rFonts w:hint="eastAsia"/>
          <w:b/>
          <w:bCs/>
        </w:rPr>
        <w:t xml:space="preserve">優位性スコア</w:t>
      </w:r>
      <w:r>
        <w:t xml:space="preserve">: </w:t>
      </w:r>
      <w:r>
        <w:rPr>
          <w:rFonts w:hint="eastAsia"/>
        </w:rPr>
        <w:t xml:space="preserve">50%（まあ納得）</w:t>
      </w:r>
    </w:p>
    <w:p>
      <w:pPr>
        <w:pStyle w:val="Compact"/>
        <w:numPr>
          <w:ilvl w:val="0"/>
          <w:numId w:val="1041"/>
        </w:numPr>
      </w:pPr>
      <w:r>
        <w:rPr>
          <w:rFonts w:hint="eastAsia"/>
          <w:b/>
          <w:bCs/>
        </w:rPr>
        <w:t xml:space="preserve">アナリストの理由</w:t>
      </w:r>
      <w:r>
        <w:t xml:space="preserve">: </w:t>
      </w:r>
      <w:r>
        <w:rPr>
          <w:rFonts w:hint="eastAsia"/>
        </w:rPr>
        <w:t xml:space="preserve">PB5割でコストマネージしやすいとの仮説はある程度納得</w:t>
      </w:r>
    </w:p>
    <w:p>
      <w:pPr>
        <w:pStyle w:val="Compact"/>
        <w:numPr>
          <w:ilvl w:val="0"/>
          <w:numId w:val="1041"/>
        </w:numPr>
      </w:pPr>
      <w:r>
        <w:rPr>
          <w:rFonts w:hint="eastAsia"/>
          <w:b/>
          <w:bCs/>
        </w:rPr>
        <w:t xml:space="preserve">アナリストの指摘</w:t>
      </w:r>
      <w:r>
        <w:t xml:space="preserve">: </w:t>
      </w:r>
      <w:r>
        <w:rPr>
          <w:rFonts w:hint="eastAsia"/>
        </w:rPr>
        <w:t xml:space="preserve">「PB比率が高いほどサプライヤー依存度が低い」は飛躍しすぎ</w:t>
      </w:r>
    </w:p>
    <w:p>
      <w:pPr>
        <w:pStyle w:val="Compact"/>
        <w:numPr>
          <w:ilvl w:val="0"/>
          <w:numId w:val="1041"/>
        </w:numPr>
      </w:pPr>
      <w:r>
        <w:rPr>
          <w:rFonts w:hint="eastAsia"/>
          <w:b/>
          <w:bCs/>
        </w:rPr>
        <w:t xml:space="preserve">CAGR接続</w:t>
      </w:r>
      <w:r>
        <w:t xml:space="preserve">: 70%</w:t>
      </w:r>
    </w:p>
    <w:bookmarkEnd w:id="61"/>
    <w:bookmarkStart w:id="62" w:name="祖業difm特化による人材組織文化の継続性と顧客関係の深化"/>
    <w:p>
      <w:pPr>
        <w:pStyle w:val="Heading3"/>
      </w:pPr>
      <w:r>
        <w:t xml:space="preserve">#4: </w:t>
      </w:r>
      <w:r>
        <w:rPr>
          <w:rFonts w:hint="eastAsia"/>
        </w:rPr>
        <w:t xml:space="preserve">祖業DIFM特化による人材・組織文化の継続性と顧客関係の深化</w:t>
      </w:r>
    </w:p>
    <w:p>
      <w:pPr>
        <w:pStyle w:val="Compact"/>
        <w:numPr>
          <w:ilvl w:val="0"/>
          <w:numId w:val="1042"/>
        </w:numPr>
      </w:pPr>
      <w:r>
        <w:rPr>
          <w:rFonts w:hint="eastAsia"/>
          <w:b/>
          <w:bCs/>
        </w:rPr>
        <w:t xml:space="preserve">優位性スコア</w:t>
      </w:r>
      <w:r>
        <w:t xml:space="preserve">: </w:t>
      </w:r>
      <w:r>
        <w:rPr>
          <w:rFonts w:hint="eastAsia"/>
        </w:rPr>
        <w:t xml:space="preserve">50%（まあ納得）</w:t>
      </w:r>
    </w:p>
    <w:p>
      <w:pPr>
        <w:pStyle w:val="Compact"/>
        <w:numPr>
          <w:ilvl w:val="0"/>
          <w:numId w:val="1042"/>
        </w:numPr>
      </w:pPr>
      <w:r>
        <w:rPr>
          <w:rFonts w:hint="eastAsia"/>
          <w:b/>
          <w:bCs/>
        </w:rPr>
        <w:t xml:space="preserve">アナリストの理由</w:t>
      </w:r>
      <w:r>
        <w:t xml:space="preserve">: </w:t>
      </w:r>
      <w:r>
        <w:rPr>
          <w:rFonts w:hint="eastAsia"/>
        </w:rPr>
        <w:t xml:space="preserve">内容はある程度納得も「DIFM特化による」の違和感が強い。DIY事業参入は80年代</w:t>
      </w:r>
    </w:p>
    <w:p>
      <w:pPr>
        <w:pStyle w:val="Compact"/>
        <w:numPr>
          <w:ilvl w:val="0"/>
          <w:numId w:val="1042"/>
        </w:numPr>
      </w:pPr>
      <w:r>
        <w:rPr>
          <w:rFonts w:hint="eastAsia"/>
          <w:b/>
          <w:bCs/>
        </w:rPr>
        <w:t xml:space="preserve">CAGR接続</w:t>
      </w:r>
      <w:r>
        <w:t xml:space="preserve">: </w:t>
      </w:r>
      <w:r>
        <w:rPr>
          <w:rFonts w:hint="eastAsia"/>
        </w:rPr>
        <w:t xml:space="preserve">70%。DIFM事業でのwalletシェア、マージン改善をサポート</w:t>
      </w:r>
    </w:p>
    <w:bookmarkEnd w:id="62"/>
    <w:bookmarkStart w:id="63" w:name="フラグメント市場での小型ma実行能力による継続的なシェアゲイン確保"/>
    <w:p>
      <w:pPr>
        <w:pStyle w:val="Heading3"/>
      </w:pPr>
      <w:r>
        <w:t xml:space="preserve">#5: </w:t>
      </w:r>
      <w:r>
        <w:rPr>
          <w:rFonts w:hint="eastAsia"/>
        </w:rPr>
        <w:t xml:space="preserve">フラグメント市場での小型M&amp;A実行能力による継続的なシェアゲイン確保</w:t>
      </w:r>
    </w:p>
    <w:p>
      <w:pPr>
        <w:pStyle w:val="Compact"/>
        <w:numPr>
          <w:ilvl w:val="0"/>
          <w:numId w:val="1043"/>
        </w:numPr>
      </w:pPr>
      <w:r>
        <w:rPr>
          <w:rFonts w:hint="eastAsia"/>
          <w:b/>
          <w:bCs/>
        </w:rPr>
        <w:t xml:space="preserve">優位性スコア</w:t>
      </w:r>
      <w:r>
        <w:t xml:space="preserve">: </w:t>
      </w:r>
      <w:r>
        <w:rPr>
          <w:rFonts w:hint="eastAsia"/>
        </w:rPr>
        <w:t xml:space="preserve">90%（かなり納得）★最高評価</w:t>
      </w:r>
    </w:p>
    <w:p>
      <w:pPr>
        <w:pStyle w:val="Compact"/>
        <w:numPr>
          <w:ilvl w:val="0"/>
          <w:numId w:val="1043"/>
        </w:numPr>
      </w:pPr>
      <w:r>
        <w:rPr>
          <w:rFonts w:hint="eastAsia"/>
          <w:b/>
          <w:bCs/>
        </w:rPr>
        <w:t xml:space="preserve">アナリストの理由</w:t>
      </w:r>
      <w:r>
        <w:t xml:space="preserve">: </w:t>
      </w:r>
      <w:r>
        <w:rPr>
          <w:rFonts w:hint="eastAsia"/>
        </w:rPr>
        <w:t xml:space="preserve">DIFM市場はフラグメントでM&amp;A機会が高い。#2の規模・密度・ネットワークと#4の顧客関係を背景にM&amp;A優位性</w:t>
      </w:r>
    </w:p>
    <w:p>
      <w:pPr>
        <w:pStyle w:val="Compact"/>
        <w:numPr>
          <w:ilvl w:val="0"/>
          <w:numId w:val="1043"/>
        </w:numPr>
      </w:pPr>
      <w:r>
        <w:rPr>
          <w:rFonts w:hint="eastAsia"/>
          <w:b/>
          <w:bCs/>
        </w:rPr>
        <w:t xml:space="preserve">CAGR接続</w:t>
      </w:r>
      <w:r>
        <w:t xml:space="preserve">: </w:t>
      </w:r>
      <w:r>
        <w:rPr>
          <w:rFonts w:hint="eastAsia"/>
        </w:rPr>
        <w:t xml:space="preserve">70%。新規+1.5%への寄与は妥当だが影響規模は不明</w:t>
      </w:r>
    </w:p>
    <w:p>
      <w:pPr>
        <w:pStyle w:val="Compact"/>
        <w:numPr>
          <w:ilvl w:val="0"/>
          <w:numId w:val="1043"/>
        </w:numPr>
      </w:pPr>
      <w:r>
        <w:rPr>
          <w:rFonts w:hint="eastAsia"/>
          <w:b/>
          <w:bCs/>
        </w:rPr>
        <w:t xml:space="preserve">該当ルール</w:t>
      </w:r>
      <w:r>
        <w:t xml:space="preserve">: </w:t>
      </w:r>
      <w:r>
        <w:rPr>
          <w:rFonts w:hint="eastAsia"/>
        </w:rPr>
        <w:t xml:space="preserve">ルール11（業界構造×企業ポジション合致）</w:t>
      </w:r>
    </w:p>
    <w:bookmarkEnd w:id="63"/>
    <w:bookmarkStart w:id="64" w:name="difmdiy両領域での持続的な価値創造"/>
    <w:p>
      <w:pPr>
        <w:pStyle w:val="Heading3"/>
      </w:pPr>
      <w:r>
        <w:t xml:space="preserve">#6: </w:t>
      </w:r>
      <w:r>
        <w:rPr>
          <w:rFonts w:hint="eastAsia"/>
        </w:rPr>
        <w:t xml:space="preserve">DIFM・DIY両領域での持続的な価値創造</w:t>
      </w:r>
    </w:p>
    <w:p>
      <w:pPr>
        <w:pStyle w:val="Compact"/>
        <w:numPr>
          <w:ilvl w:val="0"/>
          <w:numId w:val="1044"/>
        </w:numPr>
      </w:pPr>
      <w:r>
        <w:rPr>
          <w:rFonts w:hint="eastAsia"/>
          <w:b/>
          <w:bCs/>
        </w:rPr>
        <w:t xml:space="preserve">優位性スコア</w:t>
      </w:r>
      <w:r>
        <w:t xml:space="preserve">: </w:t>
      </w:r>
      <w:r>
        <w:rPr>
          <w:rFonts w:hint="eastAsia"/>
        </w:rPr>
        <w:t xml:space="preserve">30%（あまり納得しない）</w:t>
      </w:r>
    </w:p>
    <w:p>
      <w:pPr>
        <w:pStyle w:val="Compact"/>
        <w:numPr>
          <w:ilvl w:val="0"/>
          <w:numId w:val="1044"/>
        </w:numPr>
      </w:pPr>
      <w:r>
        <w:rPr>
          <w:rFonts w:hint="eastAsia"/>
          <w:b/>
          <w:bCs/>
        </w:rPr>
        <w:t xml:space="preserve">アナリストの理由</w:t>
      </w:r>
      <w:r>
        <w:t xml:space="preserve">: </w:t>
      </w:r>
      <w:r>
        <w:rPr>
          <w:rFonts w:hint="eastAsia"/>
        </w:rPr>
        <w:t xml:space="preserve">DIFMの優位性をDIYでも同等に提供できるかは不明</w:t>
      </w:r>
    </w:p>
    <w:p>
      <w:pPr>
        <w:pStyle w:val="Compact"/>
        <w:numPr>
          <w:ilvl w:val="0"/>
          <w:numId w:val="1044"/>
        </w:numPr>
      </w:pPr>
      <w:r>
        <w:rPr>
          <w:rFonts w:hint="eastAsia"/>
          <w:b/>
          <w:bCs/>
        </w:rPr>
        <w:t xml:space="preserve">CAGR接続</w:t>
      </w:r>
      <w:r>
        <w:t xml:space="preserve">: 30%</w:t>
      </w:r>
    </w:p>
    <w:bookmarkEnd w:id="64"/>
    <w:bookmarkEnd w:id="65"/>
    <w:bookmarkStart w:id="66" w:name="アナリストが重視した視点-4"/>
    <w:p>
      <w:pPr>
        <w:pStyle w:val="Heading2"/>
      </w:pPr>
      <w:r>
        <w:rPr>
          <w:rFonts w:hint="eastAsia"/>
        </w:rPr>
        <w:t xml:space="preserve">アナリストが重視した視点</w:t>
      </w:r>
    </w:p>
    <w:p>
      <w:pPr>
        <w:pStyle w:val="Compact"/>
        <w:numPr>
          <w:ilvl w:val="0"/>
          <w:numId w:val="1045"/>
        </w:numPr>
      </w:pPr>
      <w:r>
        <w:rPr>
          <w:rFonts w:hint="eastAsia"/>
        </w:rPr>
        <w:t xml:space="preserve">市場構造（フラグメント化）と企業ポジション（規模・密度）の合致</w:t>
      </w:r>
      <w:r>
        <w:t xml:space="preserve"> → </w:t>
      </w:r>
      <w:r>
        <w:rPr>
          <w:rFonts w:hint="eastAsia"/>
        </w:rPr>
        <w:t xml:space="preserve">90%の最高評価</w:t>
      </w:r>
    </w:p>
    <w:p>
      <w:pPr>
        <w:pStyle w:val="Compact"/>
        <w:numPr>
          <w:ilvl w:val="0"/>
          <w:numId w:val="1045"/>
        </w:numPr>
      </w:pPr>
      <w:r>
        <w:rPr>
          <w:rFonts w:hint="eastAsia"/>
        </w:rPr>
        <w:t xml:space="preserve">「戦略」と「優位性」の区別（ドミナント出店戦略</w:t>
      </w:r>
      <w:r>
        <w:t xml:space="preserve"> vs </w:t>
      </w:r>
      <w:r>
        <w:rPr>
          <w:rFonts w:hint="eastAsia"/>
        </w:rPr>
        <w:t xml:space="preserve">ローカル規模の経済）</w:t>
      </w:r>
    </w:p>
    <w:p>
      <w:pPr>
        <w:pStyle w:val="Compact"/>
        <w:numPr>
          <w:ilvl w:val="0"/>
          <w:numId w:val="1045"/>
        </w:numPr>
      </w:pPr>
      <w:r>
        <w:rPr>
          <w:rFonts w:hint="eastAsia"/>
        </w:rPr>
        <w:t xml:space="preserve">CAGR接続はTAM→シェア→利益率の中間ステップが必要</w:t>
      </w:r>
    </w:p>
    <w:bookmarkEnd w:id="66"/>
    <w:bookmarkEnd w:id="67"/>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KB3 Few-shot 例集</dc:title>
  <dc:creator/>
  <cp:keywords/>
  <dcterms:created xsi:type="dcterms:W3CDTF">2026-02-27T05:39:43Z</dcterms:created>
  <dcterms:modified xsi:type="dcterms:W3CDTF">2026-02-27T05:39:43Z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2026-02-27</vt:lpwstr>
  </property>
  <property fmtid="{D5CDD505-2E9C-101B-9397-08002B2CF9AE}" pid="3" name="entry_count">
    <vt:lpwstr>5</vt:lpwstr>
  </property>
  <property fmtid="{D5CDD505-2E9C-101B-9397-08002B2CF9AE}" pid="4" name="id">
    <vt:lpwstr>kb3_consolidated</vt:lpwstr>
  </property>
  <property fmtid="{D5CDD505-2E9C-101B-9397-08002B2CF9AE}" pid="5" name="kb">
    <vt:lpwstr>KB3</vt:lpwstr>
  </property>
  <property fmtid="{D5CDD505-2E9C-101B-9397-08002B2CF9AE}" pid="6" name="sources">
    <vt:lpwstr/>
  </property>
  <property fmtid="{D5CDD505-2E9C-101B-9397-08002B2CF9AE}" pid="7" name="type">
    <vt:lpwstr>consolidated</vt:lpwstr>
  </property>
  <property fmtid="{D5CDD505-2E9C-101B-9397-08002B2CF9AE}" pid="8" name="updated">
    <vt:lpwstr>2026-02-27</vt:lpwstr>
  </property>
  <property fmtid="{D5CDD505-2E9C-101B-9397-08002B2CF9AE}" pid="9" name="version">
    <vt:lpwstr>1.0</vt:lpwstr>
  </property>
</Properties>
</file>