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アナリストの競争優位性評価-dogma"/>
    <w:p>
      <w:pPr>
        <w:pStyle w:val="Heading1"/>
      </w:pPr>
      <w:r>
        <w:rPr>
          <w:rFonts w:hint="eastAsia"/>
        </w:rPr>
        <w:t xml:space="preserve">アナリストの競争優位性評価</w:t>
      </w:r>
      <w:r>
        <w:t xml:space="preserve"> Dogma</w:t>
      </w:r>
    </w:p>
    <w:p>
      <w:pPr>
        <w:pStyle w:val="BlockText"/>
      </w:pPr>
      <w:r>
        <w:rPr>
          <w:rFonts w:hint="eastAsia"/>
          <w:b/>
          <w:bCs/>
        </w:rPr>
        <w:t xml:space="preserve">出典:</w:t>
      </w:r>
      <w:r>
        <w:t xml:space="preserve"> </w:t>
      </w:r>
      <w:r>
        <w:t xml:space="preserve">Phase 2 </w:t>
      </w:r>
      <w:r>
        <w:rPr>
          <w:rFonts w:hint="eastAsia"/>
        </w:rPr>
        <w:t xml:space="preserve">全5銘柄（CHD,</w:t>
      </w:r>
      <w:r>
        <w:t xml:space="preserve"> COST, LLY, MNST, </w:t>
      </w:r>
      <w:r>
        <w:rPr>
          <w:rFonts w:hint="eastAsia"/>
        </w:rPr>
        <w:t xml:space="preserve">ORLY）のスコアリングデータ</w:t>
      </w:r>
      <w:r>
        <w:t xml:space="preserve"> + feedback.md </w:t>
      </w:r>
      <w:r>
        <w:rPr>
          <w:rFonts w:hint="eastAsia"/>
        </w:rPr>
        <w:t xml:space="preserve">から抽出。</w:t>
      </w:r>
      <w:r>
        <w:t xml:space="preserve"> </w:t>
      </w:r>
      <w:r>
        <w:rPr>
          <w:b/>
          <w:bCs/>
        </w:rPr>
        <w:t xml:space="preserve">バージョン:</w:t>
      </w:r>
      <w:r>
        <w:t xml:space="preserve"> </w:t>
      </w:r>
      <w:r>
        <w:rPr>
          <w:rFonts w:hint="eastAsia"/>
        </w:rPr>
        <w:t xml:space="preserve">v1.0（2026-02-26</w:t>
      </w:r>
      <w:r>
        <w:t xml:space="preserve"> </w:t>
      </w:r>
      <w:r>
        <w:rPr>
          <w:rFonts w:hint="eastAsia"/>
        </w:rPr>
        <w:t xml:space="preserve">アナリスト検証済み）</w:t>
      </w:r>
      <w:r>
        <w:t xml:space="preserve"> </w:t>
      </w:r>
      <w:r>
        <w:rPr>
          <w:rFonts w:hint="eastAsia"/>
          <w:b/>
          <w:bCs/>
        </w:rPr>
        <w:t xml:space="preserve">検証記録:</w:t>
      </w:r>
      <w:r>
        <w:t xml:space="preserve"> </w:t>
      </w:r>
      <w:r>
        <w:rPr>
          <w:rStyle w:val="VerbatimChar"/>
        </w:rPr>
        <w:t xml:space="preserve">dogma_v0.9_draft_analyst.pdf</w:t>
      </w:r>
      <w:r>
        <w:rPr>
          <w:rFonts w:hint="eastAsia"/>
        </w:rPr>
        <w:t xml:space="preserve">（○/×/△マーキング）+</w:t>
      </w:r>
      <w:r>
        <w:t xml:space="preserve"> </w:t>
      </w:r>
      <w:r>
        <w:rPr>
          <w:rStyle w:val="VerbatimChar"/>
        </w:rPr>
        <w:t xml:space="preserve">dogma_v0.9_draft_answer.md</w:t>
      </w:r>
      <w:r>
        <w:rPr>
          <w:rFonts w:hint="eastAsia"/>
        </w:rPr>
        <w:t xml:space="preserve">（詳細コメント）</w:t>
      </w:r>
      <w:r>
        <w:t xml:space="preserve"> </w:t>
      </w:r>
      <w:r>
        <w:rPr>
          <w:rFonts w:hint="eastAsia"/>
          <w:b/>
          <w:bCs/>
        </w:rPr>
        <w:t xml:space="preserve">変更履歴:</w:t>
      </w:r>
      <w:r>
        <w:t xml:space="preserve"> </w:t>
      </w:r>
      <w:r>
        <w:t xml:space="preserve">- v1.0 (2026-02-26): </w:t>
      </w:r>
      <w:r>
        <w:rPr>
          <w:rFonts w:hint="eastAsia"/>
        </w:rPr>
        <w:t xml:space="preserve">アナリスト検証結果を反映。却下基準#4/#5修正、下げ要因#4修正、CAGR掛け算方針追加、ブランド類型5/6追加</w:t>
      </w:r>
      <w:r>
        <w:t xml:space="preserve"> </w:t>
      </w:r>
      <w:r>
        <w:t xml:space="preserve">- v0.9 (2026-02-24): </w:t>
      </w:r>
      <w:r>
        <w:rPr>
          <w:rFonts w:hint="eastAsia"/>
        </w:rPr>
        <w:t xml:space="preserve">運用版ドラフト（アナリストレビュー提出）</w:t>
      </w:r>
    </w:p>
    <w:p>
      <w:r>
        <w:pict>
          <v:rect style="width:0;height:1.5pt" o:hralign="center" o:hrstd="t" o:hr="t"/>
        </w:pict>
      </w:r>
    </w:p>
    <w:bookmarkStart w:id="11" w:name="基本哲学"/>
    <w:p>
      <w:pPr>
        <w:pStyle w:val="Heading2"/>
      </w:pPr>
      <w:r>
        <w:t xml:space="preserve">1. </w:t>
      </w:r>
      <w:r>
        <w:rPr>
          <w:rFonts w:hint="eastAsia"/>
        </w:rPr>
        <w:t xml:space="preserve">基本哲学</w:t>
      </w:r>
    </w:p>
    <w:bookmarkStart w:id="9" w:name="優位性の定義5原則"/>
    <w:p>
      <w:pPr>
        <w:pStyle w:val="Heading3"/>
      </w:pPr>
      <w:r>
        <w:t xml:space="preserve">1.1 </w:t>
      </w:r>
      <w:r>
        <w:rPr>
          <w:rFonts w:hint="eastAsia"/>
        </w:rPr>
        <w:t xml:space="preserve">優位性の定義（5原則）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原則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根拠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優位性は「能力・仕組み」であり、「結果・実績」ではない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CHD#4「成長加速は結果であって背景となる優位性ではない」、CHD#5「ポート管理運営力そのものが優位性であり、ポートシフトは結果」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優位性は「名詞」で表現される属性である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LLY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feedback「優位性は名詞で表現される属性であり、ブランド力、スイッチングコスト、エコシステム、技術力、ノウハウ…」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優位性は競合に対して「相対的に際立つ」ものでなければならない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LLY#6「グローバル大手医薬品であればほぼ同等に備わっているネットワーク」→</w:t>
            </w:r>
            <w:r>
              <w:rPr>
                <w:rFonts w:ascii="Times New Roman" w:hAnsi="Times New Roman" w:eastAsia="游明朝"/>
                <w:sz w:val="18"/>
              </w:rP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優位性は業界構造・競争環境と密接に関係する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ORLY#2,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#5（フラグメント市場</w:t>
            </w:r>
            <w:r>
              <w:rPr>
                <w:rFonts w:ascii="Times New Roman" w:hAnsi="Times New Roman" w:eastAsia="游明朝"/>
                <w:sz w:val="18"/>
              </w:rPr>
              <w:t xml:space="preserve"> ×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規模・密度・ネットワーク</w:t>
            </w:r>
            <w:r>
              <w:rPr>
                <w:rFonts w:ascii="Times New Roman" w:hAnsi="Times New Roman" w:eastAsia="游明朝"/>
                <w:sz w:val="18"/>
              </w:rPr>
              <w:t xml:space="preserve"> →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90%の最高評価）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定量的裏付けがあると納得度が上がる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COST#1「意味のある数値裏付けは納得感を高める印象」（退職率9%</w:t>
            </w:r>
            <w:r>
              <w:rPr>
                <w:rFonts w:ascii="Times New Roman" w:hAnsi="Times New Roman" w:eastAsia="游明朝"/>
                <w:sz w:val="18"/>
              </w:rPr>
              <w:t xml:space="preserve"> vs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業界20%+</w:t>
            </w:r>
            <w:r>
              <w:rPr>
                <w:rFonts w:ascii="Times New Roman" w:hAnsi="Times New Roman" w:eastAsia="游明朝"/>
                <w:sz w:val="18"/>
              </w:rPr>
              <w:t xml:space="preserve"> →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70%）</w:t>
            </w:r>
          </w:p>
        </w:tc>
      </w:tr>
    </w:tbl>
    <w:bookmarkEnd w:id="9"/>
    <w:bookmarkStart w:id="10" w:name="優位性と認めないもの6却下基準"/>
    <w:p>
      <w:pPr>
        <w:pStyle w:val="Heading3"/>
      </w:pPr>
      <w:r>
        <w:t xml:space="preserve">1.2 </w:t>
      </w:r>
      <w:r>
        <w:rPr>
          <w:rFonts w:hint="eastAsia"/>
        </w:rPr>
        <w:t xml:space="preserve">優位性と認めないもの（6却下基準）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8"/>
        <w:gridCol w:w="3564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却下基準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典型例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結果の優位性への誤帰属</w:t>
            </w:r>
            <w:r>
              <w:rPr>
                <w:rFonts w:ascii="Times New Roman" w:hAnsi="Times New Roman" w:eastAsia="游明朝"/>
                <w:sz w:val="18"/>
              </w:rPr>
              <w:t xml:space="preserve">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高シェア・成長実績・高収益は結果であり原因ではない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MNST#1「シェアはあくまで結果」→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50%に留まる、CHD#4</w:t>
            </w:r>
            <w:r>
              <w:rPr>
                <w:rFonts w:ascii="Times New Roman" w:hAnsi="Times New Roman" w:eastAsia="游明朝"/>
                <w:sz w:val="18"/>
              </w:rPr>
              <w:t xml:space="preserve"> →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業界共通の能力</w:t>
            </w:r>
            <w:r>
              <w:rPr>
                <w:rFonts w:ascii="Times New Roman" w:hAnsi="Times New Roman" w:eastAsia="游明朝"/>
                <w:sz w:val="18"/>
              </w:rPr>
              <w:t xml:space="preserve">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「メガファーマなら誰でも持っている」「多くの企業が言っていること」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LLY#6 → 30%、COST#5 →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戦略の優位性への混同</w:t>
            </w:r>
            <w:r>
              <w:rPr>
                <w:rFonts w:ascii="Times New Roman" w:hAnsi="Times New Roman" w:eastAsia="游明朝"/>
                <w:sz w:val="18"/>
              </w:rPr>
              <w:t xml:space="preserve">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戦略は意思決定であり、優位性はそれを可能にする構造的な力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ORLY#2「ドミナント出店戦略＝戦略は優位性ではないのでは」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優位性主張の説明力不足</w:t>
            </w:r>
            <w:r>
              <w:rPr>
                <w:rFonts w:ascii="Times New Roman" w:hAnsi="Times New Roman" w:eastAsia="游明朝"/>
                <w:sz w:val="18"/>
              </w:rPr>
              <w:t xml:space="preserve">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定性的な優位性についても十分な説明があれば評価可能。定量はWANT、説明力がMUST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COST#2「売り場づくり」→「劇場型」のみでは説明不足で納得感が乏しい</w:t>
            </w:r>
            <w:r>
              <w:rPr>
                <w:rFonts w:ascii="Times New Roman" w:hAnsi="Times New Roman" w:eastAsia="游明朝"/>
                <w:sz w:val="18"/>
              </w:rPr>
              <w:t xml:space="preserve"> →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因果関係の混同・拡大解釈</w:t>
            </w:r>
            <w:r>
              <w:rPr>
                <w:rFonts w:ascii="Times New Roman" w:hAnsi="Times New Roman" w:eastAsia="游明朝"/>
                <w:sz w:val="18"/>
              </w:rPr>
              <w:t xml:space="preserve">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戦略と優位性の混同（#3参照）に加え、結果への影響度を過大評価するような原因特定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MNST#5「低所得向け戦略→粘着力」は戦略→優位性の混同（#3に内包）。CAGR接続での飛躍（退職率→営業レバレッジ等）も該当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事実誤認に基づく仮説</w:t>
            </w:r>
            <w:r>
              <w:rPr>
                <w:rFonts w:ascii="Times New Roman" w:hAnsi="Times New Roman" w:eastAsia="游明朝"/>
                <w:sz w:val="18"/>
              </w:rPr>
              <w:t xml:space="preserve">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財務指標の誤読等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MNST#6「OPMをGPMと誤認」→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10%（即却下）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評価体系"/>
    <w:p>
      <w:pPr>
        <w:pStyle w:val="Heading2"/>
      </w:pPr>
      <w:r>
        <w:t xml:space="preserve">2. </w:t>
      </w:r>
      <w:r>
        <w:rPr>
          <w:rFonts w:hint="eastAsia"/>
        </w:rPr>
        <w:t xml:space="preserve">評価体系</w:t>
      </w:r>
    </w:p>
    <w:bookmarkStart w:id="12" w:name="確信度スケール"/>
    <w:p>
      <w:pPr>
        <w:pStyle w:val="Heading3"/>
      </w:pPr>
      <w:r>
        <w:t xml:space="preserve">2.1 </w:t>
      </w:r>
      <w:r>
        <w:rPr>
          <w:rFonts w:hint="eastAsia"/>
        </w:rPr>
        <w:t xml:space="preserve">確信度スケール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1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ランク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確信度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かなり納得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構造的優位性</w:t>
            </w:r>
            <w:r>
              <w:rPr>
                <w:rFonts w:ascii="Times New Roman" w:hAnsi="Times New Roman" w:eastAsia="游明朝"/>
                <w:sz w:val="18"/>
              </w:rPr>
              <w:t xml:space="preserve"> +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明確なCAGR接続</w:t>
            </w:r>
            <w:r>
              <w:rPr>
                <w:rFonts w:ascii="Times New Roman" w:hAnsi="Times New Roman" w:eastAsia="游明朝"/>
                <w:sz w:val="18"/>
              </w:rPr>
              <w:t xml:space="preserve"> +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定量的裏付け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おおむね納得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妥当な仮説</w:t>
            </w:r>
            <w:r>
              <w:rPr>
                <w:rFonts w:ascii="Times New Roman" w:hAnsi="Times New Roman" w:eastAsia="游明朝"/>
                <w:sz w:val="18"/>
              </w:rPr>
              <w:t xml:space="preserve"> +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一定の裏付け（競合比較または数値あり）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まあ納得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方向性は認めるが裏付け不十分（追加情報があれば上がりうる）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あまり納得しない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飛躍的解釈・因果関係の逆転・差別化根拠不十分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却下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事実誤認・競争優位性として不成立</w:t>
            </w:r>
          </w:p>
        </w:tc>
      </w:tr>
    </w:tbl>
    <w:bookmarkEnd w:id="12"/>
    <w:bookmarkStart w:id="13" w:name="評価を上げる要因"/>
    <w:p>
      <w:pPr>
        <w:pStyle w:val="Heading3"/>
      </w:pPr>
      <w:r>
        <w:t xml:space="preserve">2.2 </w:t>
      </w:r>
      <w:r>
        <w:rPr>
          <w:rFonts w:hint="eastAsia"/>
        </w:rPr>
        <w:t xml:space="preserve">評価を上げる要因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3"/>
        <w:gridCol w:w="2066"/>
        <w:gridCol w:w="2066"/>
        <w:gridCol w:w="275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要因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効果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具体例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定量的裏付け（数値、比率、対競合データ）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+20%程度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COST#1: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退職率9%</w:t>
            </w:r>
            <w:r>
              <w:rPr>
                <w:rFonts w:ascii="Times New Roman" w:hAnsi="Times New Roman" w:eastAsia="游明朝"/>
                <w:sz w:val="18"/>
              </w:rPr>
              <w:t xml:space="preserve"> vs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業界20%+</w:t>
            </w:r>
            <w:r>
              <w:rPr>
                <w:rFonts w:ascii="Times New Roman" w:hAnsi="Times New Roman" w:eastAsia="游明朝"/>
                <w:sz w:val="18"/>
              </w:rPr>
              <w:t xml:space="preserve"> →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特定競合との具体的比較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+10-20%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ORLY#1: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AZO対比でのDIFM補充頻度</w:t>
            </w:r>
            <w:r>
              <w:rPr>
                <w:rFonts w:ascii="Times New Roman" w:hAnsi="Times New Roman" w:eastAsia="游明朝"/>
                <w:sz w:val="18"/>
              </w:rPr>
              <w:t xml:space="preserve"> →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ネガティブケース（断念例、失敗例）による裏付け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+10-20%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CHD#7: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バリュエーションによる買収断念例</w:t>
            </w:r>
            <w:r>
              <w:rPr>
                <w:rFonts w:ascii="Times New Roman" w:hAnsi="Times New Roman" w:eastAsia="游明朝"/>
                <w:sz w:val="18"/>
              </w:rPr>
              <w:t xml:space="preserve"> →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開示データによる検証可能性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+20%程度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COST顧客粘着力: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会員比率の開示</w:t>
            </w:r>
            <w:r>
              <w:rPr>
                <w:rFonts w:ascii="Times New Roman" w:hAnsi="Times New Roman" w:eastAsia="游明朝"/>
                <w:sz w:val="18"/>
              </w:rPr>
              <w:t xml:space="preserve"> →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CAGR接続</w:t>
            </w:r>
            <w:r>
              <w:rPr>
                <w:rFonts w:ascii="Times New Roman" w:hAnsi="Times New Roman" w:eastAsia="游明朝"/>
                <w:sz w:val="18"/>
              </w:rPr>
              <w:t xml:space="preserve">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業界構造との合致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+30%程度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ORLY#2: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フラグメント市場</w:t>
            </w:r>
            <w:r>
              <w:rPr>
                <w:rFonts w:ascii="Times New Roman" w:hAnsi="Times New Roman" w:eastAsia="游明朝"/>
                <w:sz w:val="18"/>
              </w:rPr>
              <w:t xml:space="preserve"> ×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規模・密度</w:t>
            </w:r>
            <w:r>
              <w:rPr>
                <w:rFonts w:ascii="Times New Roman" w:hAnsi="Times New Roman" w:eastAsia="游明朝"/>
                <w:sz w:val="18"/>
              </w:rPr>
              <w:t xml:space="preserve"> →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能力・仕組みの具体的説明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+10-20%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CHD#1: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買収基準の明確化、人員投入プロセス</w:t>
            </w:r>
            <w:r>
              <w:rPr>
                <w:rFonts w:ascii="Times New Roman" w:hAnsi="Times New Roman" w:eastAsia="游明朝"/>
                <w:sz w:val="18"/>
              </w:rPr>
              <w:t xml:space="preserve"> → 70%</w:t>
            </w:r>
          </w:p>
        </w:tc>
      </w:tr>
    </w:tbl>
    <w:bookmarkEnd w:id="13"/>
    <w:bookmarkStart w:id="14" w:name="評価を下げる要因"/>
    <w:p>
      <w:pPr>
        <w:pStyle w:val="Heading3"/>
      </w:pPr>
      <w:r>
        <w:t xml:space="preserve">2.3 </w:t>
      </w:r>
      <w:r>
        <w:rPr>
          <w:rFonts w:hint="eastAsia"/>
        </w:rPr>
        <w:t xml:space="preserve">評価を下げる要因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3"/>
        <w:gridCol w:w="2066"/>
        <w:gridCol w:w="2066"/>
        <w:gridCol w:w="275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要因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効果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具体例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結果を原因とする転倒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-30%以上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CHD#4: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成長加速を優位性とする</w:t>
            </w:r>
            <w:r>
              <w:rPr>
                <w:rFonts w:ascii="Times New Roman" w:hAnsi="Times New Roman" w:eastAsia="游明朝"/>
                <w:sz w:val="18"/>
              </w:rPr>
              <w:t xml:space="preserve"> →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業界共通能力の固有化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-30%以上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LLY#6: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大手共通ネットワーク</w:t>
            </w:r>
            <w:r>
              <w:rPr>
                <w:rFonts w:ascii="Times New Roman" w:hAnsi="Times New Roman" w:eastAsia="游明朝"/>
                <w:sz w:val="18"/>
              </w:rPr>
              <w:t xml:space="preserve"> →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純粋競合に対する差別化不明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-10-20%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COST#3: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SAMS/BJ対比不明</w:t>
            </w:r>
            <w:r>
              <w:rPr>
                <w:rFonts w:ascii="Times New Roman" w:hAnsi="Times New Roman" w:eastAsia="游明朝"/>
                <w:sz w:val="18"/>
              </w:rPr>
              <w:t xml:space="preserve"> →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定性評価での説明不足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-10-20%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COST#2: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「劇場型」のみでは売り場づくりの説明が不足</w:t>
            </w:r>
            <w:r>
              <w:rPr>
                <w:rFonts w:ascii="Times New Roman" w:hAnsi="Times New Roman" w:eastAsia="游明朝"/>
                <w:sz w:val="18"/>
              </w:rPr>
              <w:t xml:space="preserve"> →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四半期レビューからの拡大解釈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-10-20%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CHD#4,#5: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②から拡大解釈された優位性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cagr接続の評価基準"/>
    <w:p>
      <w:pPr>
        <w:pStyle w:val="Heading2"/>
      </w:pPr>
      <w:r>
        <w:t xml:space="preserve">3. </w:t>
      </w:r>
      <w:r>
        <w:rPr>
          <w:rFonts w:hint="eastAsia"/>
        </w:rPr>
        <w:t xml:space="preserve">CAGR接続の評価基準</w:t>
      </w:r>
    </w:p>
    <w:bookmarkStart w:id="16" w:name="基本方針"/>
    <w:p>
      <w:pPr>
        <w:pStyle w:val="Heading3"/>
      </w:pPr>
      <w:r>
        <w:t xml:space="preserve">3.1 </w:t>
      </w:r>
      <w:r>
        <w:rPr>
          <w:rFonts w:hint="eastAsia"/>
        </w:rPr>
        <w:t xml:space="preserve">基本方針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優位性の有無とCAGR接続は独立して評価する</w:t>
      </w:r>
      <w:r>
        <w:rPr>
          <w:rFonts w:hint="eastAsia"/>
        </w:rPr>
        <w:t xml:space="preserve">（Phase</w:t>
      </w:r>
      <w:r>
        <w:t xml:space="preserve"> </w:t>
      </w:r>
      <w:r>
        <w:rPr>
          <w:rFonts w:hint="eastAsia"/>
        </w:rPr>
        <w:t xml:space="preserve">2での試行的運用）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CAGR接続の評価は</w:t>
      </w:r>
      <w:r>
        <w:t xml:space="preserve"> </w:t>
      </w:r>
      <w:r>
        <w:rPr>
          <w:rFonts w:hint="eastAsia"/>
          <w:b/>
          <w:bCs/>
        </w:rPr>
        <w:t xml:space="preserve">「優位性が100%あるものとして」</w:t>
      </w:r>
      <w:r>
        <w:t xml:space="preserve"> </w:t>
      </w:r>
      <w:r>
        <w:rPr>
          <w:rFonts w:hint="eastAsia"/>
        </w:rPr>
        <w:t xml:space="preserve">行う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最終納得度は「優位性」×「CAGR前提」の掛け算で評価すべき</w:t>
      </w:r>
      <w:r>
        <w:rPr>
          <w:rFonts w:hint="eastAsia"/>
        </w:rPr>
        <w:t xml:space="preserve">（本来のあるべき姿。Phase</w:t>
      </w:r>
      <w:r>
        <w:t xml:space="preserve"> </w:t>
      </w:r>
      <w:r>
        <w:rPr>
          <w:rFonts w:hint="eastAsia"/>
        </w:rPr>
        <w:t xml:space="preserve">2では明示的に実施していないが、今後導入を検討）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構造的要素と補完的要素を明確に区分する</w:t>
      </w:r>
    </w:p>
    <w:p>
      <w:pPr>
        <w:pStyle w:val="BlockText"/>
      </w:pPr>
      <w:r>
        <w:rPr>
          <w:rFonts w:hint="eastAsia"/>
        </w:rPr>
        <w:t xml:space="preserve">出典:</w:t>
      </w:r>
      <w:r>
        <w:t xml:space="preserve"> feedback.md </w:t>
      </w:r>
      <w:r>
        <w:rPr>
          <w:rFonts w:hint="eastAsia"/>
        </w:rPr>
        <w:t xml:space="preserve">2025/11/4「優位性とCAGR下支えの評価は独立して行い、優位性が100%あるものとして、CAGR接続への納得度評価とする」</w:t>
      </w:r>
      <w:r>
        <w:t xml:space="preserve"> </w:t>
      </w:r>
      <w:r>
        <w:rPr>
          <w:rFonts w:hint="eastAsia"/>
          <w:b/>
          <w:bCs/>
        </w:rPr>
        <w:t xml:space="preserve">v1.0修正:</w:t>
      </w:r>
      <w:r>
        <w:t xml:space="preserve"> </w:t>
      </w:r>
      <w:r>
        <w:rPr>
          <w:rFonts w:hint="eastAsia"/>
        </w:rPr>
        <w:t xml:space="preserve">旧#3「優位性確信度とCAGR寄与の確度は分離すべき」はアナリストにより×判定。分離は試行であり、本来は掛け算で最終納得度を算出すべきとの見解。新#3として反映。</w:t>
      </w:r>
    </w:p>
    <w:bookmarkEnd w:id="16"/>
    <w:bookmarkStart w:id="17" w:name="高評価パターン"/>
    <w:p>
      <w:pPr>
        <w:pStyle w:val="Heading3"/>
      </w:pPr>
      <w:r>
        <w:t xml:space="preserve">3.2 </w:t>
      </w:r>
      <w:r>
        <w:rPr>
          <w:rFonts w:hint="eastAsia"/>
        </w:rPr>
        <w:t xml:space="preserve">高評価パターン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45"/>
        <w:gridCol w:w="3111"/>
        <w:gridCol w:w="2262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パターン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確信度目安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具体例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優位性→CAGRパラメータへの直接的メカニズム（1-2ステップ）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会員ミックス改善→ARPU→既存店売上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開示データで検証可能な接続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上級/通常会員比率が適宜開示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業界特性に合致したドライバー認識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日用品でのマーケティング→売上ドライバー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過去実績との整合性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M&amp;A寄与=+LSD%が過去15年実績と同等</w:t>
            </w:r>
          </w:p>
        </w:tc>
      </w:tr>
    </w:tbl>
    <w:bookmarkEnd w:id="17"/>
    <w:bookmarkStart w:id="18" w:name="低評価パターン"/>
    <w:p>
      <w:pPr>
        <w:pStyle w:val="Heading3"/>
      </w:pPr>
      <w:r>
        <w:t xml:space="preserve">3.3 </w:t>
      </w:r>
      <w:r>
        <w:rPr>
          <w:rFonts w:hint="eastAsia"/>
        </w:rPr>
        <w:t xml:space="preserve">低評価パターン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45"/>
        <w:gridCol w:w="3111"/>
        <w:gridCol w:w="2262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パターン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確信度目安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具体例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増収前提のレバレッジ接続（基盤説明なし）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退職率低下→営業レバレッジ+0.25%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数値の根拠が不透明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売上成長+1-2%の背景不明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既存店売上への抽象的接続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低価格→既存店効果（一般概念すぎ）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TAM/シェアの中間ステップ欠如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優位性→直接CAGR数値（市場規模経由なし）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ブランド力評価フレームワーク"/>
    <w:p>
      <w:pPr>
        <w:pStyle w:val="Heading2"/>
      </w:pPr>
      <w:r>
        <w:t xml:space="preserve">4. </w:t>
      </w:r>
      <w:r>
        <w:rPr>
          <w:rFonts w:hint="eastAsia"/>
        </w:rPr>
        <w:t xml:space="preserve">ブランド力評価フレームワーク</w:t>
      </w:r>
    </w:p>
    <w:p>
      <w:pPr>
        <w:pStyle w:val="FirstParagraph"/>
      </w:pPr>
      <w:r>
        <w:rPr>
          <w:rFonts w:hint="eastAsia"/>
        </w:rPr>
        <w:t xml:space="preserve">アナリストは過去の判断事例を体系的に参照しており、以下の6類型で評価する。</w:t>
      </w:r>
    </w:p>
    <w:bookmarkStart w:id="20" w:name="類型-1-ブランドポートフォリオ運営力"/>
    <w:p>
      <w:pPr>
        <w:pStyle w:val="Heading3"/>
      </w:pPr>
      <w:r>
        <w:rPr>
          <w:rFonts w:hint="eastAsia"/>
        </w:rPr>
        <w:t xml:space="preserve">類型</w:t>
      </w:r>
      <w:r>
        <w:t xml:space="preserve"> 1: </w:t>
      </w:r>
      <w:r>
        <w:rPr>
          <w:rFonts w:hint="eastAsia"/>
        </w:rPr>
        <w:t xml:space="preserve">ブランド「ポートフォリオ」運営力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評価対象:</w:t>
      </w:r>
      <w:r>
        <w:t xml:space="preserve"> </w:t>
      </w:r>
      <w:r>
        <w:rPr>
          <w:rFonts w:hint="eastAsia"/>
        </w:rPr>
        <w:t xml:space="preserve">ブランドのマネジメント力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過去事例:</w:t>
      </w:r>
      <w:r>
        <w:t xml:space="preserve"> </w:t>
      </w:r>
      <w:r>
        <w:rPr>
          <w:rFonts w:hint="eastAsia"/>
        </w:rPr>
        <w:t xml:space="preserve">ロレアル、ロリンズ（買収→ポート管理）、アトラスコプコ（地域別マルチ/単独戦略使い分け）</w:t>
      </w:r>
    </w:p>
    <w:bookmarkEnd w:id="20"/>
    <w:bookmarkStart w:id="21" w:name="類型-2-知名度ブランド認知"/>
    <w:p>
      <w:pPr>
        <w:pStyle w:val="Heading3"/>
      </w:pPr>
      <w:r>
        <w:rPr>
          <w:rFonts w:hint="eastAsia"/>
        </w:rPr>
        <w:t xml:space="preserve">類型</w:t>
      </w:r>
      <w:r>
        <w:t xml:space="preserve"> 2: </w:t>
      </w:r>
      <w:r>
        <w:rPr>
          <w:rFonts w:hint="eastAsia"/>
        </w:rPr>
        <w:t xml:space="preserve">知名度・ブランド認知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評価対象:</w:t>
      </w:r>
      <w:r>
        <w:t xml:space="preserve"> </w:t>
      </w:r>
      <w:r>
        <w:rPr>
          <w:rFonts w:hint="eastAsia"/>
        </w:rPr>
        <w:t xml:space="preserve">認知度の質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過去事例:</w:t>
      </w:r>
      <w:r>
        <w:t xml:space="preserve"> </w:t>
      </w:r>
      <w:r>
        <w:rPr>
          <w:rFonts w:hint="eastAsia"/>
        </w:rPr>
        <w:t xml:space="preserve">MSFT/AAPL/AMZN/Disney（圧倒的）、MSCI/MCO/S&amp;P（デファクト）、SBUX（差別化）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注意:</w:t>
      </w:r>
      <w:r>
        <w:t xml:space="preserve"> </w:t>
      </w:r>
      <w:r>
        <w:rPr>
          <w:rFonts w:hint="eastAsia"/>
        </w:rPr>
        <w:t xml:space="preserve">業界アンケート結果は「参考にする程度、アンケート主体への認知が乏しいこと多い」</w:t>
      </w:r>
    </w:p>
    <w:bookmarkEnd w:id="21"/>
    <w:bookmarkStart w:id="22" w:name="類型-3-価値の維持通貨代替機能"/>
    <w:p>
      <w:pPr>
        <w:pStyle w:val="Heading3"/>
      </w:pPr>
      <w:r>
        <w:rPr>
          <w:rFonts w:hint="eastAsia"/>
        </w:rPr>
        <w:t xml:space="preserve">類型</w:t>
      </w:r>
      <w:r>
        <w:t xml:space="preserve"> 3: </w:t>
      </w:r>
      <w:r>
        <w:rPr>
          <w:rFonts w:hint="eastAsia"/>
        </w:rPr>
        <w:t xml:space="preserve">価値の維持・通貨代替機能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評価対象:</w:t>
      </w:r>
      <w:r>
        <w:t xml:space="preserve"> </w:t>
      </w:r>
      <w:r>
        <w:rPr>
          <w:rFonts w:hint="eastAsia"/>
        </w:rPr>
        <w:t xml:space="preserve">ブランド価値の耐久性と交換価値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過去事例:</w:t>
      </w:r>
      <w:r>
        <w:t xml:space="preserve"> </w:t>
      </w:r>
      <w:r>
        <w:rPr>
          <w:rFonts w:hint="eastAsia"/>
        </w:rPr>
        <w:t xml:space="preserve">AAPL/エルメス/フェラーリ（高残価）、マルボロ/ディアジオ（通貨代替）</w:t>
      </w:r>
    </w:p>
    <w:bookmarkEnd w:id="22"/>
    <w:bookmarkStart w:id="23" w:name="類型-4-ブランドキーパーソンの経営層取り込み"/>
    <w:p>
      <w:pPr>
        <w:pStyle w:val="Heading3"/>
      </w:pPr>
      <w:r>
        <w:rPr>
          <w:rFonts w:hint="eastAsia"/>
        </w:rPr>
        <w:t xml:space="preserve">類型</w:t>
      </w:r>
      <w:r>
        <w:t xml:space="preserve"> 4: </w:t>
      </w:r>
      <w:r>
        <w:rPr>
          <w:rFonts w:hint="eastAsia"/>
        </w:rPr>
        <w:t xml:space="preserve">ブランドキーパーソンの経営層取り込み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評価対象:</w:t>
      </w:r>
      <w:r>
        <w:t xml:space="preserve"> </w:t>
      </w:r>
      <w:r>
        <w:rPr>
          <w:rFonts w:hint="eastAsia"/>
        </w:rPr>
        <w:t xml:space="preserve">ブランドへの経営コミットメント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過去事例:</w:t>
      </w:r>
      <w:r>
        <w:t xml:space="preserve"> </w:t>
      </w:r>
      <w:r>
        <w:rPr>
          <w:rFonts w:hint="eastAsia"/>
        </w:rPr>
        <w:t xml:space="preserve">コーチ/タペストリー、AAPL（デザイン責任者のC-suite化）</w:t>
      </w:r>
    </w:p>
    <w:bookmarkEnd w:id="23"/>
    <w:bookmarkStart w:id="24" w:name="類型-5-ブランドの継承変革の歴史v1.0追加"/>
    <w:p>
      <w:pPr>
        <w:pStyle w:val="Heading3"/>
      </w:pPr>
      <w:r>
        <w:rPr>
          <w:rFonts w:hint="eastAsia"/>
        </w:rPr>
        <w:t xml:space="preserve">類型</w:t>
      </w:r>
      <w:r>
        <w:t xml:space="preserve"> 5: </w:t>
      </w:r>
      <w:r>
        <w:rPr>
          <w:rFonts w:hint="eastAsia"/>
        </w:rPr>
        <w:t xml:space="preserve">ブランドの継承・変革の歴史（v1.0追加）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評価対象:</w:t>
      </w:r>
      <w:r>
        <w:t xml:space="preserve"> </w:t>
      </w:r>
      <w:r>
        <w:rPr>
          <w:rFonts w:hint="eastAsia"/>
        </w:rPr>
        <w:t xml:space="preserve">キーパーソンや社員のブランドへの考え、それらがどのように継承・変革されてきたかの過程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背景:</w:t>
      </w:r>
      <w:r>
        <w:t xml:space="preserve"> </w:t>
      </w:r>
      <w:r>
        <w:rPr>
          <w:rFonts w:hint="eastAsia"/>
        </w:rPr>
        <w:t xml:space="preserve">流行り廃りでなく長期にわたるブランド価値の維持には、継承と変革の過程理解が必要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アナリスト見解:</w:t>
      </w:r>
      <w:r>
        <w:t xml:space="preserve"> </w:t>
      </w:r>
      <w:r>
        <w:rPr>
          <w:rFonts w:hint="eastAsia"/>
        </w:rPr>
        <w:t xml:space="preserve">背後要因として</w:t>
      </w:r>
      <w:r>
        <w:rPr>
          <w:rFonts w:hint="eastAsia"/>
          <w:b/>
          <w:bCs/>
        </w:rPr>
        <w:t xml:space="preserve">最も重要</w:t>
      </w:r>
      <w:r>
        <w:rPr>
          <w:rFonts w:hint="eastAsia"/>
        </w:rPr>
        <w:t xml:space="preserve">と位置づけ</w:t>
      </w:r>
    </w:p>
    <w:bookmarkEnd w:id="24"/>
    <w:bookmarkStart w:id="25" w:name="類型-6-第三者評価業界口コミv1.0追加"/>
    <w:p>
      <w:pPr>
        <w:pStyle w:val="Heading3"/>
      </w:pPr>
      <w:r>
        <w:rPr>
          <w:rFonts w:hint="eastAsia"/>
        </w:rPr>
        <w:t xml:space="preserve">類型</w:t>
      </w:r>
      <w:r>
        <w:t xml:space="preserve"> 6: </w:t>
      </w:r>
      <w:r>
        <w:rPr>
          <w:rFonts w:hint="eastAsia"/>
        </w:rPr>
        <w:t xml:space="preserve">第三者評価・業界口コミ（v1.0追加）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評価対象:</w:t>
      </w:r>
      <w:r>
        <w:t xml:space="preserve"> </w:t>
      </w:r>
      <w:r>
        <w:rPr>
          <w:rFonts w:hint="eastAsia"/>
        </w:rPr>
        <w:t xml:space="preserve">業界関係者の口コミ、第三者評価機関の調査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注意:</w:t>
      </w:r>
      <w:r>
        <w:t xml:space="preserve"> </w:t>
      </w:r>
      <w:r>
        <w:rPr>
          <w:rFonts w:hint="eastAsia"/>
        </w:rPr>
        <w:t xml:space="preserve">類型2の業界アンケートと同様、評価主体の信頼性を考慮すべき</w:t>
      </w:r>
    </w:p>
    <w:p>
      <w:pPr>
        <w:pStyle w:val="FirstParagraph"/>
      </w:pPr>
      <w:r>
        <w:rPr>
          <w:rFonts w:hint="eastAsia"/>
          <w:b/>
          <w:bCs/>
        </w:rPr>
        <w:t xml:space="preserve">アナリストの自己認識:</w:t>
      </w:r>
      <w:r>
        <w:t xml:space="preserve"> </w:t>
      </w:r>
      <w:r>
        <w:rPr>
          <w:rFonts w:hint="eastAsia"/>
        </w:rPr>
        <w:t xml:space="preserve">「外見的な評価が多く、背後要因をもとにした評価が少ない印象」→</w:t>
      </w:r>
      <w:r>
        <w:t xml:space="preserve"> </w:t>
      </w:r>
      <w:r>
        <w:rPr>
          <w:rFonts w:hint="eastAsia"/>
        </w:rPr>
        <w:t xml:space="preserve">ブランド力の「背後要因」分析を課題としている。</w:t>
      </w:r>
      <w:r>
        <w:rPr>
          <w:rFonts w:hint="eastAsia"/>
          <w:b/>
          <w:bCs/>
        </w:rPr>
        <w:t xml:space="preserve">背後要因として最も重要なのは類型5（継承と変革の歴史）</w:t>
      </w:r>
      <w:r>
        <w:t xml:space="preserve"> </w:t>
      </w:r>
      <w:r>
        <w:rPr>
          <w:rFonts w:hint="eastAsia"/>
        </w:rPr>
        <w:t xml:space="preserve">であるとの回答。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情報ソースの優先順位"/>
    <w:p>
      <w:pPr>
        <w:pStyle w:val="Heading2"/>
      </w:pPr>
      <w:r>
        <w:t xml:space="preserve">5. </w:t>
      </w:r>
      <w:r>
        <w:rPr>
          <w:rFonts w:hint="eastAsia"/>
        </w:rPr>
        <w:t xml:space="preserve">情報ソースの優先順位</w:t>
      </w:r>
    </w:p>
    <w:bookmarkStart w:id="27" w:name="期初レポート-vs-四半期レビュー"/>
    <w:p>
      <w:pPr>
        <w:pStyle w:val="Heading3"/>
      </w:pPr>
      <w:r>
        <w:t xml:space="preserve">5.1 </w:t>
      </w:r>
      <w:r>
        <w:rPr>
          <w:rFonts w:hint="eastAsia"/>
        </w:rPr>
        <w:t xml:space="preserve">期初レポート</w:t>
      </w:r>
      <w:r>
        <w:t xml:space="preserve"> vs </w:t>
      </w:r>
      <w:r>
        <w:rPr>
          <w:rFonts w:hint="eastAsia"/>
        </w:rPr>
        <w:t xml:space="preserve">四半期レビュー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1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優先度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ソース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扱い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主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期初投資仮説レポート（投資前提の設定）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投資仮説の根幹。ここで設定された優位性が基準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四半期継続評価レポート（フォロー）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①の妥当性を再検証するための材料。新たな優位性の「発見」には警戒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「②の積み重ねから拡大解釈するのでなく、①の妥当性を再検討させるような仕組み考えられないのでしょうか?」</w:t>
      </w:r>
    </w:p>
    <w:bookmarkEnd w:id="27"/>
    <w:bookmarkStart w:id="28" w:name="ai-に期待する機能"/>
    <w:p>
      <w:pPr>
        <w:pStyle w:val="Heading3"/>
      </w:pPr>
      <w:r>
        <w:t xml:space="preserve">5.2 AI </w:t>
      </w:r>
      <w:r>
        <w:rPr>
          <w:rFonts w:hint="eastAsia"/>
        </w:rPr>
        <w:t xml:space="preserve">に期待する機能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優先度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既存判断への警鐘（FM/ANが既存判断に縛られていることへの指摘）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推論段階での批判が最終出力で消えないこと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銘柄間での一貫した推論パターンの適用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Few-shot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examplesの影響を制御した安定的な出力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2" w:name="判断ルール一覧"/>
    <w:p>
      <w:pPr>
        <w:pStyle w:val="Heading2"/>
      </w:pPr>
      <w:r>
        <w:t xml:space="preserve">6. </w:t>
      </w:r>
      <w:r>
        <w:rPr>
          <w:rFonts w:hint="eastAsia"/>
        </w:rPr>
        <w:t xml:space="preserve">判断ルール一覧</w:t>
      </w:r>
    </w:p>
    <w:bookmarkStart w:id="30" w:name="ルール-1-優位性は能力仕組みであり結果実績ではない"/>
    <w:p>
      <w:pPr>
        <w:pStyle w:val="Heading3"/>
      </w:pPr>
      <w:r>
        <w:t xml:space="preserve">ルール 1: </w:t>
      </w:r>
      <w:r>
        <w:rPr>
          <w:rFonts w:hint="eastAsia"/>
        </w:rPr>
        <w:t xml:space="preserve">優位性は「能力・仕組み」であり「結果・実績」ではない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rPr>
          <w:rFonts w:hint="eastAsia"/>
        </w:rPr>
        <w:t xml:space="preserve">「買収ターゲットの選定能力」（CHD#1:</w:t>
      </w:r>
      <w:r>
        <w:t xml:space="preserve"> </w:t>
      </w:r>
      <w:r>
        <w:rPr>
          <w:rFonts w:hint="eastAsia"/>
        </w:rPr>
        <w:t xml:space="preserve">70%）—</w:t>
      </w:r>
      <w:r>
        <w:t xml:space="preserve"> </w:t>
      </w:r>
      <w:r>
        <w:rPr>
          <w:rFonts w:hint="eastAsia"/>
        </w:rPr>
        <w:t xml:space="preserve">買収基準の明確化、人員投入、精査過程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悪い例:</w:t>
      </w:r>
      <w:r>
        <w:t xml:space="preserve"> </w:t>
      </w:r>
      <w:r>
        <w:rPr>
          <w:rFonts w:hint="eastAsia"/>
        </w:rPr>
        <w:t xml:space="preserve">「買収ブランドが国際事業成長を加速」（CHD#4:</w:t>
      </w:r>
      <w:r>
        <w:t xml:space="preserve"> </w:t>
      </w:r>
      <w:r>
        <w:rPr>
          <w:rFonts w:hint="eastAsia"/>
        </w:rPr>
        <w:t xml:space="preserve">30%）—</w:t>
      </w:r>
      <w:r>
        <w:t xml:space="preserve"> </w:t>
      </w:r>
      <w:r>
        <w:rPr>
          <w:rFonts w:hint="eastAsia"/>
        </w:rPr>
        <w:t xml:space="preserve">成長加速は結果</w:t>
      </w:r>
    </w:p>
    <w:bookmarkEnd w:id="30"/>
    <w:bookmarkStart w:id="31" w:name="ルール-2-優位性は名詞で表現される属性"/>
    <w:p>
      <w:pPr>
        <w:pStyle w:val="Heading3"/>
      </w:pPr>
      <w:r>
        <w:t xml:space="preserve">ルール 2: </w:t>
      </w:r>
      <w:r>
        <w:rPr>
          <w:rFonts w:hint="eastAsia"/>
        </w:rPr>
        <w:t xml:space="preserve">優位性は「名詞」で表現される属性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rPr>
          <w:rFonts w:hint="eastAsia"/>
        </w:rPr>
        <w:t xml:space="preserve">ブランド力、スイッチングコスト、エコシステム、技術力、ノウハウ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悪い例:</w:t>
      </w:r>
      <w:r>
        <w:t xml:space="preserve"> </w:t>
      </w:r>
      <w:r>
        <w:rPr>
          <w:rFonts w:hint="eastAsia"/>
        </w:rPr>
        <w:t xml:space="preserve">「国際展開を加速している」「ポートフォリオをシフトしている」—</w:t>
      </w:r>
      <w:r>
        <w:t xml:space="preserve"> </w:t>
      </w:r>
      <w:r>
        <w:rPr>
          <w:rFonts w:hint="eastAsia"/>
        </w:rPr>
        <w:t xml:space="preserve">動詞=行動=戦略</w:t>
      </w:r>
    </w:p>
    <w:bookmarkEnd w:id="31"/>
    <w:bookmarkStart w:id="32" w:name="ルール-3-相対的優位性を要求誰でも持っているは却下"/>
    <w:p>
      <w:pPr>
        <w:pStyle w:val="Heading3"/>
      </w:pPr>
      <w:r>
        <w:t xml:space="preserve">ルール 3: </w:t>
      </w:r>
      <w:r>
        <w:rPr>
          <w:rFonts w:hint="eastAsia"/>
        </w:rPr>
        <w:t xml:space="preserve">相対的優位性を要求（「誰でも持っている」は却下）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rPr>
          <w:rFonts w:hint="eastAsia"/>
        </w:rPr>
        <w:t xml:space="preserve">LLY#2（Novo対比での経口GLP-1の具体的差別化:</w:t>
      </w:r>
      <w:r>
        <w:t xml:space="preserve"> </w:t>
      </w:r>
      <w:r>
        <w:rPr>
          <w:rFonts w:hint="eastAsia"/>
        </w:rPr>
        <w:t xml:space="preserve">70%）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悪い例:</w:t>
      </w:r>
      <w:r>
        <w:t xml:space="preserve"> </w:t>
      </w:r>
      <w:r>
        <w:rPr>
          <w:rFonts w:hint="eastAsia"/>
        </w:rPr>
        <w:t xml:space="preserve">LLY#6（「グローバル医療機関ネットワーク」=メガファーマ共通:</w:t>
      </w:r>
      <w:r>
        <w:t xml:space="preserve"> </w:t>
      </w:r>
      <w:r>
        <w:rPr>
          <w:rFonts w:hint="eastAsia"/>
        </w:rPr>
        <w:t xml:space="preserve">30%）</w:t>
      </w:r>
    </w:p>
    <w:bookmarkEnd w:id="32"/>
    <w:bookmarkStart w:id="33" w:name="ルール-4-優位性の説明力が評価の基盤定量はwant説明力がmust"/>
    <w:p>
      <w:pPr>
        <w:pStyle w:val="Heading3"/>
      </w:pPr>
      <w:r>
        <w:t xml:space="preserve">ルール 4: </w:t>
      </w:r>
      <w:r>
        <w:rPr>
          <w:rFonts w:hint="eastAsia"/>
        </w:rPr>
        <w:t xml:space="preserve">優位性の説明力が評価の基盤（定量はWANT、説明力がMUST）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rPr>
          <w:rFonts w:hint="eastAsia"/>
        </w:rPr>
        <w:t xml:space="preserve">COST#1（退職率9%</w:t>
      </w:r>
      <w:r>
        <w:t xml:space="preserve"> vs </w:t>
      </w:r>
      <w:r>
        <w:rPr>
          <w:rFonts w:hint="eastAsia"/>
        </w:rPr>
        <w:t xml:space="preserve">業界20%+:</w:t>
      </w:r>
      <w:r>
        <w:t xml:space="preserve"> </w:t>
      </w:r>
      <w:r>
        <w:rPr>
          <w:rFonts w:hint="eastAsia"/>
        </w:rPr>
        <w:t xml:space="preserve">70%）—</w:t>
      </w:r>
      <w:r>
        <w:t xml:space="preserve"> </w:t>
      </w:r>
      <w:r>
        <w:rPr>
          <w:rFonts w:hint="eastAsia"/>
        </w:rPr>
        <w:t xml:space="preserve">定量裏付け+説明力あり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悪い例:</w:t>
      </w:r>
      <w:r>
        <w:t xml:space="preserve"> </w:t>
      </w:r>
      <w:r>
        <w:rPr>
          <w:rFonts w:hint="eastAsia"/>
        </w:rPr>
        <w:t xml:space="preserve">COST#2（「劇場型」のみの説明:</w:t>
      </w:r>
      <w:r>
        <w:t xml:space="preserve"> </w:t>
      </w:r>
      <w:r>
        <w:rPr>
          <w:rFonts w:hint="eastAsia"/>
        </w:rPr>
        <w:t xml:space="preserve">10%）—</w:t>
      </w:r>
      <w:r>
        <w:t xml:space="preserve"> </w:t>
      </w:r>
      <w:r>
        <w:rPr>
          <w:rFonts w:hint="eastAsia"/>
        </w:rPr>
        <w:t xml:space="preserve">どんな売り場づくりかの説明が不足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注意:</w:t>
      </w:r>
      <w:r>
        <w:t xml:space="preserve"> </w:t>
      </w:r>
      <w:r>
        <w:rPr>
          <w:rFonts w:hint="eastAsia"/>
        </w:rPr>
        <w:t xml:space="preserve">定量データがあれば評価は上がる（WANT）が、なくても説明が十分であれば評価可能。説明力こそがMUST</w:t>
      </w:r>
    </w:p>
    <w:bookmarkEnd w:id="33"/>
    <w:bookmarkStart w:id="34" w:name="ルール-5-cagr接続は直接的メカニズムと検証可能性を要求"/>
    <w:p>
      <w:pPr>
        <w:pStyle w:val="Heading3"/>
      </w:pPr>
      <w:r>
        <w:t xml:space="preserve">ルール 5: </w:t>
      </w:r>
      <w:r>
        <w:rPr>
          <w:rFonts w:hint="eastAsia"/>
        </w:rPr>
        <w:t xml:space="preserve">CAGR接続は直接的メカニズムと検証可能性を要求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rPr>
          <w:rFonts w:hint="eastAsia"/>
        </w:rPr>
        <w:t xml:space="preserve">COST顧客粘着力（会員更新率→ARPU→既存店:</w:t>
      </w:r>
      <w:r>
        <w:t xml:space="preserve"> </w:t>
      </w:r>
      <w:r>
        <w:rPr>
          <w:rFonts w:hint="eastAsia"/>
        </w:rPr>
        <w:t xml:space="preserve">90%）—</w:t>
      </w:r>
      <w:r>
        <w:t xml:space="preserve"> </w:t>
      </w:r>
      <w:r>
        <w:rPr>
          <w:rFonts w:hint="eastAsia"/>
        </w:rPr>
        <w:t xml:space="preserve">開示データで検証可能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悪い例:</w:t>
      </w:r>
      <w:r>
        <w:t xml:space="preserve"> </w:t>
      </w:r>
      <w:r>
        <w:rPr>
          <w:rFonts w:hint="eastAsia"/>
        </w:rPr>
        <w:t xml:space="preserve">COST思いやり経営CAGR（退職率低下→営業レバレッジ+0.25%:</w:t>
      </w:r>
      <w:r>
        <w:t xml:space="preserve"> </w:t>
      </w:r>
      <w:r>
        <w:rPr>
          <w:rFonts w:hint="eastAsia"/>
        </w:rPr>
        <w:t xml:space="preserve">20%）—</w:t>
      </w:r>
      <w:r>
        <w:t xml:space="preserve"> </w:t>
      </w:r>
      <w:r>
        <w:rPr>
          <w:rFonts w:hint="eastAsia"/>
        </w:rPr>
        <w:t xml:space="preserve">間接的すぎ</w:t>
      </w:r>
    </w:p>
    <w:bookmarkEnd w:id="34"/>
    <w:bookmarkStart w:id="35" w:name="ルール-6-構造的要素と補完的要素を区別する"/>
    <w:p>
      <w:pPr>
        <w:pStyle w:val="Heading3"/>
      </w:pPr>
      <w:r>
        <w:t xml:space="preserve">ルール 6: </w:t>
      </w:r>
      <w:r>
        <w:rPr>
          <w:rFonts w:hint="eastAsia"/>
        </w:rPr>
        <w:t xml:space="preserve">構造的要素と補完的要素を区別する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rPr>
          <w:rFonts w:hint="eastAsia"/>
        </w:rPr>
        <w:t xml:space="preserve">ベンダー交渉力=構造的（COST:</w:t>
      </w:r>
      <w:r>
        <w:t xml:space="preserve"> </w:t>
      </w:r>
      <w:r>
        <w:rPr>
          <w:rFonts w:hint="eastAsia"/>
        </w:rPr>
        <w:t xml:space="preserve">70%）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悪い例:</w:t>
      </w:r>
      <w:r>
        <w:t xml:space="preserve"> </w:t>
      </w:r>
      <w:r>
        <w:rPr>
          <w:rFonts w:hint="eastAsia"/>
        </w:rPr>
        <w:t xml:space="preserve">ガソリン販売=補完的（COST:</w:t>
      </w:r>
      <w:r>
        <w:t xml:space="preserve"> </w:t>
      </w:r>
      <w:r>
        <w:rPr>
          <w:rFonts w:hint="eastAsia"/>
        </w:rPr>
        <w:t xml:space="preserve">20%）</w:t>
      </w:r>
    </w:p>
    <w:bookmarkEnd w:id="35"/>
    <w:bookmarkStart w:id="36" w:name="ルール-7-純粋競合に対する差別化を要求"/>
    <w:p>
      <w:pPr>
        <w:pStyle w:val="Heading3"/>
      </w:pPr>
      <w:r>
        <w:t xml:space="preserve">ルール 7: </w:t>
      </w:r>
      <w:r>
        <w:rPr>
          <w:rFonts w:hint="eastAsia"/>
        </w:rPr>
        <w:t xml:space="preserve">純粋競合に対する差別化を要求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rPr>
          <w:rFonts w:hint="eastAsia"/>
        </w:rPr>
        <w:t xml:space="preserve">ORLY#1（AZO対比でのDIFM補充頻度:</w:t>
      </w:r>
      <w:r>
        <w:t xml:space="preserve"> </w:t>
      </w:r>
      <w:r>
        <w:rPr>
          <w:rFonts w:hint="eastAsia"/>
        </w:rPr>
        <w:t xml:space="preserve">70%）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悪い例:</w:t>
      </w:r>
      <w:r>
        <w:t xml:space="preserve"> </w:t>
      </w:r>
      <w:r>
        <w:rPr>
          <w:rFonts w:hint="eastAsia"/>
        </w:rPr>
        <w:t xml:space="preserve">COST#3（倉庫型モデルの優位性はSAMS</w:t>
      </w:r>
      <w:r>
        <w:t xml:space="preserve"> </w:t>
      </w:r>
      <w:r>
        <w:rPr>
          <w:rFonts w:hint="eastAsia"/>
        </w:rPr>
        <w:t xml:space="preserve">CLUB/BJに対して不明:</w:t>
      </w:r>
      <w:r>
        <w:t xml:space="preserve"> </w:t>
      </w:r>
      <w:r>
        <w:rPr>
          <w:rFonts w:hint="eastAsia"/>
        </w:rPr>
        <w:t xml:space="preserve">50%）</w:t>
      </w:r>
    </w:p>
    <w:bookmarkEnd w:id="36"/>
    <w:bookmarkStart w:id="37" w:name="ルール-8-戦略-優位性"/>
    <w:p>
      <w:pPr>
        <w:pStyle w:val="Heading3"/>
      </w:pPr>
      <w:r>
        <w:t xml:space="preserve">ルール 8: </w:t>
      </w:r>
      <w:r>
        <w:rPr>
          <w:rFonts w:hint="eastAsia"/>
        </w:rPr>
        <w:t xml:space="preserve">戦略</w:t>
      </w:r>
      <w:r>
        <w:t xml:space="preserve"> ≠ </w:t>
      </w:r>
      <w:r>
        <w:rPr>
          <w:rFonts w:hint="eastAsia"/>
        </w:rPr>
        <w:t xml:space="preserve">優位性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rPr>
          <w:rFonts w:hint="eastAsia"/>
        </w:rPr>
        <w:t xml:space="preserve">「ローカルな規模の経済」（ORLY#2:</w:t>
      </w:r>
      <w:r>
        <w:t xml:space="preserve"> </w:t>
      </w:r>
      <w:r>
        <w:rPr>
          <w:rFonts w:hint="eastAsia"/>
        </w:rPr>
        <w:t xml:space="preserve">90%）—</w:t>
      </w:r>
      <w:r>
        <w:t xml:space="preserve"> </w:t>
      </w:r>
      <w:r>
        <w:rPr>
          <w:rFonts w:hint="eastAsia"/>
        </w:rPr>
        <w:t xml:space="preserve">構造的な優位性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悪い例:</w:t>
      </w:r>
      <w:r>
        <w:t xml:space="preserve"> </w:t>
      </w:r>
      <w:r>
        <w:rPr>
          <w:rFonts w:hint="eastAsia"/>
        </w:rPr>
        <w:t xml:space="preserve">「ドミナント出店戦略」—</w:t>
      </w:r>
      <w:r>
        <w:t xml:space="preserve"> </w:t>
      </w:r>
      <w:r>
        <w:rPr>
          <w:rFonts w:hint="eastAsia"/>
        </w:rPr>
        <w:t xml:space="preserve">戦略は意思決定であり優位性ではない</w:t>
      </w:r>
    </w:p>
    <w:bookmarkEnd w:id="37"/>
    <w:bookmarkStart w:id="38" w:name="ルール-9-事実誤認は即却下"/>
    <w:p>
      <w:pPr>
        <w:pStyle w:val="Heading3"/>
      </w:pPr>
      <w:r>
        <w:t xml:space="preserve">ルール 9: </w:t>
      </w:r>
      <w:r>
        <w:rPr>
          <w:rFonts w:hint="eastAsia"/>
        </w:rPr>
        <w:t xml:space="preserve">事実誤認は即却下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悪い例:</w:t>
      </w:r>
      <w:r>
        <w:t xml:space="preserve"> </w:t>
      </w:r>
      <w:r>
        <w:rPr>
          <w:rFonts w:hint="eastAsia"/>
        </w:rPr>
        <w:t xml:space="preserve">MNST#6（OPMをGPMと誤認:</w:t>
      </w:r>
      <w:r>
        <w:t xml:space="preserve"> </w:t>
      </w:r>
      <w:r>
        <w:rPr>
          <w:rFonts w:hint="eastAsia"/>
        </w:rPr>
        <w:t xml:space="preserve">10%）—</w:t>
      </w:r>
      <w:r>
        <w:t xml:space="preserve"> </w:t>
      </w:r>
      <w:r>
        <w:rPr>
          <w:rFonts w:hint="eastAsia"/>
        </w:rPr>
        <w:t xml:space="preserve">財務指標の誤認で前提が崩壊</w:t>
      </w:r>
    </w:p>
    <w:bookmarkEnd w:id="38"/>
    <w:bookmarkStart w:id="39" w:name="ルール-10-ネガティブケース実行しなかった例による裏付けを評価"/>
    <w:p>
      <w:pPr>
        <w:pStyle w:val="Heading3"/>
      </w:pPr>
      <w:r>
        <w:t xml:space="preserve">ルール 10: </w:t>
      </w:r>
      <w:r>
        <w:rPr>
          <w:rFonts w:hint="eastAsia"/>
        </w:rPr>
        <w:t xml:space="preserve">ネガティブケース（実行しなかった例）による裏付けを評価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rPr>
          <w:rFonts w:hint="eastAsia"/>
        </w:rPr>
        <w:t xml:space="preserve">CHD#7（バリュエーションや収益成長持続性による買収断念例: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rPr>
          <w:rFonts w:hint="eastAsia"/>
        </w:rPr>
        <w:t xml:space="preserve">CHD#1（見合う案件を見送る規律:</w:t>
      </w:r>
      <w:r>
        <w:t xml:space="preserve"> </w:t>
      </w:r>
      <w:r>
        <w:rPr>
          <w:rFonts w:hint="eastAsia"/>
        </w:rPr>
        <w:t xml:space="preserve">70%）</w:t>
      </w:r>
    </w:p>
    <w:bookmarkEnd w:id="39"/>
    <w:bookmarkStart w:id="40" w:name="ルール-11-業界構造と企業ポジションの合致を最も高く評価"/>
    <w:p>
      <w:pPr>
        <w:pStyle w:val="Heading3"/>
      </w:pPr>
      <w:r>
        <w:t xml:space="preserve">ルール 11: </w:t>
      </w:r>
      <w:r>
        <w:rPr>
          <w:rFonts w:hint="eastAsia"/>
        </w:rPr>
        <w:t xml:space="preserve">業界構造と企業ポジションの合致を最も高く評価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良い例:</w:t>
      </w:r>
      <w:r>
        <w:t xml:space="preserve"> </w:t>
      </w:r>
      <w:r>
        <w:t xml:space="preserve">ORLY#2, </w:t>
      </w:r>
      <w:r>
        <w:rPr>
          <w:rFonts w:hint="eastAsia"/>
        </w:rPr>
        <w:t xml:space="preserve">#5（フラグメント市場</w:t>
      </w:r>
      <w:r>
        <w:t xml:space="preserve"> × </w:t>
      </w:r>
      <w:r>
        <w:rPr>
          <w:rFonts w:hint="eastAsia"/>
        </w:rPr>
        <w:t xml:space="preserve">規模・密度・ネットワーク:</w:t>
      </w:r>
      <w:r>
        <w:t xml:space="preserve"> </w:t>
      </w:r>
      <w:r>
        <w:rPr>
          <w:rFonts w:hint="eastAsia"/>
        </w:rPr>
        <w:t xml:space="preserve">90%）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条件:</w:t>
      </w:r>
      <w:r>
        <w:t xml:space="preserve"> </w:t>
      </w:r>
      <w:r>
        <w:rPr>
          <w:rFonts w:hint="eastAsia"/>
        </w:rPr>
        <w:t xml:space="preserve">市場構造（フラグメント化、地域密度の重要性）と企業の構造的ポジションが合致</w:t>
      </w:r>
    </w:p>
    <w:bookmarkEnd w:id="40"/>
    <w:bookmarkStart w:id="41" w:name="ルール-12-期初レポート①が主四半期レビュー②が従"/>
    <w:p>
      <w:pPr>
        <w:pStyle w:val="Heading3"/>
      </w:pPr>
      <w:r>
        <w:t xml:space="preserve">ルール 12: </w:t>
      </w:r>
      <w:r>
        <w:rPr>
          <w:rFonts w:hint="eastAsia"/>
        </w:rPr>
        <w:t xml:space="preserve">期初レポート（①）が主、四半期レビュー（②）が従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②から新たな優位性を「発見」することへの警戒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既存判断への警鐘機能を最も重視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スコア分布の参考値phase-2-実績"/>
    <w:p>
      <w:pPr>
        <w:pStyle w:val="Heading2"/>
      </w:pPr>
      <w:r>
        <w:t xml:space="preserve">7. </w:t>
      </w:r>
      <w:r>
        <w:rPr>
          <w:rFonts w:hint="eastAsia"/>
        </w:rPr>
        <w:t xml:space="preserve">スコア分布の参考値（Phase</w:t>
      </w:r>
      <w:r>
        <w:t xml:space="preserve"> 2 </w:t>
      </w:r>
      <w:r>
        <w:rPr>
          <w:rFonts w:hint="eastAsia"/>
        </w:rPr>
        <w:t xml:space="preserve">実績）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評価ランク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優位性スコア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CAGR接続スコア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かなり納得（90%）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6% (2/34)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11% (4/36)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おおむね納得（70%）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26% (8/34)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38% (14/36)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まあ納得（50%）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35% (11/34)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32% (12/36)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あまり納得しない（20-30%）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26% (8/34)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19% (7/36)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却下（10%）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6% (2/34)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0% (0/36)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注意:</w:t>
      </w:r>
      <w:r>
        <w:t xml:space="preserve"> </w:t>
      </w:r>
      <w:r>
        <w:rPr>
          <w:rFonts w:hint="eastAsia"/>
        </w:rPr>
        <w:t xml:space="preserve">アナリストは多くの仮説に対して「まあ納得（50%）」と評価する傾向がある。90%</w:t>
      </w:r>
      <w:r>
        <w:t xml:space="preserve"> </w:t>
      </w:r>
      <w:r>
        <w:rPr>
          <w:rFonts w:hint="eastAsia"/>
        </w:rPr>
        <w:t xml:space="preserve">は極めて稀で、業界構造との合致がある場合に限られる。CAGR接続は優位性評価より全体的に高いスコアが出る。</w:t>
      </w:r>
    </w:p>
    <w:bookmarkEnd w:id="43"/>
    <w:bookmarkEnd w:id="44"/>
    <w:sectPr>
      <w:footnotePr>
        <w:numRestart w:val="eachSect"/>
      </w:footnotePr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theme="minorBidi" w:eastAsia="游明朝" w:eastAsiaTheme="minorEastAsia" w:hAnsi="Times New Roman" w:hAnsiTheme="minorHAns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游明朝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eastAsia="游明朝" w:hAnsi="Times New Roman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eastAsia="游明朝" w:hAnsi="Times New Roman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eastAsia="游明朝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="游明朝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="游明朝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="游明朝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="游明朝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="游明朝" w:eastAsiaTheme="majorEastAsia" w:hAnsi="Times New Roman"/>
      <w:b/>
      <w:color w:themeColor="accent1" w:themeShade="BF" w:val="0F4761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eastAsia="游明朝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游明朝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2026-02-27T05:35:44Z</dcterms:created>
  <dcterms:modified xsi:type="dcterms:W3CDTF">2026-02-27T05:35:44Z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