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llyeli-lilly-and-company競争優位性評価レポート最終版"/>
    <w:p>
      <w:pPr>
        <w:pStyle w:val="Heading1"/>
      </w:pPr>
      <w:r>
        <w:rPr>
          <w:rFonts w:hint="eastAsia"/>
        </w:rPr>
        <w:t xml:space="preserve">LLY（Eli</w:t>
      </w:r>
      <w:r>
        <w:t xml:space="preserve"> Lilly and </w:t>
      </w:r>
      <w:r>
        <w:rPr>
          <w:rFonts w:hint="eastAsia"/>
        </w:rPr>
        <w:t xml:space="preserve">Company）競争優位性評価レポート（最終版）</w:t>
      </w:r>
    </w:p>
    <w:p>
      <w:pPr>
        <w:pStyle w:val="BlockText"/>
      </w:pPr>
      <w:r>
        <w:rPr>
          <w:b/>
          <w:bCs/>
        </w:rPr>
        <w:t xml:space="preserve">リサーチID</w:t>
      </w:r>
      <w:r>
        <w:t xml:space="preserve">: CA_eval_20260226-2021_LLY</w:t>
      </w:r>
      <w:r>
        <w:t xml:space="preserve"> </w:t>
      </w:r>
      <w:r>
        <w:rPr>
          <w:rFonts w:hint="eastAsia"/>
          <w:b/>
          <w:bCs/>
        </w:rPr>
        <w:t xml:space="preserve">作成日</w:t>
      </w:r>
      <w:r>
        <w:t xml:space="preserve">: 2026-02-26</w:t>
      </w:r>
      <w:r>
        <w:t xml:space="preserve"> </w:t>
      </w:r>
      <w:r>
        <w:rPr>
          <w:b/>
          <w:bCs/>
        </w:rPr>
        <w:t xml:space="preserve">バージョン</w:t>
      </w:r>
      <w:r>
        <w:t xml:space="preserve">: </w:t>
      </w:r>
      <w:r>
        <w:rPr>
          <w:rFonts w:hint="eastAsia"/>
        </w:rPr>
        <w:t xml:space="preserve">revised_v1（T8</w:t>
      </w:r>
      <w:r>
        <w:t xml:space="preserve"> </w:t>
      </w:r>
      <w:r>
        <w:rPr>
          <w:rFonts w:hint="eastAsia"/>
        </w:rPr>
        <w:t xml:space="preserve">AI批判プロセス適用済み）</w:t>
      </w:r>
      <w:r>
        <w:t xml:space="preserve"> </w:t>
      </w:r>
      <w:r>
        <w:rPr>
          <w:rFonts w:hint="eastAsia"/>
          <w:b/>
          <w:bCs/>
        </w:rPr>
        <w:t xml:space="preserve">評価者</w:t>
      </w:r>
      <w:r>
        <w:t xml:space="preserve">: ca-eval </w:t>
      </w:r>
      <w:r>
        <w:rPr>
          <w:rFonts w:hint="eastAsia"/>
        </w:rPr>
        <w:t xml:space="preserve">ワークフロー（Lead直接実行）</w:t>
      </w:r>
      <w:r>
        <w:t xml:space="preserve"> </w:t>
      </w:r>
      <w:r>
        <w:rPr>
          <w:b/>
          <w:bCs/>
        </w:rPr>
        <w:t xml:space="preserve">データソース</w:t>
      </w:r>
      <w:r>
        <w:t xml:space="preserve">: SEC EDGAR (MCP), </w:t>
      </w:r>
      <w:r>
        <w:rPr>
          <w:rFonts w:hint="eastAsia"/>
        </w:rPr>
        <w:t xml:space="preserve">アナリストレポート（analyst/raw/LLY</w:t>
      </w:r>
      <w:r>
        <w:t xml:space="preserve"> </w:t>
      </w:r>
      <w:r>
        <w:rPr>
          <w:rFonts w:hint="eastAsia"/>
        </w:rPr>
        <w:t xml:space="preserve">US.md）</w:t>
      </w:r>
      <w:r>
        <w:t xml:space="preserve"> </w:t>
      </w:r>
      <w:r>
        <w:rPr>
          <w:b/>
          <w:bCs/>
        </w:rPr>
        <w:t xml:space="preserve">KBバージョン</w:t>
      </w:r>
      <w:r>
        <w:t xml:space="preserve">: </w:t>
      </w:r>
      <w:r>
        <w:rPr>
          <w:rFonts w:hint="eastAsia"/>
        </w:rPr>
        <w:t xml:space="preserve">v1.0（2026-02-26</w:t>
      </w:r>
      <w:r>
        <w:t xml:space="preserve"> </w:t>
      </w:r>
      <w:r>
        <w:rPr>
          <w:rFonts w:hint="eastAsia"/>
        </w:rPr>
        <w:t xml:space="preserve">アナリスト検証済み）</w:t>
      </w:r>
      <w:r>
        <w:t xml:space="preserve"> </w:t>
      </w:r>
      <w:r>
        <w:rPr>
          <w:rFonts w:hint="eastAsia"/>
          <w:b/>
          <w:bCs/>
        </w:rPr>
        <w:t xml:space="preserve">T8適用</w:t>
      </w:r>
      <w:r>
        <w:t xml:space="preserve">: </w:t>
      </w:r>
      <w:r>
        <w:rPr>
          <w:rFonts w:hint="eastAsia"/>
        </w:rPr>
        <w:t xml:space="preserve">critique.json（critical</w:t>
      </w:r>
      <w:r>
        <w:t xml:space="preserve"> x </w:t>
      </w:r>
      <w:r>
        <w:rPr>
          <w:rFonts w:hint="eastAsia"/>
        </w:rPr>
        <w:t xml:space="preserve">1件、minor</w:t>
      </w:r>
      <w:r>
        <w:t xml:space="preserve"> x </w:t>
      </w:r>
      <w:r>
        <w:rPr>
          <w:rFonts w:hint="eastAsia"/>
        </w:rPr>
        <w:t xml:space="preserve">5件）の指摘を反映済み</w:t>
      </w:r>
    </w:p>
    <w:p>
      <w:r>
        <w:pict>
          <v:rect style="width:0;height:1.5pt" o:hralign="center" o:hrstd="t" o:hr="t"/>
        </w:pict>
      </w:r>
    </w:p>
    <w:bookmarkStart w:id="9" w:name="銘柄概要"/>
    <w:p>
      <w:pPr>
        <w:pStyle w:val="Heading2"/>
      </w:pPr>
      <w:r>
        <w:t xml:space="preserve">1. </w:t>
      </w:r>
      <w:r>
        <w:rPr>
          <w:rFonts w:hint="eastAsia"/>
        </w:rPr>
        <w:t xml:space="preserve">銘柄概要</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項目</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内容</w:t>
            </w:r>
          </w:p>
        </w:tc>
      </w:tr>
      <w:tr>
        <w:tc>
          <w:tcPr/>
          <w:p>
            <w:pPr>
              <w:pStyle w:val="Compact"/>
            </w:pPr>
            <w:r>
              <w:rPr>
                <w:rFonts w:ascii="Times New Roman" w:hAnsi="Times New Roman" w:eastAsia="游明朝"/>
                <w:sz w:val="18"/>
              </w:rPr>
              <w:t xml:space="preserve">ティッカー</w:t>
            </w:r>
          </w:p>
        </w:tc>
        <w:tc>
          <w:tcPr/>
          <w:p>
            <w:pPr>
              <w:pStyle w:val="Compact"/>
            </w:pPr>
            <w:r>
              <w:rPr>
                <w:rFonts w:ascii="Times New Roman" w:hAnsi="Times New Roman" w:eastAsia="游明朝"/>
                <w:sz w:val="18"/>
              </w:rPr>
              <w:t xml:space="preserve">LLY</w:t>
            </w:r>
          </w:p>
        </w:tc>
      </w:tr>
      <w:tr>
        <w:tc>
          <w:tcPr/>
          <w:p>
            <w:pPr>
              <w:pStyle w:val="Compact"/>
            </w:pPr>
            <w:r>
              <w:rPr>
                <w:rFonts w:hint="eastAsia" w:ascii="Times New Roman" w:hAnsi="Times New Roman" w:eastAsia="游明朝"/>
                <w:sz w:val="18"/>
              </w:rPr>
              <w:t xml:space="preserve">企業名</w:t>
            </w:r>
          </w:p>
        </w:tc>
        <w:tc>
          <w:tcPr/>
          <w:p>
            <w:pPr>
              <w:pStyle w:val="Compact"/>
            </w:pPr>
            <w:r>
              <w:rPr>
                <w:rFonts w:ascii="Times New Roman" w:hAnsi="Times New Roman" w:eastAsia="游明朝"/>
                <w:sz w:val="18"/>
              </w:rPr>
              <w:t xml:space="preserve">Eli Lilly and Company</w:t>
            </w:r>
          </w:p>
        </w:tc>
      </w:tr>
      <w:tr>
        <w:tc>
          <w:tcPr/>
          <w:p>
            <w:pPr>
              <w:pStyle w:val="Compact"/>
            </w:pPr>
            <w:r>
              <w:rPr>
                <w:rFonts w:ascii="Times New Roman" w:hAnsi="Times New Roman" w:eastAsia="游明朝"/>
                <w:sz w:val="18"/>
              </w:rPr>
              <w:t xml:space="preserve">セクター</w:t>
            </w:r>
          </w:p>
        </w:tc>
        <w:tc>
          <w:tcPr/>
          <w:p>
            <w:pPr>
              <w:pStyle w:val="Compact"/>
            </w:pPr>
            <w:r>
              <w:rPr>
                <w:rFonts w:hint="eastAsia" w:ascii="Times New Roman" w:hAnsi="Times New Roman" w:eastAsia="游明朝"/>
                <w:sz w:val="18"/>
              </w:rPr>
              <w:t xml:space="preserve">医薬品（メガファーマ）</w:t>
            </w:r>
          </w:p>
        </w:tc>
      </w:tr>
      <w:tr>
        <w:tc>
          <w:tcPr/>
          <w:p>
            <w:pPr>
              <w:pStyle w:val="Compact"/>
            </w:pPr>
            <w:r>
              <w:rPr>
                <w:rFonts w:hint="eastAsia" w:ascii="Times New Roman" w:hAnsi="Times New Roman" w:eastAsia="游明朝"/>
                <w:sz w:val="18"/>
              </w:rPr>
              <w:t xml:space="preserve">FY2025売上高</w:t>
            </w:r>
          </w:p>
        </w:tc>
        <w:tc>
          <w:tcPr/>
          <w:p>
            <w:pPr>
              <w:pStyle w:val="Compact"/>
            </w:pPr>
            <w:r>
              <w:rPr>
                <w:rFonts w:hint="eastAsia" w:ascii="Times New Roman" w:hAnsi="Times New Roman" w:eastAsia="游明朝"/>
                <w:sz w:val="18"/>
              </w:rPr>
              <w:t xml:space="preserve">$65.2B（SEC</w:t>
            </w:r>
            <w:r>
              <w:rPr>
                <w:rFonts w:ascii="Times New Roman" w:hAnsi="Times New Roman" w:eastAsia="游明朝"/>
                <w:sz w:val="18"/>
              </w:rPr>
              <w:t xml:space="preserve"> EDGAR </w:t>
            </w:r>
            <w:r>
              <w:rPr>
                <w:rFonts w:hint="eastAsia" w:ascii="Times New Roman" w:hAnsi="Times New Roman" w:eastAsia="游明朝"/>
                <w:sz w:val="18"/>
              </w:rPr>
              <w:t xml:space="preserve">10-K確認済み）</w:t>
            </w:r>
          </w:p>
        </w:tc>
      </w:tr>
      <w:tr>
        <w:tc>
          <w:tcPr/>
          <w:p>
            <w:pPr>
              <w:pStyle w:val="Compact"/>
            </w:pPr>
            <w:r>
              <w:rPr>
                <w:rFonts w:hint="eastAsia" w:ascii="Times New Roman" w:hAnsi="Times New Roman" w:eastAsia="游明朝"/>
                <w:sz w:val="18"/>
              </w:rPr>
              <w:t xml:space="preserve">FY2025純利益</w:t>
            </w:r>
          </w:p>
        </w:tc>
        <w:tc>
          <w:tcPr/>
          <w:p>
            <w:pPr>
              <w:pStyle w:val="Compact"/>
            </w:pPr>
            <w:r>
              <w:rPr>
                <w:rFonts w:hint="eastAsia" w:ascii="Times New Roman" w:hAnsi="Times New Roman" w:eastAsia="游明朝"/>
                <w:sz w:val="18"/>
              </w:rPr>
              <w:t xml:space="preserve">$20.6B（純利益率31.7%）</w:t>
            </w:r>
          </w:p>
        </w:tc>
      </w:tr>
      <w:tr>
        <w:tc>
          <w:tcPr/>
          <w:p>
            <w:pPr>
              <w:pStyle w:val="Compact"/>
            </w:pPr>
            <w:r>
              <w:rPr>
                <w:rFonts w:ascii="Times New Roman" w:hAnsi="Times New Roman" w:eastAsia="游明朝"/>
                <w:sz w:val="18"/>
              </w:rPr>
              <w:t xml:space="preserve">PP&amp;E</w:t>
            </w:r>
          </w:p>
        </w:tc>
        <w:tc>
          <w:tcPr/>
          <w:p>
            <w:pPr>
              <w:pStyle w:val="Compact"/>
            </w:pPr>
            <w:r>
              <w:rPr>
                <w:rFonts w:hint="eastAsia" w:ascii="Times New Roman" w:hAnsi="Times New Roman" w:eastAsia="游明朝"/>
                <w:sz w:val="18"/>
              </w:rPr>
              <w:t xml:space="preserve">$24.7B（製造能力拡大投資を反映）</w:t>
            </w:r>
          </w:p>
        </w:tc>
      </w:tr>
      <w:tr>
        <w:tc>
          <w:tcPr/>
          <w:p>
            <w:pPr>
              <w:pStyle w:val="Compact"/>
            </w:pPr>
            <w:r>
              <w:rPr>
                <w:rFonts w:hint="eastAsia" w:ascii="Times New Roman" w:hAnsi="Times New Roman" w:eastAsia="游明朝"/>
                <w:sz w:val="18"/>
              </w:rPr>
              <w:t xml:space="preserve">CAGR推定</w:t>
            </w:r>
          </w:p>
        </w:tc>
        <w:tc>
          <w:tcPr/>
          <w:p>
            <w:pPr>
              <w:pStyle w:val="Compact"/>
            </w:pPr>
            <w:r>
              <w:rPr>
                <w:rFonts w:ascii="Times New Roman" w:hAnsi="Times New Roman" w:eastAsia="游明朝"/>
                <w:sz w:val="18"/>
              </w:rPr>
              <w:t xml:space="preserve">High </w:t>
            </w:r>
            <w:r>
              <w:rPr>
                <w:rFonts w:hint="eastAsia" w:ascii="Times New Roman" w:hAnsi="Times New Roman" w:eastAsia="游明朝"/>
                <w:sz w:val="18"/>
              </w:rPr>
              <w:t xml:space="preserve">teens（10%台後半）</w:t>
            </w:r>
          </w:p>
        </w:tc>
      </w:tr>
      <w:tr>
        <w:tc>
          <w:tcPr/>
          <w:p>
            <w:pPr>
              <w:pStyle w:val="Compact"/>
            </w:pPr>
            <w:r>
              <w:rPr>
                <w:rFonts w:hint="eastAsia" w:ascii="Times New Roman" w:hAnsi="Times New Roman" w:eastAsia="游明朝"/>
                <w:sz w:val="18"/>
              </w:rPr>
              <w:t xml:space="preserve">主要成長ドライバー</w:t>
            </w:r>
          </w:p>
        </w:tc>
        <w:tc>
          <w:tcPr/>
          <w:p>
            <w:pPr>
              <w:pStyle w:val="Compact"/>
            </w:pPr>
            <w:r>
              <w:rPr>
                <w:rFonts w:hint="eastAsia" w:ascii="Times New Roman" w:hAnsi="Times New Roman" w:eastAsia="游明朝"/>
                <w:sz w:val="18"/>
              </w:rPr>
              <w:t xml:space="preserve">GLP-1作動薬（Mounjaro/orforglipron）、donanemab（アルツハイマー）、Verzenio（乳がん）</w:t>
            </w:r>
          </w:p>
        </w:tc>
      </w:tr>
    </w:tbl>
    <w:p>
      <w:r>
        <w:pict>
          <v:rect style="width:0;height:1.5pt" o:hralign="center" o:hrstd="t" o:hr="t"/>
        </w:pict>
      </w:r>
    </w:p>
    <w:bookmarkEnd w:id="9"/>
    <w:bookmarkStart w:id="16" w:name="競争優位性評価サマリー"/>
    <w:p>
      <w:pPr>
        <w:pStyle w:val="Heading2"/>
      </w:pPr>
      <w:r>
        <w:t xml:space="preserve">2. </w:t>
      </w:r>
      <w:r>
        <w:rPr>
          <w:rFonts w:hint="eastAsia"/>
        </w:rPr>
        <w:t xml:space="preserve">競争優位性評価サマリー</w:t>
      </w:r>
    </w:p>
    <w:p>
      <w:r>
        <w:pict>
          <v:rect style="width:0;height:1.5pt" o:hralign="center" o:hrstd="t" o:hr="t"/>
        </w:pict>
      </w:r>
    </w:p>
    <w:bookmarkStart w:id="10" w:name="複数超大型市場ポートフォリオ"/>
    <w:p>
      <w:pPr>
        <w:pStyle w:val="Heading4"/>
      </w:pPr>
      <w:r>
        <w:t xml:space="preserve">#1 </w:t>
      </w:r>
      <w:r>
        <w:rPr>
          <w:rFonts w:hint="eastAsia"/>
        </w:rPr>
        <w:t xml:space="preserve">複数超大型市場ポートフォリオ</w:t>
      </w:r>
    </w:p>
    <w:p>
      <w:pPr>
        <w:pStyle w:val="FirstParagraph"/>
      </w:pPr>
      <w:r>
        <w:rPr>
          <w:rFonts w:hint="eastAsia"/>
          <w:b/>
          <w:bCs/>
        </w:rPr>
        <w:t xml:space="preserve">AI評価</w:t>
      </w:r>
      <w:r>
        <w:t xml:space="preserve">:</w:t>
      </w:r>
      <w:r>
        <w:t xml:space="preserve"> </w:t>
      </w:r>
      <w:r>
        <w:rPr>
          <w:rFonts w:hint="eastAsia"/>
          <w:b/>
          <w:bCs/>
        </w:rPr>
        <w:t xml:space="preserve">50%（まあ納得）</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r>
        <w:t xml:space="preserve"> </w:t>
      </w:r>
      <w:r>
        <w:rPr>
          <w:rFonts w:hint="eastAsia"/>
        </w:rPr>
        <w:t xml:space="preserve">メガファーマ共通能力（ルール7</w:t>
      </w:r>
      <w:r>
        <w:t xml:space="preserve"> </w:t>
      </w:r>
      <w:r>
        <w:rPr>
          <w:rFonts w:hint="eastAsia"/>
        </w:rPr>
        <w:t xml:space="preserve">FAIL）</w:t>
      </w:r>
    </w:p>
    <w:p>
      <w:r>
        <w:pict>
          <v:rect style="width:0;height:1.5pt" o:hralign="center" o:hrstd="t" o:hr="t"/>
        </w:pict>
      </w:r>
    </w:p>
    <w:bookmarkEnd w:id="10"/>
    <w:bookmarkStart w:id="11" w:name="低分子型経口glp-1の技術的差別化"/>
    <w:p>
      <w:pPr>
        <w:pStyle w:val="Heading4"/>
      </w:pPr>
      <w:r>
        <w:t xml:space="preserve">#2 </w:t>
      </w:r>
      <w:r>
        <w:rPr>
          <w:rFonts w:hint="eastAsia"/>
        </w:rPr>
        <w:t xml:space="preserve">低分子型経口GLP-1の技術的差別化</w:t>
      </w:r>
    </w:p>
    <w:p>
      <w:pPr>
        <w:pStyle w:val="FirstParagraph"/>
      </w:pPr>
      <w:r>
        <w:rPr>
          <w:rFonts w:hint="eastAsia"/>
          <w:b/>
          <w:bCs/>
        </w:rPr>
        <w:t xml:space="preserve">AI評価</w:t>
      </w:r>
      <w:r>
        <w:t xml:space="preserve">:</w:t>
      </w:r>
      <w:r>
        <w:t xml:space="preserve"> </w:t>
      </w:r>
      <w:r>
        <w:rPr>
          <w:rFonts w:hint="eastAsia"/>
          <w:b/>
          <w:bCs/>
        </w:rPr>
        <w:t xml:space="preserve">70%（おおむね納得）</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r>
        <w:t xml:space="preserve"> </w:t>
      </w:r>
      <w:r>
        <w:rPr>
          <w:rFonts w:hint="eastAsia"/>
        </w:rPr>
        <w:t xml:space="preserve">根源要因言及不足が70%の上限条件</w:t>
      </w:r>
    </w:p>
    <w:p>
      <w:r>
        <w:pict>
          <v:rect style="width:0;height:1.5pt" o:hralign="center" o:hrstd="t" o:hr="t"/>
        </w:pict>
      </w:r>
    </w:p>
    <w:bookmarkEnd w:id="11"/>
    <w:bookmarkStart w:id="12" w:name="アルツハイマー臨床開発ノウハウ"/>
    <w:p>
      <w:pPr>
        <w:pStyle w:val="Heading4"/>
      </w:pPr>
      <w:r>
        <w:t xml:space="preserve">#3 </w:t>
      </w:r>
      <w:r>
        <w:rPr>
          <w:rFonts w:hint="eastAsia"/>
        </w:rPr>
        <w:t xml:space="preserve">アルツハイマー臨床開発ノウハウ</w:t>
      </w:r>
    </w:p>
    <w:p>
      <w:pPr>
        <w:pStyle w:val="FirstParagraph"/>
      </w:pPr>
      <w:r>
        <w:rPr>
          <w:rFonts w:hint="eastAsia"/>
          <w:b/>
          <w:bCs/>
        </w:rPr>
        <w:t xml:space="preserve">AI評価</w:t>
      </w:r>
      <w:r>
        <w:t xml:space="preserve">:</w:t>
      </w:r>
      <w:r>
        <w:t xml:space="preserve"> </w:t>
      </w:r>
      <w:r>
        <w:rPr>
          <w:rFonts w:hint="eastAsia"/>
          <w:b/>
          <w:bCs/>
        </w:rPr>
        <w:t xml:space="preserve">50%（まあ納得）</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r>
        <w:t xml:space="preserve"> </w:t>
      </w:r>
      <w:r>
        <w:rPr>
          <w:rFonts w:hint="eastAsia"/>
        </w:rPr>
        <w:t xml:space="preserve">高リスク、CAGR接続間接的、複数メカニズムの限界</w:t>
      </w:r>
    </w:p>
    <w:p>
      <w:r>
        <w:pict>
          <v:rect style="width:0;height:1.5pt" o:hralign="center" o:hrstd="t" o:hr="t"/>
        </w:pict>
      </w:r>
    </w:p>
    <w:bookmarkEnd w:id="12"/>
    <w:bookmarkStart w:id="13" w:name="glp-1供給能力の参入障壁"/>
    <w:p>
      <w:pPr>
        <w:pStyle w:val="Heading4"/>
      </w:pPr>
      <w:r>
        <w:t xml:space="preserve">#4 </w:t>
      </w:r>
      <w:r>
        <w:rPr>
          <w:rFonts w:hint="eastAsia"/>
        </w:rPr>
        <w:t xml:space="preserve">GLP-1供給能力の参入障壁</w:t>
      </w:r>
    </w:p>
    <w:p>
      <w:pPr>
        <w:pStyle w:val="FirstParagraph"/>
      </w:pPr>
      <w:r>
        <w:rPr>
          <w:rFonts w:hint="eastAsia"/>
          <w:b/>
          <w:bCs/>
        </w:rPr>
        <w:t xml:space="preserve">AI評価</w:t>
      </w:r>
      <w:r>
        <w:t xml:space="preserve">:</w:t>
      </w:r>
      <w:r>
        <w:t xml:space="preserve"> </w:t>
      </w:r>
      <w:r>
        <w:rPr>
          <w:rFonts w:hint="eastAsia"/>
          <w:b/>
          <w:bCs/>
        </w:rPr>
        <w:t xml:space="preserve">70%（おおむね納得）</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r>
        <w:t xml:space="preserve"> </w:t>
      </w:r>
      <w:r>
        <w:rPr>
          <w:rFonts w:hint="eastAsia"/>
        </w:rPr>
        <w:t xml:space="preserve">NOVO対比比較不足、持続性分析不足</w:t>
      </w:r>
    </w:p>
    <w:p>
      <w:r>
        <w:pict>
          <v:rect style="width:0;height:1.5pt" o:hralign="center" o:hrstd="t" o:hr="t"/>
        </w:pict>
      </w:r>
    </w:p>
    <w:bookmarkEnd w:id="13"/>
    <w:bookmarkStart w:id="14" w:name="mounjaro市場ポジションと粘着性"/>
    <w:p>
      <w:pPr>
        <w:pStyle w:val="Heading4"/>
      </w:pPr>
      <w:r>
        <w:t xml:space="preserve">#5 </w:t>
      </w:r>
      <w:r>
        <w:rPr>
          <w:rFonts w:hint="eastAsia"/>
        </w:rPr>
        <w:t xml:space="preserve">Mounjaro市場ポジションと粘着性</w:t>
      </w:r>
    </w:p>
    <w:p>
      <w:pPr>
        <w:pStyle w:val="FirstParagraph"/>
      </w:pPr>
      <w:r>
        <w:rPr>
          <w:rFonts w:hint="eastAsia"/>
          <w:b/>
          <w:bCs/>
        </w:rPr>
        <w:t xml:space="preserve">AI評価</w:t>
      </w:r>
      <w:r>
        <w:t xml:space="preserve">:</w:t>
      </w:r>
      <w:r>
        <w:t xml:space="preserve"> </w:t>
      </w:r>
      <w:r>
        <w:rPr>
          <w:rFonts w:hint="eastAsia"/>
          <w:b/>
          <w:bCs/>
        </w:rPr>
        <w:t xml:space="preserve">50%（まあ納得）</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r>
        <w:t xml:space="preserve"> </w:t>
      </w:r>
      <w:r>
        <w:rPr>
          <w:rFonts w:hint="eastAsia"/>
        </w:rPr>
        <w:t xml:space="preserve">PBMスイッチリスク（CVS事例）</w:t>
      </w:r>
    </w:p>
    <w:p>
      <w:r>
        <w:pict>
          <v:rect style="width:0;height:1.5pt" o:hralign="center" o:hrstd="t" o:hr="t"/>
        </w:pict>
      </w:r>
    </w:p>
    <w:bookmarkEnd w:id="14"/>
    <w:bookmarkStart w:id="15" w:name="グローバル医療機関ネットワーク"/>
    <w:p>
      <w:pPr>
        <w:pStyle w:val="Heading4"/>
      </w:pPr>
      <w:r>
        <w:t xml:space="preserve">#6 </w:t>
      </w:r>
      <w:r>
        <w:rPr>
          <w:rFonts w:hint="eastAsia"/>
        </w:rPr>
        <w:t xml:space="preserve">グローバル医療機関ネットワーク</w:t>
      </w:r>
    </w:p>
    <w:p>
      <w:pPr>
        <w:pStyle w:val="FirstParagraph"/>
      </w:pPr>
      <w:r>
        <w:rPr>
          <w:rFonts w:hint="eastAsia"/>
          <w:b/>
          <w:bCs/>
        </w:rPr>
        <w:t xml:space="preserve">AI評価</w:t>
      </w:r>
      <w:r>
        <w:t xml:space="preserve">:</w:t>
      </w:r>
      <w:r>
        <w:t xml:space="preserve"> </w:t>
      </w:r>
      <w:r>
        <w:rPr>
          <w:rFonts w:hint="eastAsia"/>
          <w:b/>
          <w:bCs/>
        </w:rPr>
        <w:t xml:space="preserve">30%（あまり納得しない）</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r>
        <w:t xml:space="preserve"> </w:t>
      </w:r>
      <w:r>
        <w:rPr>
          <w:rFonts w:hint="eastAsia"/>
        </w:rPr>
        <w:t xml:space="preserve">大手間共通能力（ルール3/7</w:t>
      </w:r>
      <w:r>
        <w:t xml:space="preserve"> </w:t>
      </w:r>
      <w:r>
        <w:rPr>
          <w:rFonts w:hint="eastAsia"/>
        </w:rPr>
        <w:t xml:space="preserve">FAIL）</w:t>
      </w:r>
    </w:p>
    <w:p>
      <w:pPr>
        <w:pStyle w:val="BodyText"/>
      </w:pPr>
      <w:r>
        <w:rPr>
          <w:rFonts w:hint="eastAsia"/>
          <w:b/>
          <w:bCs/>
        </w:rPr>
        <w:t xml:space="preserve">平均CA確信度:</w:t>
      </w:r>
      <w:r>
        <w:rPr>
          <w:b/>
          <w:bCs/>
        </w:rPr>
        <w:t xml:space="preserve"> 53% | </w:t>
      </w:r>
      <w:r>
        <w:rPr>
          <w:rFonts w:hint="eastAsia"/>
          <w:b/>
          <w:bCs/>
        </w:rPr>
        <w:t xml:space="preserve">平均CAGR確信度:</w:t>
      </w:r>
      <w:r>
        <w:rPr>
          <w:b/>
          <w:bCs/>
        </w:rPr>
        <w:t xml:space="preserve"> 60%</w:t>
      </w:r>
    </w:p>
    <w:p>
      <w:r>
        <w:pict>
          <v:rect style="width:0;height:1.5pt" o:hralign="center" o:hrstd="t" o:hr="t"/>
        </w:pict>
      </w:r>
    </w:p>
    <w:bookmarkEnd w:id="15"/>
    <w:bookmarkEnd w:id="16"/>
    <w:bookmarkStart w:id="29" w:name="主張別詳細評価"/>
    <w:p>
      <w:pPr>
        <w:pStyle w:val="Heading2"/>
      </w:pPr>
      <w:r>
        <w:t xml:space="preserve">3. </w:t>
      </w:r>
      <w:r>
        <w:rPr>
          <w:rFonts w:hint="eastAsia"/>
        </w:rPr>
        <w:t xml:space="preserve">主張別詳細評価</w:t>
      </w:r>
    </w:p>
    <w:p>
      <w:r>
        <w:pict>
          <v:rect style="width:0;height:1.5pt" o:hralign="center" o:hrstd="t" o:hr="t"/>
        </w:pict>
      </w:r>
    </w:p>
    <w:bookmarkStart w:id="18" w:name="主張-1-複数の超大型市場への同時ポートフォリオ戦略"/>
    <w:p>
      <w:pPr>
        <w:pStyle w:val="Heading3"/>
      </w:pPr>
      <w:r>
        <w:rPr>
          <w:rFonts w:hint="eastAsia"/>
        </w:rPr>
        <w:t xml:space="preserve">主張</w:t>
      </w:r>
      <w:r>
        <w:t xml:space="preserve"> #1: </w:t>
      </w:r>
      <w:r>
        <w:rPr>
          <w:rFonts w:hint="eastAsia"/>
        </w:rPr>
        <w:t xml:space="preserve">複数の超大型市場への同時ポートフォリオ戦略</w:t>
      </w:r>
    </w:p>
    <w:bookmarkStart w:id="17" w:name="ai評価-まあ納得50-t8修正-cagr内訳の分離明示"/>
    <w:p>
      <w:pPr>
        <w:pStyle w:val="Heading4"/>
      </w:pPr>
      <w:r>
        <w:rPr>
          <w:rFonts w:hint="eastAsia"/>
        </w:rPr>
        <w:t xml:space="preserve">AI評価:</w:t>
      </w:r>
      <w:r>
        <w:t xml:space="preserve"> </w:t>
      </w:r>
      <w:r>
        <w:rPr>
          <w:rFonts w:hint="eastAsia"/>
        </w:rPr>
        <w:t xml:space="preserve">まあ納得（50%）</w:t>
      </w:r>
      <w:r>
        <w:t xml:space="preserve"> </w:t>
      </w:r>
      <w:r>
        <w:rPr>
          <w:rFonts w:hint="eastAsia"/>
        </w:rPr>
        <w:t xml:space="preserve">[T8修正:</w:t>
      </w:r>
      <w:r>
        <w:t xml:space="preserve"> </w:t>
      </w:r>
      <w:r>
        <w:rPr>
          <w:rFonts w:hint="eastAsia"/>
        </w:rPr>
        <w:t xml:space="preserve">CAGR内訳の分離明示]</w:t>
      </w:r>
    </w:p>
    <w:p>
      <w:pPr>
        <w:pStyle w:val="FirstParagraph"/>
      </w:pPr>
      <w:r>
        <w:rPr>
          <w:rFonts w:hint="eastAsia"/>
        </w:rPr>
        <w:t xml:space="preserve">GLP-1（糖尿病・抗肥満症）、アルツハイマー型認知症、乳がんの複数超大型市場に同時展開し、単一薬品依存ではなく複数成長ドライバーが分散。業界他社比で20年代の大型特許切れリスクが小さい。FY2025売上$65.2B（SEC</w:t>
      </w:r>
      <w:r>
        <w:t xml:space="preserve"> </w:t>
      </w:r>
      <w:r>
        <w:rPr>
          <w:rFonts w:hint="eastAsia"/>
        </w:rPr>
        <w:t xml:space="preserve">EDGAR確認）が成長軌道を裏付ける。</w:t>
      </w:r>
    </w:p>
    <w:p>
      <w:pPr>
        <w:pStyle w:val="BodyText"/>
      </w:pPr>
      <w:r>
        <w:rPr>
          <w:rFonts w:hint="eastAsia"/>
          <w:b/>
          <w:bCs/>
        </w:rPr>
        <w:t xml:space="preserve">納得できる点</w:t>
      </w:r>
      <w:r>
        <w:t xml:space="preserve">: </w:t>
      </w:r>
      <w:r>
        <w:rPr>
          <w:rFonts w:hint="eastAsia"/>
        </w:rPr>
        <w:t xml:space="preserve">単一薬品依存企業との比較では業績安定性への寄与が見込める。大型市場（GLP-1、アルツハイマー、乳がん）でのポートフォリオ構築力は経営執行の能力として一定の評価に値する。</w:t>
      </w:r>
    </w:p>
    <w:p>
      <w:pPr>
        <w:pStyle w:val="BodyText"/>
      </w:pPr>
      <w:r>
        <w:rPr>
          <w:rFonts w:hint="eastAsia"/>
          <w:b/>
          <w:bCs/>
        </w:rPr>
        <w:t xml:space="preserve">懸念点</w:t>
      </w:r>
      <w:r>
        <w:t xml:space="preserve">:</w:t>
      </w:r>
      <w:r>
        <w:t xml:space="preserve"> </w:t>
      </w:r>
      <w:r>
        <w:rPr>
          <w:rFonts w:hint="eastAsia"/>
        </w:rPr>
        <w:t xml:space="preserve">グローバル大手医薬品であれば売上は複数製品の薬剤ポートから構成されるものであり、大手間の優位性とはなりにくい</w:t>
      </w:r>
      <w:r>
        <w:rPr>
          <w:rFonts w:hint="eastAsia"/>
        </w:rPr>
        <w:t xml:space="preserve">（KB3</w:t>
      </w:r>
      <w:r>
        <w:t xml:space="preserve"> </w:t>
      </w:r>
      <w:r>
        <w:rPr>
          <w:rFonts w:hint="eastAsia"/>
        </w:rPr>
        <w:t xml:space="preserve">LLY#1）。NOVO、PFE、MRK、ABBV等との具体的な差別化が示されていない（ルール7</w:t>
      </w:r>
      <w:r>
        <w:t xml:space="preserve"> </w:t>
      </w:r>
      <w:r>
        <w:rPr>
          <w:rFonts w:hint="eastAsia"/>
        </w:rPr>
        <w:t xml:space="preserve">FAIL）。</w:t>
      </w:r>
    </w:p>
    <w:p>
      <w:pPr>
        <w:pStyle w:val="BlockText"/>
      </w:pPr>
      <w:r>
        <w:rPr>
          <w:rFonts w:hint="eastAsia"/>
          <w:b/>
          <w:bCs/>
        </w:rPr>
        <w:t xml:space="preserve">[注1]</w:t>
      </w:r>
      <w:r>
        <w:rPr>
          <w:b/>
          <w:bCs/>
        </w:rPr>
        <w:t xml:space="preserve"> </w:t>
      </w:r>
      <w:r>
        <w:rPr>
          <w:rFonts w:hint="eastAsia"/>
          <w:b/>
          <w:bCs/>
        </w:rPr>
        <w:t xml:space="preserve">T8批判</w:t>
      </w:r>
      <w:r>
        <w:rPr>
          <w:b/>
          <w:bCs/>
        </w:rPr>
        <w:t xml:space="preserve"> (minor): </w:t>
      </w:r>
      <w:r>
        <w:rPr>
          <w:rFonts w:hint="eastAsia"/>
          <w:b/>
          <w:bCs/>
        </w:rPr>
        <w:t xml:space="preserve">CAGR寄与の内訳分離が不十分</w:t>
      </w:r>
    </w:p>
    <w:p>
      <w:pPr>
        <w:pStyle w:val="BlockText"/>
      </w:pPr>
      <w:r>
        <w:t xml:space="preserve">KB3 LLY#1のPhase </w:t>
      </w:r>
      <w:r>
        <w:rPr>
          <w:rFonts w:hint="eastAsia"/>
        </w:rPr>
        <w:t xml:space="preserve">2詳細評価では「売上成長寄与:</w:t>
      </w:r>
      <w:r>
        <w:t xml:space="preserve"> </w:t>
      </w:r>
      <w:r>
        <w:rPr>
          <w:rFonts w:hint="eastAsia"/>
        </w:rPr>
        <w:t xml:space="preserve">+10-12%（強く寄与）」と「グロスマージン改善寄与:</w:t>
      </w:r>
      <w:r>
        <w:t xml:space="preserve"> </w:t>
      </w:r>
      <w:r>
        <w:rPr>
          <w:rFonts w:hint="eastAsia"/>
        </w:rPr>
        <w:t xml:space="preserve">±0%（限定的）」が明確に分離されている。「製品ミックス変化がマージン改善を相殺する可能性」という指摘の核心は、ポートフォリオ優位性に起因するCAGR改善が売上成長に限定され、マージン寄与は実質ゼロであるという点。</w:t>
      </w:r>
    </w:p>
    <w:p>
      <w:pPr>
        <w:pStyle w:val="BlockText"/>
      </w:pPr>
      <w:r>
        <w:rPr>
          <w:rFonts w:hint="eastAsia"/>
          <w:b/>
          <w:bCs/>
        </w:rPr>
        <w:t xml:space="preserve">T8の判断</w:t>
      </w:r>
      <w:r>
        <w:t xml:space="preserve">: CAGR </w:t>
      </w:r>
      <w:r>
        <w:rPr>
          <w:rFonts w:hint="eastAsia"/>
        </w:rPr>
        <w:t xml:space="preserve">70%は適切と判断するが、「売上成長寄与:</w:t>
      </w:r>
      <w:r>
        <w:t xml:space="preserve"> </w:t>
      </w:r>
      <w:r>
        <w:rPr>
          <w:rFonts w:hint="eastAsia"/>
        </w:rPr>
        <w:t xml:space="preserve">+10-12%（強く寄与）」「グロスマージン改善寄与:</w:t>
      </w:r>
      <w:r>
        <w:t xml:space="preserve"> </w:t>
      </w:r>
      <w:r>
        <w:rPr>
          <w:rFonts w:hint="eastAsia"/>
        </w:rPr>
        <w:t xml:space="preserve">±0%（限定的）」の内訳を明示する。</w:t>
      </w:r>
    </w:p>
    <w:p>
      <w:pPr>
        <w:pStyle w:val="FirstParagraph"/>
      </w:pPr>
      <w:r>
        <w:rPr>
          <w:rFonts w:hint="eastAsia"/>
          <w:b/>
          <w:bCs/>
        </w:rPr>
        <w:t xml:space="preserve">ルール適用マトリクス</w:t>
      </w:r>
      <w:r>
        <w:t xml:space="preserv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68"/>
        <w:gridCol w:w="2376"/>
        <w:gridCol w:w="2376"/>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判定</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根拠</w:t>
            </w:r>
          </w:p>
        </w:tc>
      </w:tr>
      <w:tr>
        <w:tc>
          <w:tcPr/>
          <w:p>
            <w:pPr>
              <w:pStyle w:val="Compact"/>
            </w:pPr>
            <w:r>
              <w:rPr>
                <w:rFonts w:ascii="Times New Roman" w:hAnsi="Times New Roman" w:eastAsia="游明朝"/>
                <w:sz w:val="18"/>
              </w:rPr>
              <w:t xml:space="preserve">1: </w:t>
            </w:r>
            <w:r>
              <w:rPr>
                <w:rFonts w:hint="eastAsia" w:ascii="Times New Roman" w:hAnsi="Times New Roman" w:eastAsia="游明朝"/>
                <w:sz w:val="18"/>
              </w:rPr>
              <w:t xml:space="preserve">能力</w:t>
            </w:r>
            <w:r>
              <w:rPr>
                <w:rFonts w:ascii="Times New Roman" w:hAnsi="Times New Roman" w:eastAsia="游明朝"/>
                <w:sz w:val="18"/>
              </w:rPr>
              <w:t xml:space="preserve"> vs </w:t>
            </w:r>
            <w:r>
              <w:rPr>
                <w:rFonts w:hint="eastAsia" w:ascii="Times New Roman" w:hAnsi="Times New Roman" w:eastAsia="游明朝"/>
                <w:sz w:val="18"/>
              </w:rPr>
              <w:t xml:space="preserve">結果</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ポートフォリオ展開はポジション=結果に近い。経営執行の能力面もある</w:t>
            </w:r>
          </w:p>
        </w:tc>
      </w:tr>
      <w:tr>
        <w:tc>
          <w:tcPr/>
          <w:p>
            <w:pPr>
              <w:pStyle w:val="Compact"/>
            </w:pPr>
            <w:r>
              <w:rPr>
                <w:rFonts w:ascii="Times New Roman" w:hAnsi="Times New Roman" w:eastAsia="游明朝"/>
                <w:sz w:val="18"/>
              </w:rPr>
              <w:t xml:space="preserve">2: </w:t>
            </w:r>
            <w:r>
              <w:rPr>
                <w:rFonts w:hint="eastAsia" w:ascii="Times New Roman" w:hAnsi="Times New Roman" w:eastAsia="游明朝"/>
                <w:sz w:val="18"/>
              </w:rPr>
              <w:t xml:space="preserve">名詞属性</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「ポートフォリオ戦略」は戦略寄り。「管理力」が適切</w:t>
            </w:r>
          </w:p>
        </w:tc>
      </w:tr>
      <w:tr>
        <w:tc>
          <w:tcPr/>
          <w:p>
            <w:pPr>
              <w:pStyle w:val="Compact"/>
            </w:pPr>
            <w:r>
              <w:rPr>
                <w:rFonts w:ascii="Times New Roman" w:hAnsi="Times New Roman" w:eastAsia="游明朝"/>
                <w:sz w:val="18"/>
              </w:rPr>
              <w:t xml:space="preserve">3: </w:t>
            </w:r>
            <w:r>
              <w:rPr>
                <w:rFonts w:hint="eastAsia" w:ascii="Times New Roman" w:hAnsi="Times New Roman" w:eastAsia="游明朝"/>
                <w:sz w:val="18"/>
              </w:rPr>
              <w:t xml:space="preserve">相対的優位性</w:t>
            </w:r>
          </w:p>
        </w:tc>
        <w:tc>
          <w:tcPr/>
          <w:p>
            <w:pPr>
              <w:pStyle w:val="Compact"/>
            </w:pPr>
            <w:r>
              <w:rPr>
                <w:rFonts w:ascii="Times New Roman" w:hAnsi="Times New Roman" w:eastAsia="游明朝"/>
                <w:sz w:val="18"/>
              </w:rPr>
              <w:t xml:space="preserve">FAIL</w:t>
            </w:r>
          </w:p>
        </w:tc>
        <w:tc>
          <w:tcPr/>
          <w:p>
            <w:pPr>
              <w:pStyle w:val="Compact"/>
            </w:pPr>
            <w:r>
              <w:rPr>
                <w:rFonts w:hint="eastAsia" w:ascii="Times New Roman" w:hAnsi="Times New Roman" w:eastAsia="游明朝"/>
                <w:sz w:val="18"/>
              </w:rPr>
              <w:t xml:space="preserve">メガファーマ共通能力</w:t>
            </w:r>
          </w:p>
        </w:tc>
      </w:tr>
      <w:tr>
        <w:tc>
          <w:tcPr/>
          <w:p>
            <w:pPr>
              <w:pStyle w:val="Compact"/>
            </w:pPr>
            <w:r>
              <w:rPr>
                <w:rFonts w:ascii="Times New Roman" w:hAnsi="Times New Roman" w:eastAsia="游明朝"/>
                <w:sz w:val="18"/>
              </w:rPr>
              <w:t xml:space="preserve">4: </w:t>
            </w:r>
            <w:r>
              <w:rPr>
                <w:rFonts w:hint="eastAsia" w:ascii="Times New Roman" w:hAnsi="Times New Roman" w:eastAsia="游明朝"/>
                <w:sz w:val="18"/>
              </w:rPr>
              <w:t xml:space="preserve">説明力</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3領域展開は事実。相対的ポジション定量比較は限定的</w:t>
            </w:r>
          </w:p>
        </w:tc>
      </w:tr>
      <w:tr>
        <w:tc>
          <w:tcPr/>
          <w:p>
            <w:pPr>
              <w:pStyle w:val="Compact"/>
            </w:pPr>
            <w:r>
              <w:rPr>
                <w:rFonts w:ascii="Times New Roman" w:hAnsi="Times New Roman" w:eastAsia="游明朝"/>
                <w:sz w:val="18"/>
              </w:rPr>
              <w:t xml:space="preserve">6: </w:t>
            </w:r>
            <w:r>
              <w:rPr>
                <w:rFonts w:hint="eastAsia" w:ascii="Times New Roman" w:hAnsi="Times New Roman" w:eastAsia="游明朝"/>
                <w:sz w:val="18"/>
              </w:rPr>
              <w:t xml:space="preserve">構造的</w:t>
            </w:r>
            <w:r>
              <w:rPr>
                <w:rFonts w:ascii="Times New Roman" w:hAnsi="Times New Roman" w:eastAsia="游明朝"/>
                <w:sz w:val="18"/>
              </w:rPr>
              <w:t xml:space="preserve"> vs </w:t>
            </w:r>
            <w:r>
              <w:rPr>
                <w:rFonts w:hint="eastAsia" w:ascii="Times New Roman" w:hAnsi="Times New Roman" w:eastAsia="游明朝"/>
                <w:sz w:val="18"/>
              </w:rPr>
              <w:t xml:space="preserve">補完</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補完的。個々の薬剤の競争力が本質</w:t>
            </w:r>
          </w:p>
        </w:tc>
      </w:tr>
      <w:tr>
        <w:tc>
          <w:tcPr/>
          <w:p>
            <w:pPr>
              <w:pStyle w:val="Compact"/>
            </w:pPr>
            <w:r>
              <w:rPr>
                <w:rFonts w:ascii="Times New Roman" w:hAnsi="Times New Roman" w:eastAsia="游明朝"/>
                <w:sz w:val="18"/>
              </w:rPr>
              <w:t xml:space="preserve">7: </w:t>
            </w:r>
            <w:r>
              <w:rPr>
                <w:rFonts w:hint="eastAsia" w:ascii="Times New Roman" w:hAnsi="Times New Roman" w:eastAsia="游明朝"/>
                <w:sz w:val="18"/>
              </w:rPr>
              <w:t xml:space="preserve">純粋競合差別化</w:t>
            </w:r>
          </w:p>
        </w:tc>
        <w:tc>
          <w:tcPr/>
          <w:p>
            <w:pPr>
              <w:pStyle w:val="Compact"/>
            </w:pPr>
            <w:r>
              <w:rPr>
                <w:rFonts w:ascii="Times New Roman" w:hAnsi="Times New Roman" w:eastAsia="游明朝"/>
                <w:sz w:val="18"/>
              </w:rPr>
              <w:t xml:space="preserve">FAIL</w:t>
            </w:r>
          </w:p>
        </w:tc>
        <w:tc>
          <w:tcPr/>
          <w:p>
            <w:pPr>
              <w:pStyle w:val="Compact"/>
            </w:pPr>
            <w:r>
              <w:rPr>
                <w:rFonts w:hint="eastAsia" w:ascii="Times New Roman" w:hAnsi="Times New Roman" w:eastAsia="游明朝"/>
                <w:sz w:val="18"/>
              </w:rPr>
              <w:t xml:space="preserve">大手間差別化不十分</w:t>
            </w:r>
          </w:p>
        </w:tc>
      </w:tr>
      <w:tr>
        <w:tc>
          <w:tcPr/>
          <w:p>
            <w:pPr>
              <w:pStyle w:val="Compact"/>
            </w:pPr>
            <w:r>
              <w:rPr>
                <w:rFonts w:ascii="Times New Roman" w:hAnsi="Times New Roman" w:eastAsia="游明朝"/>
                <w:sz w:val="18"/>
              </w:rPr>
              <w:t xml:space="preserve">8: </w:t>
            </w:r>
            <w:r>
              <w:rPr>
                <w:rFonts w:hint="eastAsia" w:ascii="Times New Roman" w:hAnsi="Times New Roman" w:eastAsia="游明朝"/>
                <w:sz w:val="18"/>
              </w:rPr>
              <w:t xml:space="preserve">戦略</w:t>
            </w:r>
            <w:r>
              <w:rPr>
                <w:rFonts w:ascii="Times New Roman" w:hAnsi="Times New Roman" w:eastAsia="游明朝"/>
                <w:sz w:val="18"/>
              </w:rPr>
              <w:t xml:space="preserve"> ≠ </w:t>
            </w:r>
            <w:r>
              <w:rPr>
                <w:rFonts w:hint="eastAsia" w:ascii="Times New Roman" w:hAnsi="Times New Roman" w:eastAsia="游明朝"/>
                <w:sz w:val="18"/>
              </w:rPr>
              <w:t xml:space="preserve">優位性</w:t>
            </w:r>
          </w:p>
        </w:tc>
        <w:tc>
          <w:tcPr/>
          <w:p>
            <w:pPr>
              <w:pStyle w:val="Compact"/>
            </w:pPr>
            <w:r>
              <w:rPr>
                <w:rFonts w:ascii="Times New Roman" w:hAnsi="Times New Roman" w:eastAsia="游明朝"/>
                <w:sz w:val="18"/>
              </w:rPr>
              <w:t xml:space="preserve">WARN</w:t>
            </w:r>
          </w:p>
        </w:tc>
        <w:tc>
          <w:tcPr/>
          <w:p>
            <w:pPr>
              <w:pStyle w:val="Compact"/>
            </w:pPr>
            <w:r>
              <w:rPr>
                <w:rFonts w:hint="eastAsia" w:ascii="Times New Roman" w:hAnsi="Times New Roman" w:eastAsia="游明朝"/>
                <w:sz w:val="18"/>
              </w:rPr>
              <w:t xml:space="preserve">「戦略」は意思決定、優位性はそれを可能にする力</w:t>
            </w:r>
          </w:p>
        </w:tc>
      </w:tr>
      <w:tr>
        <w:tc>
          <w:tcPr/>
          <w:p>
            <w:pPr>
              <w:pStyle w:val="Compact"/>
            </w:pPr>
            <w:r>
              <w:rPr>
                <w:rFonts w:ascii="Times New Roman" w:hAnsi="Times New Roman" w:eastAsia="游明朝"/>
                <w:sz w:val="18"/>
              </w:rPr>
              <w:t xml:space="preserve">9: </w:t>
            </w:r>
            <w:r>
              <w:rPr>
                <w:rFonts w:hint="eastAsia" w:ascii="Times New Roman" w:hAnsi="Times New Roman" w:eastAsia="游明朝"/>
                <w:sz w:val="18"/>
              </w:rPr>
              <w:t xml:space="preserve">事実誤認</w:t>
            </w:r>
          </w:p>
        </w:tc>
        <w:tc>
          <w:tcPr/>
          <w:p>
            <w:pPr>
              <w:pStyle w:val="Compact"/>
            </w:pPr>
            <w:r>
              <w:rPr>
                <w:rFonts w:ascii="Times New Roman" w:hAnsi="Times New Roman" w:eastAsia="游明朝"/>
                <w:sz w:val="18"/>
              </w:rPr>
              <w:t xml:space="preserve">N/A</w:t>
            </w:r>
          </w:p>
        </w:tc>
        <w:tc>
          <w:tcPr/>
          <w:p>
            <w:pPr>
              <w:pStyle w:val="Compact"/>
            </w:pPr>
            <w:r>
              <w:rPr>
                <w:rFonts w:ascii="Times New Roman" w:hAnsi="Times New Roman" w:eastAsia="游明朝"/>
                <w:sz w:val="18"/>
              </w:rPr>
              <w:t xml:space="preserve">-</w:t>
            </w:r>
          </w:p>
        </w:tc>
      </w:tr>
      <w:tr>
        <w:tc>
          <w:tcPr/>
          <w:p>
            <w:pPr>
              <w:pStyle w:val="Compact"/>
            </w:pPr>
            <w:r>
              <w:rPr>
                <w:rFonts w:ascii="Times New Roman" w:hAnsi="Times New Roman" w:eastAsia="游明朝"/>
                <w:sz w:val="18"/>
              </w:rPr>
              <w:t xml:space="preserve">10: ネガティブケース</w:t>
            </w:r>
          </w:p>
        </w:tc>
        <w:tc>
          <w:tcPr/>
          <w:p>
            <w:pPr>
              <w:pStyle w:val="Compact"/>
            </w:pPr>
            <w:r>
              <w:rPr>
                <w:rFonts w:ascii="Times New Roman" w:hAnsi="Times New Roman" w:eastAsia="游明朝"/>
                <w:sz w:val="18"/>
              </w:rPr>
              <w:t xml:space="preserve">N/A</w:t>
            </w:r>
          </w:p>
        </w:tc>
        <w:tc>
          <w:tcPr/>
          <w:p>
            <w:pPr>
              <w:pStyle w:val="Compact"/>
            </w:pPr>
            <w:r>
              <w:rPr>
                <w:rFonts w:ascii="Times New Roman" w:hAnsi="Times New Roman" w:eastAsia="游明朝"/>
                <w:sz w:val="18"/>
              </w:rPr>
              <w:t xml:space="preserve">-</w:t>
            </w:r>
          </w:p>
        </w:tc>
      </w:tr>
      <w:tr>
        <w:tc>
          <w:tcPr/>
          <w:p>
            <w:pPr>
              <w:pStyle w:val="Compact"/>
            </w:pPr>
            <w:r>
              <w:rPr>
                <w:rFonts w:ascii="Times New Roman" w:hAnsi="Times New Roman" w:eastAsia="游明朝"/>
                <w:sz w:val="18"/>
              </w:rPr>
              <w:t xml:space="preserve">11: </w:t>
            </w:r>
            <w:r>
              <w:rPr>
                <w:rFonts w:hint="eastAsia" w:ascii="Times New Roman" w:hAnsi="Times New Roman" w:eastAsia="游明朝"/>
                <w:sz w:val="18"/>
              </w:rPr>
              <w:t xml:space="preserve">業界構造合致</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メガファーマの基本条件</w:t>
            </w:r>
          </w:p>
        </w:tc>
      </w:tr>
    </w:tbl>
    <w:p>
      <w:pPr>
        <w:pStyle w:val="BodyText"/>
      </w:pPr>
      <w:r>
        <w:rPr>
          <w:rFonts w:hint="eastAsia"/>
          <w:b/>
          <w:bCs/>
        </w:rPr>
        <w:t xml:space="preserve">検出パターン</w:t>
      </w:r>
      <w:r>
        <w:t xml:space="preserve">: </w:t>
      </w:r>
      <w:r>
        <w:rPr>
          <w:rFonts w:hint="eastAsia"/>
        </w:rPr>
        <w:t xml:space="preserve">却下B（業界共通、moderate）</w:t>
      </w:r>
    </w:p>
    <w:p>
      <w:pPr>
        <w:pStyle w:val="BodyText"/>
      </w:pPr>
      <w:r>
        <w:rPr>
          <w:rFonts w:hint="eastAsia"/>
          <w:b/>
          <w:bCs/>
        </w:rPr>
        <w:t xml:space="preserve">CAGR接続（70%、おおむね納得）</w:t>
      </w:r>
      <w:r>
        <w:t xml:space="preserve">: </w:t>
      </w:r>
      <w:r>
        <w:rPr>
          <w:rFonts w:hint="eastAsia"/>
        </w:rPr>
        <w:t xml:space="preserve">大型市場複数新薬ポートが売上成長+10-12%を牽引（強く寄与）。ただし</w:t>
      </w:r>
      <w:r>
        <w:rPr>
          <w:rFonts w:hint="eastAsia"/>
        </w:rPr>
        <w:t xml:space="preserve">グロスマージン改善寄与は±0%（限定的）</w:t>
      </w:r>
      <w:r>
        <w:rPr>
          <w:rFonts w:hint="eastAsia"/>
        </w:rPr>
        <w:t xml:space="preserve">。特許切れ薬剤の粗利低下を複数新薬の製品ミックス高度化で相殺するが、マージン改善には至らない。この内訳分離はKB3</w:t>
      </w:r>
      <w:r>
        <w:t xml:space="preserve"> LLY#1 </w:t>
      </w:r>
      <w:r>
        <w:rPr>
          <w:rFonts w:hint="eastAsia"/>
        </w:rPr>
        <w:t xml:space="preserve">CAGR評価と整合。</w:t>
      </w:r>
    </w:p>
    <w:p>
      <w:r>
        <w:pict>
          <v:rect style="width:0;height:1.5pt" o:hralign="center" o:hrstd="t" o:hr="t"/>
        </w:pict>
      </w:r>
    </w:p>
    <w:p>
      <w:pPr>
        <w:pStyle w:val="FirstParagraph"/>
      </w:pPr>
      <w:r>
        <w:rPr>
          <w:rFonts w:hint="eastAsia"/>
          <w:b/>
          <w:bCs/>
        </w:rPr>
        <w:t xml:space="preserve">納得度:</w:t>
      </w:r>
      <w:r>
        <w:t xml:space="preserve"> </w:t>
      </w:r>
      <w:r>
        <w:t xml:space="preserve">10% / 30% /</w:t>
      </w:r>
      <w:r>
        <w:t xml:space="preserve"> </w:t>
      </w:r>
      <w:r>
        <w:rPr>
          <w:b/>
          <w:bCs/>
        </w:rPr>
        <w:t xml:space="preserve">50%</w:t>
      </w:r>
      <w:r>
        <w:t xml:space="preserve"> </w:t>
      </w:r>
      <w:r>
        <w:t xml:space="preserve">/ 70% / 90%</w:t>
      </w:r>
    </w:p>
    <w:p>
      <w:r>
        <w:pict>
          <v:rect style="width:0;height:1.5pt" o:hralign="center" o:hrstd="t" o:hr="t"/>
        </w:pict>
      </w:r>
    </w:p>
    <w:bookmarkEnd w:id="17"/>
    <w:bookmarkEnd w:id="18"/>
    <w:bookmarkStart w:id="20" w:name="主張-2-低分子型経口glp-1作動薬における技術的差別化"/>
    <w:p>
      <w:pPr>
        <w:pStyle w:val="Heading3"/>
      </w:pPr>
      <w:r>
        <w:rPr>
          <w:rFonts w:hint="eastAsia"/>
        </w:rPr>
        <w:t xml:space="preserve">主張</w:t>
      </w:r>
      <w:r>
        <w:t xml:space="preserve"> #2: </w:t>
      </w:r>
      <w:r>
        <w:rPr>
          <w:rFonts w:hint="eastAsia"/>
        </w:rPr>
        <w:t xml:space="preserve">低分子型経口GLP-1作動薬における技術的差別化</w:t>
      </w:r>
    </w:p>
    <w:bookmarkStart w:id="19" w:name="X13be9e7ede348e3542218ec903449b2ea84d014"/>
    <w:p>
      <w:pPr>
        <w:pStyle w:val="Heading4"/>
      </w:pPr>
      <w:r>
        <w:rPr>
          <w:rFonts w:hint="eastAsia"/>
        </w:rPr>
        <w:t xml:space="preserve">AI評価:</w:t>
      </w:r>
      <w:r>
        <w:t xml:space="preserve"> </w:t>
      </w:r>
      <w:r>
        <w:rPr>
          <w:rFonts w:hint="eastAsia"/>
        </w:rPr>
        <w:t xml:space="preserve">おおむね納得（70%）</w:t>
      </w:r>
      <w:r>
        <w:t xml:space="preserve"> </w:t>
      </w:r>
      <w:r>
        <w:rPr>
          <w:rFonts w:hint="eastAsia"/>
        </w:rPr>
        <w:t xml:space="preserve">[T8修正:</w:t>
      </w:r>
      <w:r>
        <w:t xml:space="preserve"> </w:t>
      </w:r>
      <w:r>
        <w:rPr>
          <w:rFonts w:hint="eastAsia"/>
        </w:rPr>
        <w:t xml:space="preserve">根源要因不足が70%の上限条件であることを明示]</w:t>
      </w:r>
    </w:p>
    <w:p>
      <w:pPr>
        <w:pStyle w:val="FirstParagraph"/>
      </w:pPr>
      <w:r>
        <w:rPr>
          <w:rFonts w:hint="eastAsia"/>
        </w:rPr>
        <w:t xml:space="preserve">orforglipronは低分子型GLP-1作動薬として、NOVOの経口ペプチド製剤に対して食事制限なし・製造効率で優位。P3試験3本成功（ACHIEVE-1:</w:t>
      </w:r>
      <w:r>
        <w:t xml:space="preserve"> </w:t>
      </w:r>
      <w:r>
        <w:rPr>
          <w:rFonts w:hint="eastAsia"/>
        </w:rPr>
        <w:t xml:space="preserve">体重減-7.9%,</w:t>
      </w:r>
      <w:r>
        <w:t xml:space="preserve"> ATTAIN-1: -11%, ATTAIN-2: </w:t>
      </w:r>
      <w:r>
        <w:rPr>
          <w:rFonts w:hint="eastAsia"/>
        </w:rPr>
        <w:t xml:space="preserve">-8.3%）。肝毒性なし（競合多数が断念）。$5.5Bの先行在庫でロケットスタート想定。低分子GLP-1で3年以上リード。</w:t>
      </w:r>
    </w:p>
    <w:p>
      <w:pPr>
        <w:pStyle w:val="BodyText"/>
      </w:pPr>
      <w:r>
        <w:rPr>
          <w:rFonts w:hint="eastAsia"/>
          <w:b/>
          <w:bCs/>
        </w:rPr>
        <w:t xml:space="preserve">納得できる点</w:t>
      </w:r>
      <w:r>
        <w:t xml:space="preserve">:</w:t>
      </w:r>
      <w:r>
        <w:t xml:space="preserve"> </w:t>
      </w:r>
      <w:r>
        <w:rPr>
          <w:rFonts w:hint="eastAsia"/>
        </w:rPr>
        <w:t xml:space="preserve">競合であるNovoの経口薬剤と比較し、食事等の制限や製造面での優位性が確認されており</w:t>
      </w:r>
      <w:r>
        <w:rPr>
          <w:rFonts w:hint="eastAsia"/>
        </w:rPr>
        <w:t xml:space="preserve">（KB3</w:t>
      </w:r>
      <w:r>
        <w:t xml:space="preserve"> </w:t>
      </w:r>
      <w:r>
        <w:rPr>
          <w:rFonts w:hint="eastAsia"/>
        </w:rPr>
        <w:t xml:space="preserve">LLY#2）、注射剤の場合よりも差別化がなされている。P3成功3本と肝毒性なしのデータは技術力の定量的裏付けとして強力。$5.5Bの在庫計上はLLYの商業化確信を示す。</w:t>
      </w:r>
    </w:p>
    <w:p>
      <w:pPr>
        <w:pStyle w:val="BodyText"/>
      </w:pPr>
      <w:r>
        <w:rPr>
          <w:rFonts w:hint="eastAsia"/>
          <w:b/>
          <w:bCs/>
        </w:rPr>
        <w:t xml:space="preserve">懸念点</w:t>
      </w:r>
      <w:r>
        <w:t xml:space="preserve">:</w:t>
      </w:r>
      <w:r>
        <w:t xml:space="preserve"> </w:t>
      </w:r>
      <w:r>
        <w:rPr>
          <w:rFonts w:hint="eastAsia"/>
        </w:rPr>
        <w:t xml:space="preserve">なぜ低分子製法を選別したのか、また選別し得たのかなどの競争優位性の根源要因への言及は不足</w:t>
      </w:r>
      <w:r>
        <w:rPr>
          <w:rFonts w:hint="eastAsia"/>
        </w:rPr>
        <w:t xml:space="preserve">（KB3</w:t>
      </w:r>
      <w:r>
        <w:t xml:space="preserve"> </w:t>
      </w:r>
      <w:r>
        <w:rPr>
          <w:rFonts w:hint="eastAsia"/>
        </w:rPr>
        <w:t xml:space="preserve">LLY#2）。</w:t>
      </w:r>
      <w:r>
        <w:rPr>
          <w:rFonts w:hint="eastAsia"/>
        </w:rPr>
        <w:t xml:space="preserve">この根源要因不足が70%の上限条件</w:t>
      </w:r>
      <w:r>
        <w:rPr>
          <w:rFonts w:hint="eastAsia"/>
        </w:rPr>
        <w:t xml:space="preserve">であり、低分子技術力の根源（研究開発の組織的基盤、過去の知見蓄積プロセス等）が説明されない限り、70%を超えることはできない。</w:t>
      </w:r>
    </w:p>
    <w:p>
      <w:pPr>
        <w:pStyle w:val="BlockText"/>
      </w:pPr>
      <w:r>
        <w:rPr>
          <w:rFonts w:hint="eastAsia"/>
          <w:b/>
          <w:bCs/>
        </w:rPr>
        <w:t xml:space="preserve">[注2]</w:t>
      </w:r>
      <w:r>
        <w:rPr>
          <w:b/>
          <w:bCs/>
        </w:rPr>
        <w:t xml:space="preserve"> </w:t>
      </w:r>
      <w:r>
        <w:rPr>
          <w:rFonts w:hint="eastAsia"/>
          <w:b/>
          <w:bCs/>
        </w:rPr>
        <w:t xml:space="preserve">T8批判</w:t>
      </w:r>
      <w:r>
        <w:rPr>
          <w:b/>
          <w:bCs/>
        </w:rPr>
        <w:t xml:space="preserve"> (minor): </w:t>
      </w:r>
      <w:r>
        <w:rPr>
          <w:rFonts w:hint="eastAsia"/>
          <w:b/>
          <w:bCs/>
        </w:rPr>
        <w:t xml:space="preserve">根源要因不足の位置づけ</w:t>
      </w:r>
    </w:p>
    <w:p>
      <w:pPr>
        <w:pStyle w:val="BlockText"/>
      </w:pPr>
      <w:r>
        <w:t xml:space="preserve">KB3 </w:t>
      </w:r>
      <w:r>
        <w:rPr>
          <w:rFonts w:hint="eastAsia"/>
        </w:rPr>
        <w:t xml:space="preserve">LLY#2の指摘「なぜ低分子製法を選別し得たのか」は、単なるupside_conditionsではなく、ルール1（能力の根源は何か）に関わる本質的課題。LLY</w:t>
      </w:r>
      <w:r>
        <w:t xml:space="preserve"> </w:t>
      </w:r>
      <w:r>
        <w:rPr>
          <w:rFonts w:hint="eastAsia"/>
        </w:rPr>
        <w:t xml:space="preserve">feedbackで引用されたTSMCの例は「相対的な競争力そのもの」として根源要因が明確であり、LLYの低分子技術力も同等レベルの説明が求められる。</w:t>
      </w:r>
    </w:p>
    <w:p>
      <w:pPr>
        <w:pStyle w:val="BlockText"/>
      </w:pPr>
      <w:r>
        <w:rPr>
          <w:rFonts w:hint="eastAsia"/>
          <w:b/>
          <w:bCs/>
        </w:rPr>
        <w:t xml:space="preserve">T8の判断</w:t>
      </w:r>
      <w:r>
        <w:t xml:space="preserve">: CA confidence </w:t>
      </w:r>
      <w:r>
        <w:rPr>
          <w:rFonts w:hint="eastAsia"/>
        </w:rPr>
        <w:t xml:space="preserve">70%は適切。根源要因不足は70%の「上限条件」として明示し、upside_conditionsに留めない。</w:t>
      </w:r>
    </w:p>
    <w:p>
      <w:pPr>
        <w:pStyle w:val="FirstParagraph"/>
      </w:pPr>
      <w:r>
        <w:rPr>
          <w:rFonts w:hint="eastAsia"/>
          <w:b/>
          <w:bCs/>
        </w:rPr>
        <w:t xml:space="preserve">ルール適用マトリクス</w:t>
      </w:r>
      <w:r>
        <w:t xml:space="preserv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68"/>
        <w:gridCol w:w="2376"/>
        <w:gridCol w:w="2376"/>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判定</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根拠</w:t>
            </w:r>
          </w:p>
        </w:tc>
      </w:tr>
      <w:tr>
        <w:tc>
          <w:tcPr/>
          <w:p>
            <w:pPr>
              <w:pStyle w:val="Compact"/>
            </w:pPr>
            <w:r>
              <w:rPr>
                <w:rFonts w:ascii="Times New Roman" w:hAnsi="Times New Roman" w:eastAsia="游明朝"/>
                <w:sz w:val="18"/>
              </w:rPr>
              <w:t xml:space="preserve">1: </w:t>
            </w:r>
            <w:r>
              <w:rPr>
                <w:rFonts w:hint="eastAsia" w:ascii="Times New Roman" w:hAnsi="Times New Roman" w:eastAsia="游明朝"/>
                <w:sz w:val="18"/>
              </w:rPr>
              <w:t xml:space="preserve">能力</w:t>
            </w:r>
            <w:r>
              <w:rPr>
                <w:rFonts w:ascii="Times New Roman" w:hAnsi="Times New Roman" w:eastAsia="游明朝"/>
                <w:sz w:val="18"/>
              </w:rPr>
              <w:t xml:space="preserve"> vs </w:t>
            </w:r>
            <w:r>
              <w:rPr>
                <w:rFonts w:hint="eastAsia" w:ascii="Times New Roman" w:hAnsi="Times New Roman" w:eastAsia="游明朝"/>
                <w:sz w:val="18"/>
              </w:rPr>
              <w:t xml:space="preserve">結果</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低分子技術力は能力</w:t>
            </w:r>
          </w:p>
        </w:tc>
      </w:tr>
      <w:tr>
        <w:tc>
          <w:tcPr/>
          <w:p>
            <w:pPr>
              <w:pStyle w:val="Compact"/>
            </w:pPr>
            <w:r>
              <w:rPr>
                <w:rFonts w:ascii="Times New Roman" w:hAnsi="Times New Roman" w:eastAsia="游明朝"/>
                <w:sz w:val="18"/>
              </w:rPr>
              <w:t xml:space="preserve">2: </w:t>
            </w:r>
            <w:r>
              <w:rPr>
                <w:rFonts w:hint="eastAsia" w:ascii="Times New Roman" w:hAnsi="Times New Roman" w:eastAsia="游明朝"/>
                <w:sz w:val="18"/>
              </w:rPr>
              <w:t xml:space="preserve">名詞属性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技術的差別化、製造効率は名詞属性</w:t>
            </w:r>
          </w:p>
        </w:tc>
      </w:tr>
      <w:tr>
        <w:tc>
          <w:tcPr/>
          <w:p>
            <w:pPr>
              <w:pStyle w:val="Compact"/>
            </w:pPr>
            <w:r>
              <w:rPr>
                <w:rFonts w:ascii="Times New Roman" w:hAnsi="Times New Roman" w:eastAsia="游明朝"/>
                <w:sz w:val="18"/>
              </w:rPr>
              <w:t xml:space="preserve">3: </w:t>
            </w:r>
            <w:r>
              <w:rPr>
                <w:rFonts w:hint="eastAsia" w:ascii="Times New Roman" w:hAnsi="Times New Roman" w:eastAsia="游明朝"/>
                <w:sz w:val="18"/>
              </w:rPr>
              <w:t xml:space="preserve">相対的優位性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NOVO対比で明確な差別化</w:t>
            </w:r>
          </w:p>
        </w:tc>
      </w:tr>
      <w:tr>
        <w:tc>
          <w:tcPr/>
          <w:p>
            <w:pPr>
              <w:pStyle w:val="Compact"/>
            </w:pPr>
            <w:r>
              <w:rPr>
                <w:rFonts w:ascii="Times New Roman" w:hAnsi="Times New Roman" w:eastAsia="游明朝"/>
                <w:sz w:val="18"/>
              </w:rPr>
              <w:t xml:space="preserve">4: </w:t>
            </w:r>
            <w:r>
              <w:rPr>
                <w:rFonts w:hint="eastAsia" w:ascii="Times New Roman" w:hAnsi="Times New Roman" w:eastAsia="游明朝"/>
                <w:sz w:val="18"/>
              </w:rPr>
              <w:t xml:space="preserve">説明力</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P3データ、在庫、リードタイム等の定量裏付け豊富</w:t>
            </w:r>
          </w:p>
        </w:tc>
      </w:tr>
      <w:tr>
        <w:tc>
          <w:tcPr/>
          <w:p>
            <w:pPr>
              <w:pStyle w:val="Compact"/>
            </w:pPr>
            <w:r>
              <w:rPr>
                <w:rFonts w:ascii="Times New Roman" w:hAnsi="Times New Roman" w:eastAsia="游明朝"/>
                <w:sz w:val="18"/>
              </w:rPr>
              <w:t xml:space="preserve">6: </w:t>
            </w:r>
            <w:r>
              <w:rPr>
                <w:rFonts w:hint="eastAsia" w:ascii="Times New Roman" w:hAnsi="Times New Roman" w:eastAsia="游明朝"/>
                <w:sz w:val="18"/>
              </w:rPr>
              <w:t xml:space="preserve">構造的</w:t>
            </w:r>
            <w:r>
              <w:rPr>
                <w:rFonts w:ascii="Times New Roman" w:hAnsi="Times New Roman" w:eastAsia="游明朝"/>
                <w:sz w:val="18"/>
              </w:rPr>
              <w:t xml:space="preserve"> vs </w:t>
            </w:r>
            <w:r>
              <w:rPr>
                <w:rFonts w:hint="eastAsia" w:ascii="Times New Roman" w:hAnsi="Times New Roman" w:eastAsia="游明朝"/>
                <w:sz w:val="18"/>
              </w:rPr>
              <w:t xml:space="preserve">補完</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GLP-1経口剤セグメントの核心</w:t>
            </w:r>
          </w:p>
        </w:tc>
      </w:tr>
      <w:tr>
        <w:tc>
          <w:tcPr/>
          <w:p>
            <w:pPr>
              <w:pStyle w:val="Compact"/>
            </w:pPr>
            <w:r>
              <w:rPr>
                <w:rFonts w:ascii="Times New Roman" w:hAnsi="Times New Roman" w:eastAsia="游明朝"/>
                <w:sz w:val="18"/>
              </w:rPr>
              <w:t xml:space="preserve">7: </w:t>
            </w:r>
            <w:r>
              <w:rPr>
                <w:rFonts w:hint="eastAsia" w:ascii="Times New Roman" w:hAnsi="Times New Roman" w:eastAsia="游明朝"/>
                <w:sz w:val="18"/>
              </w:rPr>
              <w:t xml:space="preserve">純粋競合差別化</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NOVO対比3軸比較（食事制限・製造・安全性）</w:t>
            </w:r>
          </w:p>
        </w:tc>
      </w:tr>
      <w:tr>
        <w:tc>
          <w:tcPr/>
          <w:p>
            <w:pPr>
              <w:pStyle w:val="Compact"/>
            </w:pPr>
            <w:r>
              <w:rPr>
                <w:rFonts w:ascii="Times New Roman" w:hAnsi="Times New Roman" w:eastAsia="游明朝"/>
                <w:sz w:val="18"/>
              </w:rPr>
              <w:t xml:space="preserve">8: </w:t>
            </w:r>
            <w:r>
              <w:rPr>
                <w:rFonts w:hint="eastAsia" w:ascii="Times New Roman" w:hAnsi="Times New Roman" w:eastAsia="游明朝"/>
                <w:sz w:val="18"/>
              </w:rPr>
              <w:t xml:space="preserve">戦略</w:t>
            </w:r>
            <w:r>
              <w:rPr>
                <w:rFonts w:ascii="Times New Roman" w:hAnsi="Times New Roman" w:eastAsia="游明朝"/>
                <w:sz w:val="18"/>
              </w:rPr>
              <w:t xml:space="preserve"> ≠ </w:t>
            </w:r>
            <w:r>
              <w:rPr>
                <w:rFonts w:hint="eastAsia" w:ascii="Times New Roman" w:hAnsi="Times New Roman" w:eastAsia="游明朝"/>
                <w:sz w:val="18"/>
              </w:rPr>
              <w:t xml:space="preserve">優位性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技術力は能力。根源要因言及不足あり</w:t>
            </w:r>
          </w:p>
        </w:tc>
      </w:tr>
      <w:tr>
        <w:tc>
          <w:tcPr/>
          <w:p>
            <w:pPr>
              <w:pStyle w:val="Compact"/>
            </w:pPr>
            <w:r>
              <w:rPr>
                <w:rFonts w:ascii="Times New Roman" w:hAnsi="Times New Roman" w:eastAsia="游明朝"/>
                <w:sz w:val="18"/>
              </w:rPr>
              <w:t xml:space="preserve">9: </w:t>
            </w:r>
            <w:r>
              <w:rPr>
                <w:rFonts w:hint="eastAsia" w:ascii="Times New Roman" w:hAnsi="Times New Roman" w:eastAsia="游明朝"/>
                <w:sz w:val="18"/>
              </w:rPr>
              <w:t xml:space="preserve">事実誤認</w:t>
            </w:r>
          </w:p>
        </w:tc>
        <w:tc>
          <w:tcPr/>
          <w:p>
            <w:pPr>
              <w:pStyle w:val="Compact"/>
            </w:pPr>
            <w:r>
              <w:rPr>
                <w:rFonts w:ascii="Times New Roman" w:hAnsi="Times New Roman" w:eastAsia="游明朝"/>
                <w:sz w:val="18"/>
              </w:rPr>
              <w:t xml:space="preserve">N/A</w:t>
            </w:r>
          </w:p>
        </w:tc>
        <w:tc>
          <w:tcPr/>
          <w:p>
            <w:pPr>
              <w:pStyle w:val="Compact"/>
            </w:pPr>
            <w:r>
              <w:rPr>
                <w:rFonts w:ascii="Times New Roman" w:hAnsi="Times New Roman" w:eastAsia="游明朝"/>
                <w:sz w:val="18"/>
              </w:rPr>
              <w:t xml:space="preserve">-</w:t>
            </w:r>
          </w:p>
        </w:tc>
      </w:tr>
      <w:tr>
        <w:tc>
          <w:tcPr/>
          <w:p>
            <w:pPr>
              <w:pStyle w:val="Compact"/>
            </w:pPr>
            <w:r>
              <w:rPr>
                <w:rFonts w:ascii="Times New Roman" w:hAnsi="Times New Roman" w:eastAsia="游明朝"/>
                <w:sz w:val="18"/>
              </w:rPr>
              <w:t xml:space="preserve">10: ネガティブケース</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競合の肝毒性断念がLLY技術力の相対的証明</w:t>
            </w:r>
          </w:p>
        </w:tc>
      </w:tr>
      <w:tr>
        <w:tc>
          <w:tcPr/>
          <w:p>
            <w:pPr>
              <w:pStyle w:val="Compact"/>
            </w:pPr>
            <w:r>
              <w:rPr>
                <w:rFonts w:ascii="Times New Roman" w:hAnsi="Times New Roman" w:eastAsia="游明朝"/>
                <w:sz w:val="18"/>
              </w:rPr>
              <w:t xml:space="preserve">11: </w:t>
            </w:r>
            <w:r>
              <w:rPr>
                <w:rFonts w:hint="eastAsia" w:ascii="Times New Roman" w:hAnsi="Times New Roman" w:eastAsia="游明朝"/>
                <w:sz w:val="18"/>
              </w:rPr>
              <w:t xml:space="preserve">業界構造合致</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注射→経口移行期に低分子製造優位が合致</w:t>
            </w:r>
          </w:p>
        </w:tc>
      </w:tr>
    </w:tbl>
    <w:p>
      <w:pPr>
        <w:pStyle w:val="BodyText"/>
      </w:pPr>
      <w:r>
        <w:rPr>
          <w:rFonts w:hint="eastAsia"/>
          <w:b/>
          <w:bCs/>
        </w:rPr>
        <w:t xml:space="preserve">検出パターン</w:t>
      </w:r>
      <w:r>
        <w:t xml:space="preserve">: </w:t>
      </w:r>
      <w:r>
        <w:rPr>
          <w:rFonts w:hint="eastAsia"/>
        </w:rPr>
        <w:t xml:space="preserve">高評価I（定量的裏付け、strong）、III（能力&gt;結果、moderate）、V（特定競合比較、strong）</w:t>
      </w:r>
    </w:p>
    <w:p>
      <w:pPr>
        <w:pStyle w:val="BodyText"/>
      </w:pPr>
      <w:r>
        <w:rPr>
          <w:rFonts w:hint="eastAsia"/>
          <w:b/>
          <w:bCs/>
        </w:rPr>
        <w:t xml:space="preserve">CAGR接続（70%、おおむね納得）</w:t>
      </w:r>
      <w:r>
        <w:t xml:space="preserve">: </w:t>
      </w:r>
      <w:r>
        <w:rPr>
          <w:rFonts w:hint="eastAsia"/>
        </w:rPr>
        <w:t xml:space="preserve">差別化された経口GLP-1→注射剤対比で維持治療・米国外市場でシェア優位→GLP-1市場拡大期に経口剤シェアを獲得→売上成長+10-12%寄与。グロスマージン改善にも寄与（低分子=製造効率高い、+1-2%）。メカニズムは1-2ステップで直接的。</w:t>
      </w:r>
    </w:p>
    <w:p>
      <w:r>
        <w:pict>
          <v:rect style="width:0;height:1.5pt" o:hralign="center" o:hrstd="t" o:hr="t"/>
        </w:pict>
      </w:r>
    </w:p>
    <w:p>
      <w:pPr>
        <w:pStyle w:val="FirstParagraph"/>
      </w:pPr>
      <w:r>
        <w:rPr>
          <w:rFonts w:hint="eastAsia"/>
          <w:b/>
          <w:bCs/>
        </w:rPr>
        <w:t xml:space="preserve">納得度:</w:t>
      </w:r>
      <w:r>
        <w:t xml:space="preserve"> </w:t>
      </w:r>
      <w:r>
        <w:t xml:space="preserve">10% / 30% / 50% /</w:t>
      </w:r>
      <w:r>
        <w:t xml:space="preserve"> </w:t>
      </w:r>
      <w:r>
        <w:rPr>
          <w:b/>
          <w:bCs/>
        </w:rPr>
        <w:t xml:space="preserve">70%</w:t>
      </w:r>
      <w:r>
        <w:t xml:space="preserve"> </w:t>
      </w:r>
      <w:r>
        <w:t xml:space="preserve">/ 90%</w:t>
      </w:r>
    </w:p>
    <w:p>
      <w:r>
        <w:pict>
          <v:rect style="width:0;height:1.5pt" o:hralign="center" o:hrstd="t" o:hr="t"/>
        </w:pict>
      </w:r>
    </w:p>
    <w:bookmarkEnd w:id="19"/>
    <w:bookmarkEnd w:id="20"/>
    <w:bookmarkStart w:id="22" w:name="主張-3-アルツハイマー領域における長期的臨床開発ノウハウ"/>
    <w:p>
      <w:pPr>
        <w:pStyle w:val="Heading3"/>
      </w:pPr>
      <w:r>
        <w:rPr>
          <w:rFonts w:hint="eastAsia"/>
        </w:rPr>
        <w:t xml:space="preserve">主張</w:t>
      </w:r>
      <w:r>
        <w:t xml:space="preserve"> #3: </w:t>
      </w:r>
      <w:r>
        <w:rPr>
          <w:rFonts w:hint="eastAsia"/>
        </w:rPr>
        <w:t xml:space="preserve">アルツハイマー領域における長期的臨床開発ノウハウ</w:t>
      </w:r>
    </w:p>
    <w:bookmarkStart w:id="21" w:name="ai評価-まあ納得50-t8修正-kb3-lly3の30批判を明示追記"/>
    <w:p>
      <w:pPr>
        <w:pStyle w:val="Heading4"/>
      </w:pPr>
      <w:r>
        <w:rPr>
          <w:rFonts w:hint="eastAsia"/>
        </w:rPr>
        <w:t xml:space="preserve">AI評価:</w:t>
      </w:r>
      <w:r>
        <w:t xml:space="preserve"> </w:t>
      </w:r>
      <w:r>
        <w:rPr>
          <w:rFonts w:hint="eastAsia"/>
        </w:rPr>
        <w:t xml:space="preserve">まあ納得（50%）</w:t>
      </w:r>
      <w:r>
        <w:t xml:space="preserve"> </w:t>
      </w:r>
      <w:r>
        <w:rPr>
          <w:rFonts w:hint="eastAsia"/>
        </w:rPr>
        <w:t xml:space="preserve">[T8修正:</w:t>
      </w:r>
      <w:r>
        <w:t xml:space="preserve"> KB3 </w:t>
      </w:r>
      <w:r>
        <w:rPr>
          <w:rFonts w:hint="eastAsia"/>
        </w:rPr>
        <w:t xml:space="preserve">LLY#3の30%批判を明示追記]</w:t>
      </w:r>
    </w:p>
    <w:p>
      <w:pPr>
        <w:pStyle w:val="FirstParagraph"/>
      </w:pPr>
      <w:r>
        <w:rPr>
          <w:rFonts w:hint="eastAsia"/>
        </w:rPr>
        <w:t xml:space="preserve">AB抗体で先行、PET診断薬で先行、donanemab承認。アルツハイマー型認知症領域での活動が長期に及び、エーザイ/BIIB連合と並ぶ幅広なパイプラインと経験値の奥行がある。</w:t>
      </w:r>
    </w:p>
    <w:p>
      <w:pPr>
        <w:pStyle w:val="BodyText"/>
      </w:pPr>
      <w:r>
        <w:rPr>
          <w:rFonts w:hint="eastAsia"/>
          <w:b/>
          <w:bCs/>
        </w:rPr>
        <w:t xml:space="preserve">納得できる点</w:t>
      </w:r>
      <w:r>
        <w:t xml:space="preserve">: </w:t>
      </w:r>
      <w:r>
        <w:rPr>
          <w:rFonts w:hint="eastAsia"/>
        </w:rPr>
        <w:t xml:space="preserve">アルツハイマー治療領域での長年の研究開発による知見蓄積は妥当。donanemab承認という具体的成果があり、複数メカニズムへの取り組みの中からAB抗体で成功に至った。</w:t>
      </w:r>
    </w:p>
    <w:p>
      <w:pPr>
        <w:pStyle w:val="BodyText"/>
      </w:pPr>
      <w:r>
        <w:rPr>
          <w:rFonts w:hint="eastAsia"/>
          <w:b/>
          <w:bCs/>
        </w:rPr>
        <w:t xml:space="preserve">懸念点</w:t>
      </w:r>
      <w:r>
        <w:t xml:space="preserve">: </w:t>
      </w:r>
      <w:r>
        <w:rPr>
          <w:rFonts w:hint="eastAsia"/>
        </w:rPr>
        <w:t xml:space="preserve">2つのコメント期間（2016年と2023年）をもって15年以上の研究期間とみなすのは違和感あり（KB3</w:t>
      </w:r>
      <w:r>
        <w:t xml:space="preserve"> </w:t>
      </w:r>
      <w:r>
        <w:rPr>
          <w:rFonts w:hint="eastAsia"/>
        </w:rPr>
        <w:t xml:space="preserve">LLY#4）。アルツハイマー領域は高リスク市場であり、CAGR接続は間接的。ROG</w:t>
      </w:r>
      <w:r>
        <w:t xml:space="preserve"> </w:t>
      </w:r>
      <w:r>
        <w:rPr>
          <w:rFonts w:hint="eastAsia"/>
        </w:rPr>
        <w:t xml:space="preserve">trontinemab等のBBB技術による次世代競合の脅威も不明確。</w:t>
      </w:r>
      <w:r>
        <w:t xml:space="preserve">KB3 </w:t>
      </w:r>
      <w:r>
        <w:rPr>
          <w:rFonts w:hint="eastAsia"/>
        </w:rPr>
        <w:t xml:space="preserve">LLY#3では「同一治療領域での複数メカニズムへの取り組みが必ずしも優位性につながるとは限らない」（30%）と指摘されており、複数メカニズムの保有がシェア奪取確度を高めるとは限らない</w:t>
      </w:r>
      <w:r>
        <w:t xml:space="preserve">。</w:t>
      </w:r>
    </w:p>
    <w:p>
      <w:pPr>
        <w:pStyle w:val="BlockText"/>
      </w:pPr>
      <w:r>
        <w:rPr>
          <w:rFonts w:hint="eastAsia"/>
          <w:b/>
          <w:bCs/>
        </w:rPr>
        <w:t xml:space="preserve">[注3]</w:t>
      </w:r>
      <w:r>
        <w:rPr>
          <w:b/>
          <w:bCs/>
        </w:rPr>
        <w:t xml:space="preserve"> </w:t>
      </w:r>
      <w:r>
        <w:rPr>
          <w:rFonts w:hint="eastAsia"/>
          <w:b/>
          <w:bCs/>
        </w:rPr>
        <w:t xml:space="preserve">T8批判</w:t>
      </w:r>
      <w:r>
        <w:rPr>
          <w:b/>
          <w:bCs/>
        </w:rPr>
        <w:t xml:space="preserve"> (minor): KB3 </w:t>
      </w:r>
      <w:r>
        <w:rPr>
          <w:rFonts w:hint="eastAsia"/>
          <w:b/>
          <w:bCs/>
        </w:rPr>
        <w:t xml:space="preserve">LLY#3（30%）の批判が統合により希薄化</w:t>
      </w:r>
    </w:p>
    <w:p>
      <w:pPr>
        <w:pStyle w:val="BlockText"/>
      </w:pPr>
      <w:r>
        <w:rPr>
          <w:rFonts w:hint="eastAsia"/>
        </w:rPr>
        <w:t xml:space="preserve">本主張はKB3</w:t>
      </w:r>
      <w:r>
        <w:t xml:space="preserve"> </w:t>
      </w:r>
      <w:r>
        <w:rPr>
          <w:rFonts w:hint="eastAsia"/>
        </w:rPr>
        <w:t xml:space="preserve">LLY#3（複数メカニズム,</w:t>
      </w:r>
      <w:r>
        <w:t xml:space="preserve"> </w:t>
      </w:r>
      <w:r>
        <w:rPr>
          <w:rFonts w:hint="eastAsia"/>
        </w:rPr>
        <w:t xml:space="preserve">30%）とLLY#4（臨床開発ノウハウ,</w:t>
      </w:r>
      <w:r>
        <w:t xml:space="preserve"> </w:t>
      </w:r>
      <w:r>
        <w:rPr>
          <w:rFonts w:hint="eastAsia"/>
        </w:rPr>
        <w:t xml:space="preserve">50%）を統合した評価。統合によりKB3</w:t>
      </w:r>
      <w:r>
        <w:t xml:space="preserve"> </w:t>
      </w:r>
      <w:r>
        <w:rPr>
          <w:rFonts w:hint="eastAsia"/>
        </w:rPr>
        <w:t xml:space="preserve">LLY#3の「複数メカニズムの限界」批判が希薄化し、50%に引き上げられている面がある。KB3</w:t>
      </w:r>
      <w:r>
        <w:t xml:space="preserve"> </w:t>
      </w:r>
      <w:r>
        <w:rPr>
          <w:rFonts w:hint="eastAsia"/>
        </w:rPr>
        <w:t xml:space="preserve">LLY#4の「知見獲得・蓄積があるとみなすのは妥当」（50%）をベースとした判断は合理的だが、LLY#3の批判を意識的に明記すべき。</w:t>
      </w:r>
    </w:p>
    <w:p>
      <w:pPr>
        <w:pStyle w:val="BlockText"/>
      </w:pPr>
      <w:r>
        <w:rPr>
          <w:rFonts w:hint="eastAsia"/>
          <w:b/>
          <w:bCs/>
        </w:rPr>
        <w:t xml:space="preserve">T8の判断</w:t>
      </w:r>
      <w:r>
        <w:t xml:space="preserve">: CA confidence </w:t>
      </w:r>
      <w:r>
        <w:rPr>
          <w:rFonts w:hint="eastAsia"/>
        </w:rPr>
        <w:t xml:space="preserve">50%は許容範囲内。懸念点にKB3</w:t>
      </w:r>
      <w:r>
        <w:t xml:space="preserve"> </w:t>
      </w:r>
      <w:r>
        <w:rPr>
          <w:rFonts w:hint="eastAsia"/>
        </w:rPr>
        <w:t xml:space="preserve">LLY#3の30%批判を明示追記し、複数メカニズムの限界を認識した上での50%評価であることを明確化。</w:t>
      </w:r>
    </w:p>
    <w:p>
      <w:pPr>
        <w:pStyle w:val="FirstParagraph"/>
      </w:pPr>
      <w:r>
        <w:rPr>
          <w:rFonts w:hint="eastAsia"/>
          <w:b/>
          <w:bCs/>
        </w:rPr>
        <w:t xml:space="preserve">ルール適用マトリクス</w:t>
      </w:r>
      <w:r>
        <w:t xml:space="preserv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68"/>
        <w:gridCol w:w="2376"/>
        <w:gridCol w:w="2376"/>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判定</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根拠</w:t>
            </w:r>
          </w:p>
        </w:tc>
      </w:tr>
      <w:tr>
        <w:tc>
          <w:tcPr/>
          <w:p>
            <w:pPr>
              <w:pStyle w:val="Compact"/>
            </w:pPr>
            <w:r>
              <w:rPr>
                <w:rFonts w:ascii="Times New Roman" w:hAnsi="Times New Roman" w:eastAsia="游明朝"/>
                <w:sz w:val="18"/>
              </w:rPr>
              <w:t xml:space="preserve">1: </w:t>
            </w:r>
            <w:r>
              <w:rPr>
                <w:rFonts w:hint="eastAsia" w:ascii="Times New Roman" w:hAnsi="Times New Roman" w:eastAsia="游明朝"/>
                <w:sz w:val="18"/>
              </w:rPr>
              <w:t xml:space="preserve">能力</w:t>
            </w:r>
            <w:r>
              <w:rPr>
                <w:rFonts w:ascii="Times New Roman" w:hAnsi="Times New Roman" w:eastAsia="游明朝"/>
                <w:sz w:val="18"/>
              </w:rPr>
              <w:t xml:space="preserve"> vs </w:t>
            </w:r>
            <w:r>
              <w:rPr>
                <w:rFonts w:hint="eastAsia" w:ascii="Times New Roman" w:hAnsi="Times New Roman" w:eastAsia="游明朝"/>
                <w:sz w:val="18"/>
              </w:rPr>
              <w:t xml:space="preserve">結果</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臨床開発ノウハウは能力</w:t>
            </w:r>
          </w:p>
        </w:tc>
      </w:tr>
      <w:tr>
        <w:tc>
          <w:tcPr/>
          <w:p>
            <w:pPr>
              <w:pStyle w:val="Compact"/>
            </w:pPr>
            <w:r>
              <w:rPr>
                <w:rFonts w:ascii="Times New Roman" w:hAnsi="Times New Roman" w:eastAsia="游明朝"/>
                <w:sz w:val="18"/>
              </w:rPr>
              <w:t xml:space="preserve">2: </w:t>
            </w:r>
            <w:r>
              <w:rPr>
                <w:rFonts w:hint="eastAsia" w:ascii="Times New Roman" w:hAnsi="Times New Roman" w:eastAsia="游明朝"/>
                <w:sz w:val="18"/>
              </w:rPr>
              <w:t xml:space="preserve">名詞属性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ノウハウ、経験値は名詞属性</w:t>
            </w:r>
          </w:p>
        </w:tc>
      </w:tr>
      <w:tr>
        <w:tc>
          <w:tcPr/>
          <w:p>
            <w:pPr>
              <w:pStyle w:val="Compact"/>
            </w:pPr>
            <w:r>
              <w:rPr>
                <w:rFonts w:ascii="Times New Roman" w:hAnsi="Times New Roman" w:eastAsia="游明朝"/>
                <w:sz w:val="18"/>
              </w:rPr>
              <w:t xml:space="preserve">3: </w:t>
            </w:r>
            <w:r>
              <w:rPr>
                <w:rFonts w:hint="eastAsia" w:ascii="Times New Roman" w:hAnsi="Times New Roman" w:eastAsia="游明朝"/>
                <w:sz w:val="18"/>
              </w:rPr>
              <w:t xml:space="preserve">相対的優位性</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エーザイ/BIIB対比あるが次世代との差別化不明確</w:t>
            </w:r>
          </w:p>
        </w:tc>
      </w:tr>
      <w:tr>
        <w:tc>
          <w:tcPr/>
          <w:p>
            <w:pPr>
              <w:pStyle w:val="Compact"/>
            </w:pPr>
            <w:r>
              <w:rPr>
                <w:rFonts w:ascii="Times New Roman" w:hAnsi="Times New Roman" w:eastAsia="游明朝"/>
                <w:sz w:val="18"/>
              </w:rPr>
              <w:t xml:space="preserve">4: </w:t>
            </w:r>
            <w:r>
              <w:rPr>
                <w:rFonts w:hint="eastAsia" w:ascii="Times New Roman" w:hAnsi="Times New Roman" w:eastAsia="游明朝"/>
                <w:sz w:val="18"/>
              </w:rPr>
              <w:t xml:space="preserve">説明力</w:t>
            </w:r>
          </w:p>
        </w:tc>
        <w:tc>
          <w:tcPr/>
          <w:p>
            <w:pPr>
              <w:pStyle w:val="Compact"/>
            </w:pPr>
            <w:r>
              <w:rPr>
                <w:rFonts w:ascii="Times New Roman" w:hAnsi="Times New Roman" w:eastAsia="游明朝"/>
                <w:sz w:val="18"/>
              </w:rPr>
              <w:t xml:space="preserve">PARTIAL</w:t>
            </w:r>
          </w:p>
        </w:tc>
        <w:tc>
          <w:tcPr/>
          <w:p>
            <w:pPr>
              <w:pStyle w:val="Compact"/>
            </w:pPr>
            <w:r>
              <w:rPr>
                <w:rFonts w:ascii="Times New Roman" w:hAnsi="Times New Roman" w:eastAsia="游明朝"/>
                <w:sz w:val="18"/>
              </w:rPr>
              <w:t xml:space="preserve">donanemab </w:t>
            </w:r>
            <w:r>
              <w:rPr>
                <w:rFonts w:hint="eastAsia" w:ascii="Times New Roman" w:hAnsi="Times New Roman" w:eastAsia="游明朝"/>
                <w:sz w:val="18"/>
              </w:rPr>
              <w:t xml:space="preserve">P2データは定量的。研究期間認定に違和感</w:t>
            </w:r>
          </w:p>
        </w:tc>
      </w:tr>
      <w:tr>
        <w:tc>
          <w:tcPr/>
          <w:p>
            <w:pPr>
              <w:pStyle w:val="Compact"/>
            </w:pPr>
            <w:r>
              <w:rPr>
                <w:rFonts w:ascii="Times New Roman" w:hAnsi="Times New Roman" w:eastAsia="游明朝"/>
                <w:sz w:val="18"/>
              </w:rPr>
              <w:t xml:space="preserve">6: </w:t>
            </w:r>
            <w:r>
              <w:rPr>
                <w:rFonts w:hint="eastAsia" w:ascii="Times New Roman" w:hAnsi="Times New Roman" w:eastAsia="游明朝"/>
                <w:sz w:val="18"/>
              </w:rPr>
              <w:t xml:space="preserve">構造的</w:t>
            </w:r>
            <w:r>
              <w:rPr>
                <w:rFonts w:ascii="Times New Roman" w:hAnsi="Times New Roman" w:eastAsia="游明朝"/>
                <w:sz w:val="18"/>
              </w:rPr>
              <w:t xml:space="preserve"> vs </w:t>
            </w:r>
            <w:r>
              <w:rPr>
                <w:rFonts w:hint="eastAsia" w:ascii="Times New Roman" w:hAnsi="Times New Roman" w:eastAsia="游明朝"/>
                <w:sz w:val="18"/>
              </w:rPr>
              <w:t xml:space="preserve">補完</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GLP-1主力に対して補完的</w:t>
            </w:r>
          </w:p>
        </w:tc>
      </w:tr>
      <w:tr>
        <w:tc>
          <w:tcPr/>
          <w:p>
            <w:pPr>
              <w:pStyle w:val="Compact"/>
            </w:pPr>
            <w:r>
              <w:rPr>
                <w:rFonts w:ascii="Times New Roman" w:hAnsi="Times New Roman" w:eastAsia="游明朝"/>
                <w:sz w:val="18"/>
              </w:rPr>
              <w:t xml:space="preserve">7: </w:t>
            </w:r>
            <w:r>
              <w:rPr>
                <w:rFonts w:hint="eastAsia" w:ascii="Times New Roman" w:hAnsi="Times New Roman" w:eastAsia="游明朝"/>
                <w:sz w:val="18"/>
              </w:rPr>
              <w:t xml:space="preserve">純粋競合差別化</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Leqembi対比あるが不十分</w:t>
            </w:r>
          </w:p>
        </w:tc>
      </w:tr>
      <w:tr>
        <w:tc>
          <w:tcPr/>
          <w:p>
            <w:pPr>
              <w:pStyle w:val="Compact"/>
            </w:pPr>
            <w:r>
              <w:rPr>
                <w:rFonts w:ascii="Times New Roman" w:hAnsi="Times New Roman" w:eastAsia="游明朝"/>
                <w:sz w:val="18"/>
              </w:rPr>
              <w:t xml:space="preserve">8: </w:t>
            </w:r>
            <w:r>
              <w:rPr>
                <w:rFonts w:hint="eastAsia" w:ascii="Times New Roman" w:hAnsi="Times New Roman" w:eastAsia="游明朝"/>
                <w:sz w:val="18"/>
              </w:rPr>
              <w:t xml:space="preserve">戦略</w:t>
            </w:r>
            <w:r>
              <w:rPr>
                <w:rFonts w:ascii="Times New Roman" w:hAnsi="Times New Roman" w:eastAsia="游明朝"/>
                <w:sz w:val="18"/>
              </w:rPr>
              <w:t xml:space="preserve"> ≠ </w:t>
            </w:r>
            <w:r>
              <w:rPr>
                <w:rFonts w:hint="eastAsia" w:ascii="Times New Roman" w:hAnsi="Times New Roman" w:eastAsia="游明朝"/>
                <w:sz w:val="18"/>
              </w:rPr>
              <w:t xml:space="preserve">優位性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ノウハウは能力</w:t>
            </w:r>
          </w:p>
        </w:tc>
      </w:tr>
      <w:tr>
        <w:tc>
          <w:tcPr/>
          <w:p>
            <w:pPr>
              <w:pStyle w:val="Compact"/>
            </w:pPr>
            <w:r>
              <w:rPr>
                <w:rFonts w:ascii="Times New Roman" w:hAnsi="Times New Roman" w:eastAsia="游明朝"/>
                <w:sz w:val="18"/>
              </w:rPr>
              <w:t xml:space="preserve">9: </w:t>
            </w:r>
            <w:r>
              <w:rPr>
                <w:rFonts w:hint="eastAsia" w:ascii="Times New Roman" w:hAnsi="Times New Roman" w:eastAsia="游明朝"/>
                <w:sz w:val="18"/>
              </w:rPr>
              <w:t xml:space="preserve">事実誤認</w:t>
            </w:r>
          </w:p>
        </w:tc>
        <w:tc>
          <w:tcPr/>
          <w:p>
            <w:pPr>
              <w:pStyle w:val="Compact"/>
            </w:pPr>
            <w:r>
              <w:rPr>
                <w:rFonts w:ascii="Times New Roman" w:hAnsi="Times New Roman" w:eastAsia="游明朝"/>
                <w:sz w:val="18"/>
              </w:rPr>
              <w:t xml:space="preserve">N/A</w:t>
            </w:r>
          </w:p>
        </w:tc>
        <w:tc>
          <w:tcPr/>
          <w:p>
            <w:pPr>
              <w:pStyle w:val="Compact"/>
            </w:pPr>
            <w:r>
              <w:rPr>
                <w:rFonts w:ascii="Times New Roman" w:hAnsi="Times New Roman" w:eastAsia="游明朝"/>
                <w:sz w:val="18"/>
              </w:rPr>
              <w:t xml:space="preserve">-</w:t>
            </w:r>
          </w:p>
        </w:tc>
      </w:tr>
      <w:tr>
        <w:tc>
          <w:tcPr/>
          <w:p>
            <w:pPr>
              <w:pStyle w:val="Compact"/>
            </w:pPr>
            <w:r>
              <w:rPr>
                <w:rFonts w:ascii="Times New Roman" w:hAnsi="Times New Roman" w:eastAsia="游明朝"/>
                <w:sz w:val="18"/>
              </w:rPr>
              <w:t xml:space="preserve">10: ネガティブケース</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他社失敗が間接的裏付け</w:t>
            </w:r>
          </w:p>
        </w:tc>
      </w:tr>
      <w:tr>
        <w:tc>
          <w:tcPr/>
          <w:p>
            <w:pPr>
              <w:pStyle w:val="Compact"/>
            </w:pPr>
            <w:r>
              <w:rPr>
                <w:rFonts w:ascii="Times New Roman" w:hAnsi="Times New Roman" w:eastAsia="游明朝"/>
                <w:sz w:val="18"/>
              </w:rPr>
              <w:t xml:space="preserve">11: </w:t>
            </w:r>
            <w:r>
              <w:rPr>
                <w:rFonts w:hint="eastAsia" w:ascii="Times New Roman" w:hAnsi="Times New Roman" w:eastAsia="游明朝"/>
                <w:sz w:val="18"/>
              </w:rPr>
              <w:t xml:space="preserve">業界構造合致</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高リスク・高リターン構造に合致</w:t>
            </w:r>
          </w:p>
        </w:tc>
      </w:tr>
    </w:tbl>
    <w:p>
      <w:pPr>
        <w:pStyle w:val="BodyText"/>
      </w:pPr>
      <w:r>
        <w:rPr>
          <w:rFonts w:hint="eastAsia"/>
          <w:b/>
          <w:bCs/>
        </w:rPr>
        <w:t xml:space="preserve">検出パターン</w:t>
      </w:r>
      <w:r>
        <w:t xml:space="preserve">: </w:t>
      </w:r>
      <w:r>
        <w:rPr>
          <w:rFonts w:hint="eastAsia"/>
        </w:rPr>
        <w:t xml:space="preserve">却下D（定性的のみ、moderate）、高評価III（能力&gt;結果、moderate）</w:t>
      </w:r>
    </w:p>
    <w:p>
      <w:pPr>
        <w:pStyle w:val="BodyText"/>
      </w:pPr>
      <w:r>
        <w:rPr>
          <w:rFonts w:hint="eastAsia"/>
          <w:b/>
          <w:bCs/>
        </w:rPr>
        <w:t xml:space="preserve">CAGR接続（30%、あまり納得しない）</w:t>
      </w:r>
      <w:r>
        <w:t xml:space="preserve">: </w:t>
      </w:r>
      <w:r>
        <w:rPr>
          <w:rFonts w:hint="eastAsia"/>
        </w:rPr>
        <w:t xml:space="preserve">臨床開発ノウハウは「CAGR達成の確度」を向上させるメカニズムであり、直接的な売上・マージン増加ではない（KB3</w:t>
      </w:r>
      <w:r>
        <w:t xml:space="preserve"> </w:t>
      </w:r>
      <w:r>
        <w:rPr>
          <w:rFonts w:hint="eastAsia"/>
        </w:rPr>
        <w:t xml:space="preserve">LLY#4「達成確度は数値パラメタへの寄与とは別のもの」）。アルツハイマー市場自体のリスクが高く、売上寄与の確度は低い。</w:t>
      </w:r>
    </w:p>
    <w:p>
      <w:r>
        <w:pict>
          <v:rect style="width:0;height:1.5pt" o:hralign="center" o:hrstd="t" o:hr="t"/>
        </w:pict>
      </w:r>
    </w:p>
    <w:p>
      <w:pPr>
        <w:pStyle w:val="FirstParagraph"/>
      </w:pPr>
      <w:r>
        <w:rPr>
          <w:rFonts w:hint="eastAsia"/>
          <w:b/>
          <w:bCs/>
        </w:rPr>
        <w:t xml:space="preserve">納得度:</w:t>
      </w:r>
      <w:r>
        <w:t xml:space="preserve"> </w:t>
      </w:r>
      <w:r>
        <w:t xml:space="preserve">10% / 30% /</w:t>
      </w:r>
      <w:r>
        <w:t xml:space="preserve"> </w:t>
      </w:r>
      <w:r>
        <w:rPr>
          <w:b/>
          <w:bCs/>
        </w:rPr>
        <w:t xml:space="preserve">50%</w:t>
      </w:r>
      <w:r>
        <w:t xml:space="preserve"> </w:t>
      </w:r>
      <w:r>
        <w:t xml:space="preserve">/ 70% / 90%</w:t>
      </w:r>
    </w:p>
    <w:p>
      <w:r>
        <w:pict>
          <v:rect style="width:0;height:1.5pt" o:hralign="center" o:hrstd="t" o:hr="t"/>
        </w:pict>
      </w:r>
    </w:p>
    <w:bookmarkEnd w:id="21"/>
    <w:bookmarkEnd w:id="22"/>
    <w:bookmarkStart w:id="24" w:name="主張-4-glp-1デュオポリーにおける供給能力の参入障壁"/>
    <w:p>
      <w:pPr>
        <w:pStyle w:val="Heading3"/>
      </w:pPr>
      <w:r>
        <w:rPr>
          <w:rFonts w:hint="eastAsia"/>
        </w:rPr>
        <w:t xml:space="preserve">主張</w:t>
      </w:r>
      <w:r>
        <w:t xml:space="preserve"> #4: </w:t>
      </w:r>
      <w:r>
        <w:rPr>
          <w:rFonts w:hint="eastAsia"/>
        </w:rPr>
        <w:t xml:space="preserve">GLP-1デュオポリーにおける供給能力の参入障壁</w:t>
      </w:r>
    </w:p>
    <w:bookmarkStart w:id="23" w:name="X446b755c1b88888ccf5ee7b8ca0475fc01508ff"/>
    <w:p>
      <w:pPr>
        <w:pStyle w:val="Heading4"/>
      </w:pPr>
      <w:r>
        <w:rPr>
          <w:rFonts w:hint="eastAsia"/>
        </w:rPr>
        <w:t xml:space="preserve">AI評価:</w:t>
      </w:r>
      <w:r>
        <w:t xml:space="preserve"> </w:t>
      </w:r>
      <w:r>
        <w:rPr>
          <w:rFonts w:hint="eastAsia"/>
        </w:rPr>
        <w:t xml:space="preserve">おおむね納得（70%）</w:t>
      </w:r>
      <w:r>
        <w:t xml:space="preserve"> </w:t>
      </w:r>
      <w:r>
        <w:rPr>
          <w:rFonts w:hint="eastAsia"/>
        </w:rPr>
        <w:t xml:space="preserve">[T8修正:</w:t>
      </w:r>
      <w:r>
        <w:t xml:space="preserve"> </w:t>
      </w:r>
      <w:r>
        <w:rPr>
          <w:rFonts w:hint="eastAsia"/>
        </w:rPr>
        <w:t xml:space="preserve">デュオポリー持続性リスクのアノテーション追加]</w:t>
      </w:r>
    </w:p>
    <w:p>
      <w:pPr>
        <w:pStyle w:val="FirstParagraph"/>
      </w:pPr>
      <w:r>
        <w:rPr>
          <w:rFonts w:hint="eastAsia"/>
        </w:rPr>
        <w:t xml:space="preserve">GLP-1作動薬市場においてLLYとNOVOが供給能力で圧倒的優位。供給制限が市場構築のボトルネック。PP&amp;E</w:t>
      </w:r>
      <w:r>
        <w:t xml:space="preserve"> </w:t>
      </w:r>
      <w:r>
        <w:rPr>
          <w:rFonts w:hint="eastAsia"/>
        </w:rPr>
        <w:t xml:space="preserve">$24.7B（SEC</w:t>
      </w:r>
      <w:r>
        <w:t xml:space="preserve"> </w:t>
      </w:r>
      <w:r>
        <w:rPr>
          <w:rFonts w:hint="eastAsia"/>
        </w:rPr>
        <w:t xml:space="preserve">EDGAR確認）の大規模製造投資、orforglipron先行在庫$5.5Bがロケットスタートへの確信を示す。compounders（ローカルジェネリック）の脅威は正規品供給力増で解消。</w:t>
      </w:r>
    </w:p>
    <w:p>
      <w:pPr>
        <w:pStyle w:val="BodyText"/>
      </w:pPr>
      <w:r>
        <w:rPr>
          <w:rFonts w:hint="eastAsia"/>
          <w:b/>
          <w:bCs/>
        </w:rPr>
        <w:t xml:space="preserve">納得できる点</w:t>
      </w:r>
      <w:r>
        <w:t xml:space="preserve">: </w:t>
      </w:r>
      <w:r>
        <w:rPr>
          <w:rFonts w:hint="eastAsia"/>
        </w:rPr>
        <w:t xml:space="preserve">供給能力×急拡大GLP-1市場の構造合致はルール11に高く合致。PP&amp;E</w:t>
      </w:r>
      <w:r>
        <w:t xml:space="preserve"> </w:t>
      </w:r>
      <w:r>
        <w:rPr>
          <w:rFonts w:hint="eastAsia"/>
        </w:rPr>
        <w:t xml:space="preserve">$24.7Bという定量的裏付けがSEC</w:t>
      </w:r>
      <w:r>
        <w:t xml:space="preserve"> </w:t>
      </w:r>
      <w:r>
        <w:rPr>
          <w:rFonts w:hint="eastAsia"/>
        </w:rPr>
        <w:t xml:space="preserve">EDGARで独立検証済み。compoundersの10%シェア→解消がネガティブケース（ルール10）として機能。</w:t>
      </w:r>
    </w:p>
    <w:p>
      <w:pPr>
        <w:pStyle w:val="BodyText"/>
      </w:pPr>
      <w:r>
        <w:rPr>
          <w:rFonts w:hint="eastAsia"/>
          <w:b/>
          <w:bCs/>
        </w:rPr>
        <w:t xml:space="preserve">懸念点</w:t>
      </w:r>
      <w:r>
        <w:t xml:space="preserve">:</w:t>
      </w:r>
      <w:r>
        <w:t xml:space="preserve"> </w:t>
      </w:r>
      <w:r>
        <w:rPr>
          <w:rFonts w:hint="eastAsia"/>
        </w:rPr>
        <w:t xml:space="preserve">NOVO（純粋競合）との供給能力の具体的比較が不足</w:t>
      </w:r>
      <w:r>
        <w:rPr>
          <w:rFonts w:hint="eastAsia"/>
        </w:rPr>
        <w:t xml:space="preserve">。両社とも供給拡大中だが、LLY固有の供給優位の定量論拠がない（パターンG</w:t>
      </w:r>
      <w:r>
        <w:t xml:space="preserve"> </w:t>
      </w:r>
      <w:r>
        <w:rPr>
          <w:rFonts w:hint="eastAsia"/>
        </w:rPr>
        <w:t xml:space="preserve">moderate）。</w:t>
      </w:r>
      <w:r>
        <w:rPr>
          <w:rFonts w:hint="eastAsia"/>
        </w:rPr>
        <w:t xml:space="preserve">デュオポリーの持続性分析が不十分</w:t>
      </w:r>
      <w:r>
        <w:t xml:space="preserve">: </w:t>
      </w:r>
      <w:r>
        <w:rPr>
          <w:rFonts w:hint="eastAsia"/>
        </w:rPr>
        <w:t xml:space="preserve">30年代以降の新規参入（バイオシミラー、新規メカニズム薬等）によるデュオポリー崩壊リスクが明示的に評価されていない。GLP-1市場の価格競争リスク（HCV類似シナリオ）への言及も必要。</w:t>
      </w:r>
    </w:p>
    <w:p>
      <w:pPr>
        <w:pStyle w:val="BlockText"/>
      </w:pPr>
      <w:r>
        <w:rPr>
          <w:rFonts w:hint="eastAsia"/>
          <w:b/>
          <w:bCs/>
        </w:rPr>
        <w:t xml:space="preserve">[注4]</w:t>
      </w:r>
      <w:r>
        <w:rPr>
          <w:b/>
          <w:bCs/>
        </w:rPr>
        <w:t xml:space="preserve"> </w:t>
      </w:r>
      <w:r>
        <w:rPr>
          <w:rFonts w:hint="eastAsia"/>
          <w:b/>
          <w:bCs/>
        </w:rPr>
        <w:t xml:space="preserve">T8批判</w:t>
      </w:r>
      <w:r>
        <w:rPr>
          <w:b/>
          <w:bCs/>
        </w:rPr>
        <w:t xml:space="preserve"> (critical): </w:t>
      </w:r>
      <w:r>
        <w:rPr>
          <w:rFonts w:hint="eastAsia"/>
          <w:b/>
          <w:bCs/>
        </w:rPr>
        <w:t xml:space="preserve">ORLY#2（90%）との比較でデュオポリー持続性分析が不足</w:t>
      </w:r>
    </w:p>
    <w:p>
      <w:pPr>
        <w:pStyle w:val="BlockText"/>
      </w:pPr>
      <w:r>
        <w:t xml:space="preserve">KB3 </w:t>
      </w:r>
      <w:r>
        <w:rPr>
          <w:rFonts w:hint="eastAsia"/>
        </w:rPr>
        <w:t xml:space="preserve">ORLY#2（90%）は「出店可能エリアで飽和未到達」という市場構造の持続性まで踏み込んだ分析があり、これが90%の根拠。LLY</w:t>
      </w:r>
      <w:r>
        <w:t xml:space="preserve"> Claim </w:t>
      </w:r>
      <w:r>
        <w:rPr>
          <w:rFonts w:hint="eastAsia"/>
        </w:rPr>
        <w:t xml:space="preserve">#4ではGLP-1デュオポリーの持続性（30年代以降の新規参入可能性、バイオシミラーリスク、価格競争リスク）が十分に分析されていない。KB2パターンIV「構造的な市場ポジション:</w:t>
      </w:r>
      <w:r>
        <w:t xml:space="preserve"> </w:t>
      </w:r>
      <w:r>
        <w:rPr>
          <w:rFonts w:hint="eastAsia"/>
        </w:rPr>
        <w:t xml:space="preserve">市場構造の分析が明確であること」の条件を完全には満たしていない。</w:t>
      </w:r>
    </w:p>
    <w:p>
      <w:pPr>
        <w:pStyle w:val="BlockText"/>
      </w:pPr>
      <w:r>
        <w:rPr>
          <w:rFonts w:hint="eastAsia"/>
          <w:b/>
          <w:bCs/>
        </w:rPr>
        <w:t xml:space="preserve">T8の判断</w:t>
      </w:r>
      <w:r>
        <w:t xml:space="preserve">: CA confidence </w:t>
      </w:r>
      <w:r>
        <w:rPr>
          <w:rFonts w:hint="eastAsia"/>
        </w:rPr>
        <w:t xml:space="preserve">70%は適切と判断。持続性分析の不足は70%→90%への障壁であり、70%→50%への引き下げ要因ではない。以下のリスクを条件付きアノテーションとして追加:</w:t>
      </w:r>
      <w:r>
        <w:t xml:space="preserve"> </w:t>
      </w:r>
      <w:r>
        <w:t xml:space="preserve">-</w:t>
      </w:r>
      <w:r>
        <w:t xml:space="preserve"> </w:t>
      </w:r>
      <w:r>
        <w:rPr>
          <w:rFonts w:hint="eastAsia"/>
          <w:b/>
          <w:bCs/>
        </w:rPr>
        <w:t xml:space="preserve">現状維持（70%）</w:t>
      </w:r>
      <w:r>
        <w:t xml:space="preserve">: </w:t>
      </w:r>
      <w:r>
        <w:rPr>
          <w:rFonts w:hint="eastAsia"/>
        </w:rPr>
        <w:t xml:space="preserve">GLP-1市場の急拡大+供給不足の構造が継続する限り</w:t>
      </w:r>
      <w:r>
        <w:t xml:space="preserve"> </w:t>
      </w:r>
      <w:r>
        <w:t xml:space="preserve">-</w:t>
      </w:r>
      <w:r>
        <w:t xml:space="preserve"> </w:t>
      </w:r>
      <w:r>
        <w:rPr>
          <w:rFonts w:hint="eastAsia"/>
          <w:b/>
          <w:bCs/>
        </w:rPr>
        <w:t xml:space="preserve">リスク顕在化時（50%に低下）</w:t>
      </w:r>
      <w:r>
        <w:t xml:space="preserve">: </w:t>
      </w:r>
      <w:r>
        <w:rPr>
          <w:rFonts w:hint="eastAsia"/>
        </w:rPr>
        <w:t xml:space="preserve">(1)30年代新規参入でデュオポリー崩壊、(2)HCV類似の価格競争ピークアウト</w:t>
      </w:r>
    </w:p>
    <w:p>
      <w:pPr>
        <w:pStyle w:val="FirstParagraph"/>
      </w:pPr>
      <w:r>
        <w:rPr>
          <w:rFonts w:hint="eastAsia"/>
          <w:b/>
          <w:bCs/>
        </w:rPr>
        <w:t xml:space="preserve">ルール適用マトリクス</w:t>
      </w:r>
      <w:r>
        <w:t xml:space="preserv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68"/>
        <w:gridCol w:w="2376"/>
        <w:gridCol w:w="2376"/>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判定</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根拠</w:t>
            </w:r>
          </w:p>
        </w:tc>
      </w:tr>
      <w:tr>
        <w:tc>
          <w:tcPr/>
          <w:p>
            <w:pPr>
              <w:pStyle w:val="Compact"/>
            </w:pPr>
            <w:r>
              <w:rPr>
                <w:rFonts w:ascii="Times New Roman" w:hAnsi="Times New Roman" w:eastAsia="游明朝"/>
                <w:sz w:val="18"/>
              </w:rPr>
              <w:t xml:space="preserve">1: </w:t>
            </w:r>
            <w:r>
              <w:rPr>
                <w:rFonts w:hint="eastAsia" w:ascii="Times New Roman" w:hAnsi="Times New Roman" w:eastAsia="游明朝"/>
                <w:sz w:val="18"/>
              </w:rPr>
              <w:t xml:space="preserve">能力</w:t>
            </w:r>
            <w:r>
              <w:rPr>
                <w:rFonts w:ascii="Times New Roman" w:hAnsi="Times New Roman" w:eastAsia="游明朝"/>
                <w:sz w:val="18"/>
              </w:rPr>
              <w:t xml:space="preserve"> vs </w:t>
            </w:r>
            <w:r>
              <w:rPr>
                <w:rFonts w:hint="eastAsia" w:ascii="Times New Roman" w:hAnsi="Times New Roman" w:eastAsia="游明朝"/>
                <w:sz w:val="18"/>
              </w:rPr>
              <w:t xml:space="preserve">結果</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製造能力は仕組み</w:t>
            </w:r>
          </w:p>
        </w:tc>
      </w:tr>
      <w:tr>
        <w:tc>
          <w:tcPr/>
          <w:p>
            <w:pPr>
              <w:pStyle w:val="Compact"/>
            </w:pPr>
            <w:r>
              <w:rPr>
                <w:rFonts w:ascii="Times New Roman" w:hAnsi="Times New Roman" w:eastAsia="游明朝"/>
                <w:sz w:val="18"/>
              </w:rPr>
              <w:t xml:space="preserve">2: </w:t>
            </w:r>
            <w:r>
              <w:rPr>
                <w:rFonts w:hint="eastAsia" w:ascii="Times New Roman" w:hAnsi="Times New Roman" w:eastAsia="游明朝"/>
                <w:sz w:val="18"/>
              </w:rPr>
              <w:t xml:space="preserve">名詞属性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供給能力、参入障壁は名詞属性</w:t>
            </w:r>
          </w:p>
        </w:tc>
      </w:tr>
      <w:tr>
        <w:tc>
          <w:tcPr/>
          <w:p>
            <w:pPr>
              <w:pStyle w:val="Compact"/>
            </w:pPr>
            <w:r>
              <w:rPr>
                <w:rFonts w:ascii="Times New Roman" w:hAnsi="Times New Roman" w:eastAsia="游明朝"/>
                <w:sz w:val="18"/>
              </w:rPr>
              <w:t xml:space="preserve">3: </w:t>
            </w:r>
            <w:r>
              <w:rPr>
                <w:rFonts w:hint="eastAsia" w:ascii="Times New Roman" w:hAnsi="Times New Roman" w:eastAsia="游明朝"/>
                <w:sz w:val="18"/>
              </w:rPr>
              <w:t xml:space="preserve">相対的優位性</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新規参入者に対しては明確。NOVOとの比較は不足</w:t>
            </w:r>
          </w:p>
        </w:tc>
      </w:tr>
      <w:tr>
        <w:tc>
          <w:tcPr/>
          <w:p>
            <w:pPr>
              <w:pStyle w:val="Compact"/>
            </w:pPr>
            <w:r>
              <w:rPr>
                <w:rFonts w:ascii="Times New Roman" w:hAnsi="Times New Roman" w:eastAsia="游明朝"/>
                <w:sz w:val="18"/>
              </w:rPr>
              <w:t xml:space="preserve">4: </w:t>
            </w:r>
            <w:r>
              <w:rPr>
                <w:rFonts w:hint="eastAsia" w:ascii="Times New Roman" w:hAnsi="Times New Roman" w:eastAsia="游明朝"/>
                <w:sz w:val="18"/>
              </w:rPr>
              <w:t xml:space="preserve">説明力</w:t>
            </w:r>
          </w:p>
        </w:tc>
        <w:tc>
          <w:tcPr/>
          <w:p>
            <w:pPr>
              <w:pStyle w:val="Compact"/>
            </w:pPr>
            <w:r>
              <w:rPr>
                <w:rFonts w:ascii="Times New Roman" w:hAnsi="Times New Roman" w:eastAsia="游明朝"/>
                <w:sz w:val="18"/>
              </w:rPr>
              <w:t xml:space="preserve">PASS</w:t>
            </w:r>
          </w:p>
        </w:tc>
        <w:tc>
          <w:tcPr/>
          <w:p>
            <w:pPr>
              <w:pStyle w:val="Compact"/>
            </w:pPr>
            <w:r>
              <w:rPr>
                <w:rFonts w:ascii="Times New Roman" w:hAnsi="Times New Roman" w:eastAsia="游明朝"/>
                <w:sz w:val="18"/>
              </w:rPr>
              <w:t xml:space="preserve">PP&amp;E </w:t>
            </w:r>
            <w:r>
              <w:rPr>
                <w:rFonts w:hint="eastAsia" w:ascii="Times New Roman" w:hAnsi="Times New Roman" w:eastAsia="游明朝"/>
                <w:sz w:val="18"/>
              </w:rPr>
              <w:t xml:space="preserve">$24.7B、$5.5B在庫、compounders</w:t>
            </w:r>
            <w:r>
              <w:rPr>
                <w:rFonts w:ascii="Times New Roman" w:hAnsi="Times New Roman" w:eastAsia="游明朝"/>
                <w:sz w:val="18"/>
              </w:rPr>
              <w:t xml:space="preserve"> </w:t>
            </w:r>
            <w:r>
              <w:rPr>
                <w:rFonts w:hint="eastAsia" w:ascii="Times New Roman" w:hAnsi="Times New Roman" w:eastAsia="游明朝"/>
                <w:sz w:val="18"/>
              </w:rPr>
              <w:t xml:space="preserve">10%等</w:t>
            </w:r>
          </w:p>
        </w:tc>
      </w:tr>
      <w:tr>
        <w:tc>
          <w:tcPr/>
          <w:p>
            <w:pPr>
              <w:pStyle w:val="Compact"/>
            </w:pPr>
            <w:r>
              <w:rPr>
                <w:rFonts w:ascii="Times New Roman" w:hAnsi="Times New Roman" w:eastAsia="游明朝"/>
                <w:sz w:val="18"/>
              </w:rPr>
              <w:t xml:space="preserve">6: </w:t>
            </w:r>
            <w:r>
              <w:rPr>
                <w:rFonts w:hint="eastAsia" w:ascii="Times New Roman" w:hAnsi="Times New Roman" w:eastAsia="游明朝"/>
                <w:sz w:val="18"/>
              </w:rPr>
              <w:t xml:space="preserve">構造的</w:t>
            </w:r>
            <w:r>
              <w:rPr>
                <w:rFonts w:ascii="Times New Roman" w:hAnsi="Times New Roman" w:eastAsia="游明朝"/>
                <w:sz w:val="18"/>
              </w:rPr>
              <w:t xml:space="preserve"> vs </w:t>
            </w:r>
            <w:r>
              <w:rPr>
                <w:rFonts w:hint="eastAsia" w:ascii="Times New Roman" w:hAnsi="Times New Roman" w:eastAsia="游明朝"/>
                <w:sz w:val="18"/>
              </w:rPr>
              <w:t xml:space="preserve">補完</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事業核心の構造的優位性</w:t>
            </w:r>
          </w:p>
        </w:tc>
      </w:tr>
      <w:tr>
        <w:tc>
          <w:tcPr/>
          <w:p>
            <w:pPr>
              <w:pStyle w:val="Compact"/>
            </w:pPr>
            <w:r>
              <w:rPr>
                <w:rFonts w:ascii="Times New Roman" w:hAnsi="Times New Roman" w:eastAsia="游明朝"/>
                <w:sz w:val="18"/>
              </w:rPr>
              <w:t xml:space="preserve">7: </w:t>
            </w:r>
            <w:r>
              <w:rPr>
                <w:rFonts w:hint="eastAsia" w:ascii="Times New Roman" w:hAnsi="Times New Roman" w:eastAsia="游明朝"/>
                <w:sz w:val="18"/>
              </w:rPr>
              <w:t xml:space="preserve">純粋競合差別化</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NOVO対比の具体的供給能力比較不足</w:t>
            </w:r>
          </w:p>
        </w:tc>
      </w:tr>
      <w:tr>
        <w:tc>
          <w:tcPr/>
          <w:p>
            <w:pPr>
              <w:pStyle w:val="Compact"/>
            </w:pPr>
            <w:r>
              <w:rPr>
                <w:rFonts w:ascii="Times New Roman" w:hAnsi="Times New Roman" w:eastAsia="游明朝"/>
                <w:sz w:val="18"/>
              </w:rPr>
              <w:t xml:space="preserve">8: </w:t>
            </w:r>
            <w:r>
              <w:rPr>
                <w:rFonts w:hint="eastAsia" w:ascii="Times New Roman" w:hAnsi="Times New Roman" w:eastAsia="游明朝"/>
                <w:sz w:val="18"/>
              </w:rPr>
              <w:t xml:space="preserve">戦略</w:t>
            </w:r>
            <w:r>
              <w:rPr>
                <w:rFonts w:ascii="Times New Roman" w:hAnsi="Times New Roman" w:eastAsia="游明朝"/>
                <w:sz w:val="18"/>
              </w:rPr>
              <w:t xml:space="preserve"> ≠ </w:t>
            </w:r>
            <w:r>
              <w:rPr>
                <w:rFonts w:hint="eastAsia" w:ascii="Times New Roman" w:hAnsi="Times New Roman" w:eastAsia="游明朝"/>
                <w:sz w:val="18"/>
              </w:rPr>
              <w:t xml:space="preserve">優位性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設備投資蓄積は構造的力</w:t>
            </w:r>
          </w:p>
        </w:tc>
      </w:tr>
      <w:tr>
        <w:tc>
          <w:tcPr/>
          <w:p>
            <w:pPr>
              <w:pStyle w:val="Compact"/>
            </w:pPr>
            <w:r>
              <w:rPr>
                <w:rFonts w:ascii="Times New Roman" w:hAnsi="Times New Roman" w:eastAsia="游明朝"/>
                <w:sz w:val="18"/>
              </w:rPr>
              <w:t xml:space="preserve">9: </w:t>
            </w:r>
            <w:r>
              <w:rPr>
                <w:rFonts w:hint="eastAsia" w:ascii="Times New Roman" w:hAnsi="Times New Roman" w:eastAsia="游明朝"/>
                <w:sz w:val="18"/>
              </w:rPr>
              <w:t xml:space="preserve">事実誤認</w:t>
            </w:r>
          </w:p>
        </w:tc>
        <w:tc>
          <w:tcPr/>
          <w:p>
            <w:pPr>
              <w:pStyle w:val="Compact"/>
            </w:pPr>
            <w:r>
              <w:rPr>
                <w:rFonts w:ascii="Times New Roman" w:hAnsi="Times New Roman" w:eastAsia="游明朝"/>
                <w:sz w:val="18"/>
              </w:rPr>
              <w:t xml:space="preserve">N/A</w:t>
            </w:r>
          </w:p>
        </w:tc>
        <w:tc>
          <w:tcPr/>
          <w:p>
            <w:pPr>
              <w:pStyle w:val="Compact"/>
            </w:pPr>
            <w:r>
              <w:rPr>
                <w:rFonts w:ascii="Times New Roman" w:hAnsi="Times New Roman" w:eastAsia="游明朝"/>
                <w:sz w:val="18"/>
              </w:rPr>
              <w:t xml:space="preserve">-</w:t>
            </w:r>
          </w:p>
        </w:tc>
      </w:tr>
      <w:tr>
        <w:tc>
          <w:tcPr/>
          <w:p>
            <w:pPr>
              <w:pStyle w:val="Compact"/>
            </w:pPr>
            <w:r>
              <w:rPr>
                <w:rFonts w:ascii="Times New Roman" w:hAnsi="Times New Roman" w:eastAsia="游明朝"/>
                <w:sz w:val="18"/>
              </w:rPr>
              <w:t xml:space="preserve">10: ネガティブケース</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compounders排除が参入障壁の裏付け</w:t>
            </w:r>
          </w:p>
        </w:tc>
      </w:tr>
      <w:tr>
        <w:tc>
          <w:tcPr/>
          <w:p>
            <w:pPr>
              <w:pStyle w:val="Compact"/>
            </w:pPr>
            <w:r>
              <w:rPr>
                <w:rFonts w:ascii="Times New Roman" w:hAnsi="Times New Roman" w:eastAsia="游明朝"/>
                <w:sz w:val="18"/>
              </w:rPr>
              <w:t xml:space="preserve">11: </w:t>
            </w:r>
            <w:r>
              <w:rPr>
                <w:rFonts w:hint="eastAsia" w:ascii="Times New Roman" w:hAnsi="Times New Roman" w:eastAsia="游明朝"/>
                <w:sz w:val="18"/>
              </w:rPr>
              <w:t xml:space="preserve">業界構造合致</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急拡大TAM×供給不足の市場構造に合致</w:t>
            </w:r>
          </w:p>
        </w:tc>
      </w:tr>
    </w:tbl>
    <w:p>
      <w:pPr>
        <w:pStyle w:val="BodyText"/>
      </w:pPr>
      <w:r>
        <w:rPr>
          <w:rFonts w:hint="eastAsia"/>
          <w:b/>
          <w:bCs/>
        </w:rPr>
        <w:t xml:space="preserve">検出パターン</w:t>
      </w:r>
      <w:r>
        <w:t xml:space="preserve">: </w:t>
      </w:r>
      <w:r>
        <w:rPr>
          <w:rFonts w:hint="eastAsia"/>
        </w:rPr>
        <w:t xml:space="preserve">高評価I（定量的裏付け、strong）、IV（構造的市場ポジション、strong）</w:t>
      </w:r>
    </w:p>
    <w:p>
      <w:pPr>
        <w:pStyle w:val="BodyText"/>
      </w:pPr>
      <w:r>
        <w:rPr>
          <w:rFonts w:hint="eastAsia"/>
          <w:b/>
          <w:bCs/>
        </w:rPr>
        <w:t xml:space="preserve">CAGR接続（70%、おおむね納得、条件付き）</w:t>
      </w:r>
      <w:r>
        <w:t xml:space="preserve">: </w:t>
      </w:r>
      <w:r>
        <w:rPr>
          <w:rFonts w:hint="eastAsia"/>
        </w:rPr>
        <w:t xml:space="preserve">供給能力→デュオポリー維持→GLP-1市場拡大の大部分をLLY+NOVOが享受→売上成長+10-15%の主要ドライバー。TAM</w:t>
      </w:r>
      <w:r>
        <w:t xml:space="preserve"> </w:t>
      </w:r>
      <w:r>
        <w:rPr>
          <w:rFonts w:hint="eastAsia"/>
        </w:rPr>
        <w:t xml:space="preserve">$1000億（2030年頃）をLLY+NOVOで分け合う構図。メカニズムは1-2ステップで直接的。PP&amp;E投資が継続的に確認可能。</w:t>
      </w:r>
      <w:r>
        <w:rPr>
          <w:rFonts w:hint="eastAsia"/>
          <w:b/>
          <w:bCs/>
        </w:rPr>
        <w:t xml:space="preserve">条件</w:t>
      </w:r>
      <w:r>
        <w:t xml:space="preserve">: </w:t>
      </w:r>
      <w:r>
        <w:rPr>
          <w:rFonts w:hint="eastAsia"/>
        </w:rPr>
        <w:t xml:space="preserve">デュオポリー構造の持続が前提。HCV類似シナリオが顕在化した場合はCAGR接続50%に低下。</w:t>
      </w:r>
    </w:p>
    <w:p>
      <w:r>
        <w:pict>
          <v:rect style="width:0;height:1.5pt" o:hralign="center" o:hrstd="t" o:hr="t"/>
        </w:pict>
      </w:r>
    </w:p>
    <w:p>
      <w:pPr>
        <w:pStyle w:val="FirstParagraph"/>
      </w:pPr>
      <w:r>
        <w:rPr>
          <w:rFonts w:hint="eastAsia"/>
          <w:b/>
          <w:bCs/>
        </w:rPr>
        <w:t xml:space="preserve">納得度:</w:t>
      </w:r>
      <w:r>
        <w:t xml:space="preserve"> </w:t>
      </w:r>
      <w:r>
        <w:t xml:space="preserve">10% / 30% / 50% /</w:t>
      </w:r>
      <w:r>
        <w:t xml:space="preserve"> </w:t>
      </w:r>
      <w:r>
        <w:rPr>
          <w:b/>
          <w:bCs/>
        </w:rPr>
        <w:t xml:space="preserve">70%</w:t>
      </w:r>
      <w:r>
        <w:t xml:space="preserve"> </w:t>
      </w:r>
      <w:r>
        <w:t xml:space="preserve">/ 90%</w:t>
      </w:r>
    </w:p>
    <w:p>
      <w:r>
        <w:pict>
          <v:rect style="width:0;height:1.5pt" o:hralign="center" o:hrstd="t" o:hr="t"/>
        </w:pict>
      </w:r>
    </w:p>
    <w:bookmarkEnd w:id="23"/>
    <w:bookmarkEnd w:id="24"/>
    <w:bookmarkStart w:id="26" w:name="主張-5-既承認glp-1製品mounjaroによる市場ポジション確立と粘着性"/>
    <w:p>
      <w:pPr>
        <w:pStyle w:val="Heading3"/>
      </w:pPr>
      <w:r>
        <w:rPr>
          <w:rFonts w:hint="eastAsia"/>
        </w:rPr>
        <w:t xml:space="preserve">主張</w:t>
      </w:r>
      <w:r>
        <w:t xml:space="preserve"> #5: </w:t>
      </w:r>
      <w:r>
        <w:rPr>
          <w:rFonts w:hint="eastAsia"/>
        </w:rPr>
        <w:t xml:space="preserve">既承認GLP-1製品(Mounjaro)による市場ポジション確立と粘着性</w:t>
      </w:r>
    </w:p>
    <w:bookmarkStart w:id="25" w:name="ai評価-まあ納得50-t8修正-cvs事例によるリスクの条件付きアノテーション"/>
    <w:p>
      <w:pPr>
        <w:pStyle w:val="Heading4"/>
      </w:pPr>
      <w:r>
        <w:rPr>
          <w:rFonts w:hint="eastAsia"/>
        </w:rPr>
        <w:t xml:space="preserve">AI評価:</w:t>
      </w:r>
      <w:r>
        <w:t xml:space="preserve"> </w:t>
      </w:r>
      <w:r>
        <w:rPr>
          <w:rFonts w:hint="eastAsia"/>
        </w:rPr>
        <w:t xml:space="preserve">まあ納得（50%）</w:t>
      </w:r>
      <w:r>
        <w:t xml:space="preserve"> </w:t>
      </w:r>
      <w:r>
        <w:rPr>
          <w:rFonts w:hint="eastAsia"/>
        </w:rPr>
        <w:t xml:space="preserve">[T8修正:</w:t>
      </w:r>
      <w:r>
        <w:t xml:space="preserve"> </w:t>
      </w:r>
      <w:r>
        <w:rPr>
          <w:rFonts w:hint="eastAsia"/>
        </w:rPr>
        <w:t xml:space="preserve">CVS事例によるリスクの条件付きアノテーション]</w:t>
      </w:r>
    </w:p>
    <w:p>
      <w:pPr>
        <w:pStyle w:val="FirstParagraph"/>
      </w:pPr>
      <w:r>
        <w:rPr>
          <w:rFonts w:hint="eastAsia"/>
        </w:rPr>
        <w:t xml:space="preserve">慢性疾患（糖尿病・肥満症）での継続的服用が粘着性を生む。Mounjaro/Zepboundでの市場規模・服用者数が規模の効果を発揮。注射剤→経口薬への移行時にもブランド粘着性が一定程度機能する可能性。</w:t>
      </w:r>
    </w:p>
    <w:p>
      <w:pPr>
        <w:pStyle w:val="BodyText"/>
      </w:pPr>
      <w:r>
        <w:rPr>
          <w:rFonts w:hint="eastAsia"/>
          <w:b/>
          <w:bCs/>
        </w:rPr>
        <w:t xml:space="preserve">納得できる点</w:t>
      </w:r>
      <w:r>
        <w:t xml:space="preserve">: </w:t>
      </w:r>
      <w:r>
        <w:rPr>
          <w:rFonts w:hint="eastAsia"/>
        </w:rPr>
        <w:t xml:space="preserve">慢性疾患である糖尿・肥満症を取り扱うため、既存客が継続的に服用するような粘着性は重要。何らかの優位性の結果構築されたMounjaroの市場規模・服用者数は規模の効果を発揮し、注射剤から経口薬への移行に際しても粘着性効果は一定程度見込める（KB3</w:t>
      </w:r>
      <w:r>
        <w:t xml:space="preserve"> </w:t>
      </w:r>
      <w:r>
        <w:rPr>
          <w:rFonts w:hint="eastAsia"/>
        </w:rPr>
        <w:t xml:space="preserve">LLY#5）。</w:t>
      </w:r>
    </w:p>
    <w:p>
      <w:pPr>
        <w:pStyle w:val="BodyText"/>
      </w:pPr>
      <w:r>
        <w:rPr>
          <w:rFonts w:hint="eastAsia"/>
          <w:b/>
          <w:bCs/>
        </w:rPr>
        <w:t xml:space="preserve">懸念点</w:t>
      </w:r>
      <w:r>
        <w:t xml:space="preserve">:</w:t>
      </w:r>
      <w:r>
        <w:t xml:space="preserve"> </w:t>
      </w:r>
      <w:r>
        <w:rPr>
          <w:rFonts w:hint="eastAsia"/>
        </w:rPr>
        <w:t xml:space="preserve">市場ポジション確立は何らかの優位性の「結果」であり原因ではない</w:t>
      </w:r>
      <w:r>
        <w:rPr>
          <w:rFonts w:hint="eastAsia"/>
        </w:rPr>
        <w:t xml:space="preserve">（パターンA）。PBM/CVSのformulary選定でWegovyが優先推奨された事例（2025年5月）があり、</w:t>
      </w:r>
      <w:r>
        <w:rPr>
          <w:rFonts w:hint="eastAsia"/>
        </w:rPr>
        <w:t xml:space="preserve">薬剤に求める効果・副作用・服用の手間などの条件が変わる新製品に対しては、粘着性は機能しない可能性は残る</w:t>
      </w:r>
      <w:r>
        <w:rPr>
          <w:rFonts w:hint="eastAsia"/>
        </w:rPr>
        <w:t xml:space="preserve">（KB3</w:t>
      </w:r>
      <w:r>
        <w:t xml:space="preserve"> </w:t>
      </w:r>
      <w:r>
        <w:rPr>
          <w:rFonts w:hint="eastAsia"/>
        </w:rPr>
        <w:t xml:space="preserve">LLY#5）。</w:t>
      </w:r>
    </w:p>
    <w:p>
      <w:pPr>
        <w:pStyle w:val="BlockText"/>
      </w:pPr>
      <w:r>
        <w:rPr>
          <w:rFonts w:hint="eastAsia"/>
          <w:b/>
          <w:bCs/>
        </w:rPr>
        <w:t xml:space="preserve">[注5]</w:t>
      </w:r>
      <w:r>
        <w:rPr>
          <w:b/>
          <w:bCs/>
        </w:rPr>
        <w:t xml:space="preserve"> </w:t>
      </w:r>
      <w:r>
        <w:rPr>
          <w:rFonts w:hint="eastAsia"/>
          <w:b/>
          <w:bCs/>
        </w:rPr>
        <w:t xml:space="preserve">T8批判</w:t>
      </w:r>
      <w:r>
        <w:rPr>
          <w:b/>
          <w:bCs/>
        </w:rPr>
        <w:t xml:space="preserve"> (minor): CVS </w:t>
      </w:r>
      <w:r>
        <w:rPr>
          <w:rFonts w:hint="eastAsia"/>
          <w:b/>
          <w:bCs/>
        </w:rPr>
        <w:t xml:space="preserve">Wegovy優先推奨のCAGR影響が未反映</w:t>
      </w:r>
    </w:p>
    <w:p>
      <w:pPr>
        <w:pStyle w:val="BlockText"/>
      </w:pPr>
      <w:r>
        <w:rPr>
          <w:rFonts w:hint="eastAsia"/>
        </w:rPr>
        <w:t xml:space="preserve">2025年5月のCVSによるWegovy優先推奨はKB3</w:t>
      </w:r>
      <w:r>
        <w:t xml:space="preserve"> </w:t>
      </w:r>
      <w:r>
        <w:rPr>
          <w:rFonts w:hint="eastAsia"/>
        </w:rPr>
        <w:t xml:space="preserve">LLY#5の評価時点以降の新情報であり、PBMのformulary選定が粘着性を無効化するリスクの具体的事例。CAGR接続70%はKB3と一致するが、CVS事例がCAGR接続の確度にどの程度影響するかの評価が不足。</w:t>
      </w:r>
    </w:p>
    <w:p>
      <w:pPr>
        <w:pStyle w:val="BlockText"/>
      </w:pPr>
      <w:r>
        <w:rPr>
          <w:rFonts w:hint="eastAsia"/>
          <w:b/>
          <w:bCs/>
        </w:rPr>
        <w:t xml:space="preserve">T8の判断</w:t>
      </w:r>
      <w:r>
        <w:t xml:space="preserve">: CAGR </w:t>
      </w:r>
      <w:r>
        <w:rPr>
          <w:rFonts w:hint="eastAsia"/>
        </w:rPr>
        <w:t xml:space="preserve">70%を維持しつつ条件付きアノテーションを追加:</w:t>
      </w:r>
      <w:r>
        <w:t xml:space="preserve"> </w:t>
      </w:r>
      <w:r>
        <w:t xml:space="preserve">-</w:t>
      </w:r>
      <w:r>
        <w:t xml:space="preserve"> </w:t>
      </w:r>
      <w:r>
        <w:rPr>
          <w:rFonts w:hint="eastAsia"/>
          <w:b/>
          <w:bCs/>
        </w:rPr>
        <w:t xml:space="preserve">現状維持（70%）</w:t>
      </w:r>
      <w:r>
        <w:t xml:space="preserve">: </w:t>
      </w:r>
      <w:r>
        <w:rPr>
          <w:rFonts w:hint="eastAsia"/>
        </w:rPr>
        <w:t xml:space="preserve">GLP-1市場全体が拡大局面であり、CVS事例は「一時的センチメント悪化」にとどまる場合</w:t>
      </w:r>
      <w:r>
        <w:t xml:space="preserve"> </w:t>
      </w:r>
      <w:r>
        <w:t xml:space="preserve">-</w:t>
      </w:r>
      <w:r>
        <w:t xml:space="preserve"> </w:t>
      </w:r>
      <w:r>
        <w:rPr>
          <w:rFonts w:hint="eastAsia"/>
          <w:b/>
          <w:bCs/>
        </w:rPr>
        <w:t xml:space="preserve">リスク顕在化時（50%に低下）</w:t>
      </w:r>
      <w:r>
        <w:t xml:space="preserve">: </w:t>
      </w:r>
      <w:r>
        <w:rPr>
          <w:rFonts w:hint="eastAsia"/>
        </w:rPr>
        <w:t xml:space="preserve">PBMのformulary選定が恒常化し、ブランド粘着性が構造的に無効化される場合</w:t>
      </w:r>
    </w:p>
    <w:p>
      <w:pPr>
        <w:pStyle w:val="FirstParagraph"/>
      </w:pPr>
      <w:r>
        <w:rPr>
          <w:rFonts w:hint="eastAsia"/>
          <w:b/>
          <w:bCs/>
        </w:rPr>
        <w:t xml:space="preserve">ルール適用マトリクス</w:t>
      </w:r>
      <w:r>
        <w:t xml:space="preserve">:</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判定</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根拠</w:t>
            </w:r>
          </w:p>
        </w:tc>
      </w:tr>
      <w:tr>
        <w:tc>
          <w:tcPr/>
          <w:p>
            <w:pPr>
              <w:pStyle w:val="Compact"/>
            </w:pPr>
            <w:r>
              <w:rPr>
                <w:rFonts w:ascii="Times New Roman" w:hAnsi="Times New Roman" w:eastAsia="游明朝"/>
                <w:sz w:val="18"/>
              </w:rPr>
              <w:t xml:space="preserve">1: </w:t>
            </w:r>
            <w:r>
              <w:rPr>
                <w:rFonts w:hint="eastAsia" w:ascii="Times New Roman" w:hAnsi="Times New Roman" w:eastAsia="游明朝"/>
                <w:sz w:val="18"/>
              </w:rPr>
              <w:t xml:space="preserve">能力</w:t>
            </w:r>
            <w:r>
              <w:rPr>
                <w:rFonts w:ascii="Times New Roman" w:hAnsi="Times New Roman" w:eastAsia="游明朝"/>
                <w:sz w:val="18"/>
              </w:rPr>
              <w:t xml:space="preserve"> vs </w:t>
            </w:r>
            <w:r>
              <w:rPr>
                <w:rFonts w:hint="eastAsia" w:ascii="Times New Roman" w:hAnsi="Times New Roman" w:eastAsia="游明朝"/>
                <w:sz w:val="18"/>
              </w:rPr>
              <w:t xml:space="preserve">結果</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市場ポジション確立は結果の側面</w:t>
            </w:r>
          </w:p>
        </w:tc>
      </w:tr>
      <w:tr>
        <w:tc>
          <w:tcPr/>
          <w:p>
            <w:pPr>
              <w:pStyle w:val="Compact"/>
            </w:pPr>
            <w:r>
              <w:rPr>
                <w:rFonts w:ascii="Times New Roman" w:hAnsi="Times New Roman" w:eastAsia="游明朝"/>
                <w:sz w:val="18"/>
              </w:rPr>
              <w:t xml:space="preserve">2: </w:t>
            </w:r>
            <w:r>
              <w:rPr>
                <w:rFonts w:hint="eastAsia" w:ascii="Times New Roman" w:hAnsi="Times New Roman" w:eastAsia="游明朝"/>
                <w:sz w:val="18"/>
              </w:rPr>
              <w:t xml:space="preserve">名詞属性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粘着性、ブランド力は名詞属性</w:t>
            </w:r>
          </w:p>
        </w:tc>
      </w:tr>
      <w:tr>
        <w:tc>
          <w:tcPr/>
          <w:p>
            <w:pPr>
              <w:pStyle w:val="Compact"/>
            </w:pPr>
            <w:r>
              <w:rPr>
                <w:rFonts w:ascii="Times New Roman" w:hAnsi="Times New Roman" w:eastAsia="游明朝"/>
                <w:sz w:val="18"/>
              </w:rPr>
              <w:t xml:space="preserve">3: </w:t>
            </w:r>
            <w:r>
              <w:rPr>
                <w:rFonts w:hint="eastAsia" w:ascii="Times New Roman" w:hAnsi="Times New Roman" w:eastAsia="游明朝"/>
                <w:sz w:val="18"/>
              </w:rPr>
              <w:t xml:space="preserve">相対的優位性</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NOVOも同等の粘着性。PBMでスイッチ可能</w:t>
            </w:r>
          </w:p>
        </w:tc>
      </w:tr>
      <w:tr>
        <w:tc>
          <w:tcPr/>
          <w:p>
            <w:pPr>
              <w:pStyle w:val="Compact"/>
            </w:pPr>
            <w:r>
              <w:rPr>
                <w:rFonts w:ascii="Times New Roman" w:hAnsi="Times New Roman" w:eastAsia="游明朝"/>
                <w:sz w:val="18"/>
              </w:rPr>
              <w:t xml:space="preserve">4: </w:t>
            </w:r>
            <w:r>
              <w:rPr>
                <w:rFonts w:hint="eastAsia" w:ascii="Times New Roman" w:hAnsi="Times New Roman" w:eastAsia="游明朝"/>
                <w:sz w:val="18"/>
              </w:rPr>
              <w:t xml:space="preserve">説明力</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粘着性の定量指標（処方更新率等）不明</w:t>
            </w:r>
          </w:p>
        </w:tc>
      </w:tr>
      <w:tr>
        <w:tc>
          <w:tcPr/>
          <w:p>
            <w:pPr>
              <w:pStyle w:val="Compact"/>
            </w:pPr>
            <w:r>
              <w:rPr>
                <w:rFonts w:ascii="Times New Roman" w:hAnsi="Times New Roman" w:eastAsia="游明朝"/>
                <w:sz w:val="18"/>
              </w:rPr>
              <w:t xml:space="preserve">6: </w:t>
            </w:r>
            <w:r>
              <w:rPr>
                <w:rFonts w:hint="eastAsia" w:ascii="Times New Roman" w:hAnsi="Times New Roman" w:eastAsia="游明朝"/>
                <w:sz w:val="18"/>
              </w:rPr>
              <w:t xml:space="preserve">構造的</w:t>
            </w:r>
            <w:r>
              <w:rPr>
                <w:rFonts w:ascii="Times New Roman" w:hAnsi="Times New Roman" w:eastAsia="游明朝"/>
                <w:sz w:val="18"/>
              </w:rPr>
              <w:t xml:space="preserve"> vs </w:t>
            </w:r>
            <w:r>
              <w:rPr>
                <w:rFonts w:hint="eastAsia" w:ascii="Times New Roman" w:hAnsi="Times New Roman" w:eastAsia="游明朝"/>
                <w:sz w:val="18"/>
              </w:rPr>
              <w:t xml:space="preserve">補完</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薬剤スイッチが容易な市場特性も考慮</w:t>
            </w:r>
          </w:p>
        </w:tc>
      </w:tr>
      <w:tr>
        <w:tc>
          <w:tcPr/>
          <w:p>
            <w:pPr>
              <w:pStyle w:val="Compact"/>
            </w:pPr>
            <w:r>
              <w:rPr>
                <w:rFonts w:ascii="Times New Roman" w:hAnsi="Times New Roman" w:eastAsia="游明朝"/>
                <w:sz w:val="18"/>
              </w:rPr>
              <w:t xml:space="preserve">7: </w:t>
            </w:r>
            <w:r>
              <w:rPr>
                <w:rFonts w:hint="eastAsia" w:ascii="Times New Roman" w:hAnsi="Times New Roman" w:eastAsia="游明朝"/>
                <w:sz w:val="18"/>
              </w:rPr>
              <w:t xml:space="preserve">純粋競合差別化</w:t>
            </w:r>
          </w:p>
        </w:tc>
        <w:tc>
          <w:tcPr/>
          <w:p>
            <w:pPr>
              <w:pStyle w:val="Compact"/>
            </w:pPr>
            <w:r>
              <w:rPr>
                <w:rFonts w:ascii="Times New Roman" w:hAnsi="Times New Roman" w:eastAsia="游明朝"/>
                <w:sz w:val="18"/>
              </w:rPr>
              <w:t xml:space="preserve">PARTIAL</w:t>
            </w:r>
          </w:p>
        </w:tc>
        <w:tc>
          <w:tcPr/>
          <w:p>
            <w:pPr>
              <w:pStyle w:val="Compact"/>
            </w:pPr>
            <w:r>
              <w:rPr>
                <w:rFonts w:ascii="Times New Roman" w:hAnsi="Times New Roman" w:eastAsia="游明朝"/>
                <w:sz w:val="18"/>
              </w:rPr>
              <w:t xml:space="preserve">CVS </w:t>
            </w:r>
            <w:r>
              <w:rPr>
                <w:rFonts w:hint="eastAsia" w:ascii="Times New Roman" w:hAnsi="Times New Roman" w:eastAsia="游明朝"/>
                <w:sz w:val="18"/>
              </w:rPr>
              <w:t xml:space="preserve">Wegovy優先推奨が反証事例</w:t>
            </w:r>
          </w:p>
        </w:tc>
      </w:tr>
      <w:tr>
        <w:tc>
          <w:tcPr/>
          <w:p>
            <w:pPr>
              <w:pStyle w:val="Compact"/>
            </w:pPr>
            <w:r>
              <w:rPr>
                <w:rFonts w:ascii="Times New Roman" w:hAnsi="Times New Roman" w:eastAsia="游明朝"/>
                <w:sz w:val="18"/>
              </w:rPr>
              <w:t xml:space="preserve">8: </w:t>
            </w:r>
            <w:r>
              <w:rPr>
                <w:rFonts w:hint="eastAsia" w:ascii="Times New Roman" w:hAnsi="Times New Roman" w:eastAsia="游明朝"/>
                <w:sz w:val="18"/>
              </w:rPr>
              <w:t xml:space="preserve">戦略</w:t>
            </w:r>
            <w:r>
              <w:rPr>
                <w:rFonts w:ascii="Times New Roman" w:hAnsi="Times New Roman" w:eastAsia="游明朝"/>
                <w:sz w:val="18"/>
              </w:rPr>
              <w:t xml:space="preserve"> ≠ </w:t>
            </w:r>
            <w:r>
              <w:rPr>
                <w:rFonts w:hint="eastAsia" w:ascii="Times New Roman" w:hAnsi="Times New Roman" w:eastAsia="游明朝"/>
                <w:sz w:val="18"/>
              </w:rPr>
              <w:t xml:space="preserve">優位性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粘着性は市場構造の属性</w:t>
            </w:r>
          </w:p>
        </w:tc>
      </w:tr>
      <w:tr>
        <w:tc>
          <w:tcPr/>
          <w:p>
            <w:pPr>
              <w:pStyle w:val="Compact"/>
            </w:pPr>
            <w:r>
              <w:rPr>
                <w:rFonts w:ascii="Times New Roman" w:hAnsi="Times New Roman" w:eastAsia="游明朝"/>
                <w:sz w:val="18"/>
              </w:rPr>
              <w:t xml:space="preserve">9: </w:t>
            </w:r>
            <w:r>
              <w:rPr>
                <w:rFonts w:hint="eastAsia" w:ascii="Times New Roman" w:hAnsi="Times New Roman" w:eastAsia="游明朝"/>
                <w:sz w:val="18"/>
              </w:rPr>
              <w:t xml:space="preserve">事実誤認</w:t>
            </w:r>
          </w:p>
        </w:tc>
        <w:tc>
          <w:tcPr/>
          <w:p>
            <w:pPr>
              <w:pStyle w:val="Compact"/>
            </w:pPr>
            <w:r>
              <w:rPr>
                <w:rFonts w:ascii="Times New Roman" w:hAnsi="Times New Roman" w:eastAsia="游明朝"/>
                <w:sz w:val="18"/>
              </w:rPr>
              <w:t xml:space="preserve">N/A</w:t>
            </w:r>
          </w:p>
        </w:tc>
        <w:tc>
          <w:tcPr/>
          <w:p>
            <w:pPr>
              <w:pStyle w:val="Compact"/>
            </w:pPr>
            <w:r>
              <w:rPr>
                <w:rFonts w:ascii="Times New Roman" w:hAnsi="Times New Roman" w:eastAsia="游明朝"/>
                <w:sz w:val="18"/>
              </w:rPr>
              <w:t xml:space="preserve">-</w:t>
            </w:r>
          </w:p>
        </w:tc>
      </w:tr>
      <w:tr>
        <w:tc>
          <w:tcPr/>
          <w:p>
            <w:pPr>
              <w:pStyle w:val="Compact"/>
            </w:pPr>
            <w:r>
              <w:rPr>
                <w:rFonts w:ascii="Times New Roman" w:hAnsi="Times New Roman" w:eastAsia="游明朝"/>
                <w:sz w:val="18"/>
              </w:rPr>
              <w:t xml:space="preserve">10: ネガティブケース</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CVS事例がネガティブケース</w:t>
            </w:r>
          </w:p>
        </w:tc>
      </w:tr>
      <w:tr>
        <w:tc>
          <w:tcPr/>
          <w:p>
            <w:pPr>
              <w:pStyle w:val="Compact"/>
            </w:pPr>
            <w:r>
              <w:rPr>
                <w:rFonts w:ascii="Times New Roman" w:hAnsi="Times New Roman" w:eastAsia="游明朝"/>
                <w:sz w:val="18"/>
              </w:rPr>
              <w:t xml:space="preserve">11: </w:t>
            </w:r>
            <w:r>
              <w:rPr>
                <w:rFonts w:hint="eastAsia" w:ascii="Times New Roman" w:hAnsi="Times New Roman" w:eastAsia="游明朝"/>
                <w:sz w:val="18"/>
              </w:rPr>
              <w:t xml:space="preserve">業界構造合致</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慢性疾患治療薬市場での粘着性は構造的</w:t>
            </w:r>
          </w:p>
        </w:tc>
      </w:tr>
    </w:tbl>
    <w:p>
      <w:pPr>
        <w:pStyle w:val="BodyText"/>
      </w:pPr>
      <w:r>
        <w:rPr>
          <w:rFonts w:hint="eastAsia"/>
          <w:b/>
          <w:bCs/>
        </w:rPr>
        <w:t xml:space="preserve">検出パターン</w:t>
      </w:r>
      <w:r>
        <w:t xml:space="preserve">: </w:t>
      </w:r>
      <w:r>
        <w:rPr>
          <w:rFonts w:hint="eastAsia"/>
        </w:rPr>
        <w:t xml:space="preserve">却下A（結果を原因と混同、moderate）</w:t>
      </w:r>
    </w:p>
    <w:p>
      <w:pPr>
        <w:pStyle w:val="BodyText"/>
      </w:pPr>
      <w:r>
        <w:rPr>
          <w:rFonts w:hint="eastAsia"/>
          <w:b/>
          <w:bCs/>
        </w:rPr>
        <w:t xml:space="preserve">CAGR接続（70%、おおむね納得、条件付き）</w:t>
      </w:r>
      <w:r>
        <w:t xml:space="preserve">: </w:t>
      </w:r>
      <w:r>
        <w:rPr>
          <w:rFonts w:hint="eastAsia"/>
        </w:rPr>
        <w:t xml:space="preserve">既承認薬でのポジション確立+ブランド粘着性→新薬上市が続く場合は売上に大きく貢献。注射→経口移行シナリオでの患者維持が直接的メカニズム。</w:t>
      </w:r>
      <w:r>
        <w:rPr>
          <w:rFonts w:hint="eastAsia"/>
          <w:b/>
          <w:bCs/>
        </w:rPr>
        <w:t xml:space="preserve">条件</w:t>
      </w:r>
      <w:r>
        <w:t xml:space="preserve">: </w:t>
      </w:r>
      <w:r>
        <w:rPr>
          <w:rFonts w:hint="eastAsia"/>
        </w:rPr>
        <w:t xml:space="preserve">PBMのformulary選定が粘着性を構造的に無効化しない場合。</w:t>
      </w:r>
    </w:p>
    <w:p>
      <w:r>
        <w:pict>
          <v:rect style="width:0;height:1.5pt" o:hralign="center" o:hrstd="t" o:hr="t"/>
        </w:pict>
      </w:r>
    </w:p>
    <w:p>
      <w:pPr>
        <w:pStyle w:val="FirstParagraph"/>
      </w:pPr>
      <w:r>
        <w:rPr>
          <w:rFonts w:hint="eastAsia"/>
          <w:b/>
          <w:bCs/>
        </w:rPr>
        <w:t xml:space="preserve">納得度:</w:t>
      </w:r>
      <w:r>
        <w:t xml:space="preserve"> </w:t>
      </w:r>
      <w:r>
        <w:t xml:space="preserve">10% / 30% /</w:t>
      </w:r>
      <w:r>
        <w:t xml:space="preserve"> </w:t>
      </w:r>
      <w:r>
        <w:rPr>
          <w:b/>
          <w:bCs/>
        </w:rPr>
        <w:t xml:space="preserve">50%</w:t>
      </w:r>
      <w:r>
        <w:t xml:space="preserve"> </w:t>
      </w:r>
      <w:r>
        <w:t xml:space="preserve">/ 70% / 90%</w:t>
      </w:r>
    </w:p>
    <w:p>
      <w:r>
        <w:pict>
          <v:rect style="width:0;height:1.5pt" o:hralign="center" o:hrstd="t" o:hr="t"/>
        </w:pict>
      </w:r>
    </w:p>
    <w:bookmarkEnd w:id="25"/>
    <w:bookmarkEnd w:id="26"/>
    <w:bookmarkStart w:id="28" w:name="主張-6-グローバル医療機関ネットワークと医学情報提供体制"/>
    <w:p>
      <w:pPr>
        <w:pStyle w:val="Heading3"/>
      </w:pPr>
      <w:r>
        <w:rPr>
          <w:rFonts w:hint="eastAsia"/>
        </w:rPr>
        <w:t xml:space="preserve">主張</w:t>
      </w:r>
      <w:r>
        <w:t xml:space="preserve"> #6: </w:t>
      </w:r>
      <w:r>
        <w:rPr>
          <w:rFonts w:hint="eastAsia"/>
        </w:rPr>
        <w:t xml:space="preserve">グローバル医療機関ネットワークと医学情報提供体制</w:t>
      </w:r>
    </w:p>
    <w:bookmarkStart w:id="27" w:name="ai評価-あまり納得しない30-t8修正-掛け算方針との整合性注記"/>
    <w:p>
      <w:pPr>
        <w:pStyle w:val="Heading4"/>
      </w:pPr>
      <w:r>
        <w:rPr>
          <w:rFonts w:hint="eastAsia"/>
        </w:rPr>
        <w:t xml:space="preserve">AI評価:</w:t>
      </w:r>
      <w:r>
        <w:t xml:space="preserve"> </w:t>
      </w:r>
      <w:r>
        <w:rPr>
          <w:rFonts w:hint="eastAsia"/>
        </w:rPr>
        <w:t xml:space="preserve">あまり納得しない（30%）</w:t>
      </w:r>
      <w:r>
        <w:t xml:space="preserve"> </w:t>
      </w:r>
      <w:r>
        <w:rPr>
          <w:rFonts w:hint="eastAsia"/>
        </w:rPr>
        <w:t xml:space="preserve">[T8修正:</w:t>
      </w:r>
      <w:r>
        <w:t xml:space="preserve"> </w:t>
      </w:r>
      <w:r>
        <w:rPr>
          <w:rFonts w:hint="eastAsia"/>
        </w:rPr>
        <w:t xml:space="preserve">掛け算方針との整合性注記]</w:t>
      </w:r>
    </w:p>
    <w:p>
      <w:pPr>
        <w:pStyle w:val="FirstParagraph"/>
      </w:pPr>
      <w:r>
        <w:rPr>
          <w:rFonts w:hint="eastAsia"/>
        </w:rPr>
        <w:t xml:space="preserve">医師・医療機関との広範な関係構築による情報提供・販売インフラ。複数超大型市場への同時展開を支えるグローバルネットワーク。</w:t>
      </w:r>
    </w:p>
    <w:p>
      <w:pPr>
        <w:pStyle w:val="BodyText"/>
      </w:pPr>
      <w:r>
        <w:rPr>
          <w:rFonts w:hint="eastAsia"/>
          <w:b/>
          <w:bCs/>
        </w:rPr>
        <w:t xml:space="preserve">納得できる点</w:t>
      </w:r>
      <w:r>
        <w:t xml:space="preserve">: </w:t>
      </w:r>
      <w:r>
        <w:rPr>
          <w:rFonts w:hint="eastAsia"/>
        </w:rPr>
        <w:t xml:space="preserve">医師や医療機関との広範な関係構築は、売り込み・開発などの情報接点として重要なネットワーク。複数超大型市場への同時展開を物理的に可能にするインフラ。</w:t>
      </w:r>
    </w:p>
    <w:p>
      <w:pPr>
        <w:pStyle w:val="BodyText"/>
      </w:pPr>
      <w:r>
        <w:rPr>
          <w:rFonts w:hint="eastAsia"/>
          <w:b/>
          <w:bCs/>
        </w:rPr>
        <w:t xml:space="preserve">懸念点</w:t>
      </w:r>
      <w:r>
        <w:t xml:space="preserve">:</w:t>
      </w:r>
      <w:r>
        <w:t xml:space="preserve"> </w:t>
      </w:r>
      <w:r>
        <w:rPr>
          <w:rFonts w:hint="eastAsia"/>
        </w:rPr>
        <w:t xml:space="preserve">グローバル大手医薬品であればほぼ同等に備わっているネットワークであり、大手間での優位性とはなりにくい</w:t>
      </w:r>
      <w:r>
        <w:rPr>
          <w:rFonts w:hint="eastAsia"/>
        </w:rPr>
        <w:t xml:space="preserve">（KB3</w:t>
      </w:r>
      <w:r>
        <w:t xml:space="preserve"> </w:t>
      </w:r>
      <w:r>
        <w:rPr>
          <w:rFonts w:hint="eastAsia"/>
        </w:rPr>
        <w:t xml:space="preserve">LLY#6）。ルール3（相対的優位性）とルール7（純粋競合差別化）の両方でFAIL。具体的な定量データなし（ルール4</w:t>
      </w:r>
      <w:r>
        <w:t xml:space="preserve"> </w:t>
      </w:r>
      <w:r>
        <w:rPr>
          <w:rFonts w:hint="eastAsia"/>
        </w:rPr>
        <w:t xml:space="preserve">FAIL）。Claim</w:t>
      </w:r>
      <w:r>
        <w:t xml:space="preserve"> </w:t>
      </w:r>
      <w:r>
        <w:rPr>
          <w:rFonts w:hint="eastAsia"/>
        </w:rPr>
        <w:t xml:space="preserve">#1のサブセットとしての整理が適切。</w:t>
      </w:r>
    </w:p>
    <w:p>
      <w:pPr>
        <w:pStyle w:val="BlockText"/>
      </w:pPr>
      <w:r>
        <w:rPr>
          <w:rFonts w:hint="eastAsia"/>
          <w:b/>
          <w:bCs/>
        </w:rPr>
        <w:t xml:space="preserve">[注6]</w:t>
      </w:r>
      <w:r>
        <w:rPr>
          <w:b/>
          <w:bCs/>
        </w:rPr>
        <w:t xml:space="preserve"> </w:t>
      </w:r>
      <w:r>
        <w:rPr>
          <w:rFonts w:hint="eastAsia"/>
          <w:b/>
          <w:bCs/>
        </w:rPr>
        <w:t xml:space="preserve">T8批判</w:t>
      </w:r>
      <w:r>
        <w:rPr>
          <w:b/>
          <w:bCs/>
        </w:rPr>
        <w:t xml:space="preserve"> (minor): </w:t>
      </w:r>
      <w:r>
        <w:rPr>
          <w:rFonts w:hint="eastAsia"/>
          <w:b/>
          <w:bCs/>
        </w:rPr>
        <w:t xml:space="preserve">掛け算方針でのCA×CAGR最終納得度</w:t>
      </w:r>
    </w:p>
    <w:p>
      <w:pPr>
        <w:pStyle w:val="BlockText"/>
      </w:pPr>
      <w:r>
        <w:t xml:space="preserve">dogma.md </w:t>
      </w:r>
      <w:r>
        <w:rPr>
          <w:rFonts w:hint="eastAsia"/>
        </w:rPr>
        <w:t xml:space="preserve">3.1#3に基づく掛け算（CA確信度</w:t>
      </w:r>
      <w:r>
        <w:t xml:space="preserve"> x </w:t>
      </w:r>
      <w:r>
        <w:rPr>
          <w:rFonts w:hint="eastAsia"/>
        </w:rPr>
        <w:t xml:space="preserve">CAGR接続確信度）を適用した場合、Claim</w:t>
      </w:r>
      <w:r>
        <w:t xml:space="preserve"> </w:t>
      </w:r>
      <w:r>
        <w:rPr>
          <w:rFonts w:hint="eastAsia"/>
        </w:rPr>
        <w:t xml:space="preserve">#6の最終納得度は30%</w:t>
      </w:r>
      <w:r>
        <w:t xml:space="preserve"> x 50% = </w:t>
      </w:r>
      <w:r>
        <w:rPr>
          <w:rFonts w:hint="eastAsia"/>
        </w:rPr>
        <w:t xml:space="preserve">15%相当となり、ほぼ却下に近い。CAGR接続50%はdogma</w:t>
      </w:r>
      <w:r>
        <w:t xml:space="preserve"> </w:t>
      </w:r>
      <w:r>
        <w:rPr>
          <w:rFonts w:hint="eastAsia"/>
        </w:rPr>
        <w:t xml:space="preserve">3.1#2「優位性が100%あるものとして」の前提で評価した値であり、実際の寄与は大幅に限定的。</w:t>
      </w:r>
    </w:p>
    <w:p>
      <w:pPr>
        <w:pStyle w:val="BlockText"/>
      </w:pPr>
      <w:r>
        <w:rPr>
          <w:rFonts w:hint="eastAsia"/>
          <w:b/>
          <w:bCs/>
        </w:rPr>
        <w:t xml:space="preserve">T8の判断</w:t>
      </w:r>
      <w:r>
        <w:t xml:space="preserve">: CA 30%、CAGR 50%はKB3 </w:t>
      </w:r>
      <w:r>
        <w:rPr>
          <w:rFonts w:hint="eastAsia"/>
        </w:rPr>
        <w:t xml:space="preserve">LLY#6と完全一致であり変更不要。掛け算方針の注記を追加。</w:t>
      </w:r>
    </w:p>
    <w:p>
      <w:pPr>
        <w:pStyle w:val="FirstParagraph"/>
      </w:pPr>
      <w:r>
        <w:rPr>
          <w:rFonts w:hint="eastAsia"/>
          <w:b/>
          <w:bCs/>
        </w:rPr>
        <w:t xml:space="preserve">ルール適用マトリクス</w:t>
      </w:r>
      <w:r>
        <w:t xml:space="preserve">:</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判定</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根拠</w:t>
            </w:r>
          </w:p>
        </w:tc>
      </w:tr>
      <w:tr>
        <w:tc>
          <w:tcPr/>
          <w:p>
            <w:pPr>
              <w:pStyle w:val="Compact"/>
            </w:pPr>
            <w:r>
              <w:rPr>
                <w:rFonts w:ascii="Times New Roman" w:hAnsi="Times New Roman" w:eastAsia="游明朝"/>
                <w:sz w:val="18"/>
              </w:rPr>
              <w:t xml:space="preserve">1: </w:t>
            </w:r>
            <w:r>
              <w:rPr>
                <w:rFonts w:hint="eastAsia" w:ascii="Times New Roman" w:hAnsi="Times New Roman" w:eastAsia="游明朝"/>
                <w:sz w:val="18"/>
              </w:rPr>
              <w:t xml:space="preserve">能力</w:t>
            </w:r>
            <w:r>
              <w:rPr>
                <w:rFonts w:ascii="Times New Roman" w:hAnsi="Times New Roman" w:eastAsia="游明朝"/>
                <w:sz w:val="18"/>
              </w:rPr>
              <w:t xml:space="preserve"> vs </w:t>
            </w:r>
            <w:r>
              <w:rPr>
                <w:rFonts w:hint="eastAsia" w:ascii="Times New Roman" w:hAnsi="Times New Roman" w:eastAsia="游明朝"/>
                <w:sz w:val="18"/>
              </w:rPr>
              <w:t xml:space="preserve">結果</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ネットワークは能力・仕組み</w:t>
            </w:r>
          </w:p>
        </w:tc>
      </w:tr>
      <w:tr>
        <w:tc>
          <w:tcPr/>
          <w:p>
            <w:pPr>
              <w:pStyle w:val="Compact"/>
            </w:pPr>
            <w:r>
              <w:rPr>
                <w:rFonts w:ascii="Times New Roman" w:hAnsi="Times New Roman" w:eastAsia="游明朝"/>
                <w:sz w:val="18"/>
              </w:rPr>
              <w:t xml:space="preserve">2: </w:t>
            </w:r>
            <w:r>
              <w:rPr>
                <w:rFonts w:hint="eastAsia" w:ascii="Times New Roman" w:hAnsi="Times New Roman" w:eastAsia="游明朝"/>
                <w:sz w:val="18"/>
              </w:rPr>
              <w:t xml:space="preserve">名詞属性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ネットワーク・インフラは名詞属性</w:t>
            </w:r>
          </w:p>
        </w:tc>
      </w:tr>
      <w:tr>
        <w:tc>
          <w:tcPr/>
          <w:p>
            <w:pPr>
              <w:pStyle w:val="Compact"/>
            </w:pPr>
            <w:r>
              <w:rPr>
                <w:rFonts w:ascii="Times New Roman" w:hAnsi="Times New Roman" w:eastAsia="游明朝"/>
                <w:sz w:val="18"/>
              </w:rPr>
              <w:t xml:space="preserve">3: </w:t>
            </w:r>
            <w:r>
              <w:rPr>
                <w:rFonts w:hint="eastAsia" w:ascii="Times New Roman" w:hAnsi="Times New Roman" w:eastAsia="游明朝"/>
                <w:sz w:val="18"/>
              </w:rPr>
              <w:t xml:space="preserve">相対的優位性</w:t>
            </w:r>
          </w:p>
        </w:tc>
        <w:tc>
          <w:tcPr/>
          <w:p>
            <w:pPr>
              <w:pStyle w:val="Compact"/>
            </w:pPr>
            <w:r>
              <w:rPr>
                <w:rFonts w:ascii="Times New Roman" w:hAnsi="Times New Roman" w:eastAsia="游明朝"/>
                <w:sz w:val="18"/>
              </w:rPr>
              <w:t xml:space="preserve">FAIL</w:t>
            </w:r>
          </w:p>
        </w:tc>
        <w:tc>
          <w:tcPr/>
          <w:p>
            <w:pPr>
              <w:pStyle w:val="Compact"/>
            </w:pPr>
            <w:r>
              <w:rPr>
                <w:rFonts w:hint="eastAsia" w:ascii="Times New Roman" w:hAnsi="Times New Roman" w:eastAsia="游明朝"/>
                <w:sz w:val="18"/>
              </w:rPr>
              <w:t xml:space="preserve">メガファーマ共通。却下基準#2該当</w:t>
            </w:r>
          </w:p>
        </w:tc>
      </w:tr>
      <w:tr>
        <w:tc>
          <w:tcPr/>
          <w:p>
            <w:pPr>
              <w:pStyle w:val="Compact"/>
            </w:pPr>
            <w:r>
              <w:rPr>
                <w:rFonts w:ascii="Times New Roman" w:hAnsi="Times New Roman" w:eastAsia="游明朝"/>
                <w:sz w:val="18"/>
              </w:rPr>
              <w:t xml:space="preserve">4: </w:t>
            </w:r>
            <w:r>
              <w:rPr>
                <w:rFonts w:hint="eastAsia" w:ascii="Times New Roman" w:hAnsi="Times New Roman" w:eastAsia="游明朝"/>
                <w:sz w:val="18"/>
              </w:rPr>
              <w:t xml:space="preserve">説明力</w:t>
            </w:r>
          </w:p>
        </w:tc>
        <w:tc>
          <w:tcPr/>
          <w:p>
            <w:pPr>
              <w:pStyle w:val="Compact"/>
            </w:pPr>
            <w:r>
              <w:rPr>
                <w:rFonts w:ascii="Times New Roman" w:hAnsi="Times New Roman" w:eastAsia="游明朝"/>
                <w:sz w:val="18"/>
              </w:rPr>
              <w:t xml:space="preserve">FAIL</w:t>
            </w:r>
          </w:p>
        </w:tc>
        <w:tc>
          <w:tcPr/>
          <w:p>
            <w:pPr>
              <w:pStyle w:val="Compact"/>
            </w:pPr>
            <w:r>
              <w:rPr>
                <w:rFonts w:hint="eastAsia" w:ascii="Times New Roman" w:hAnsi="Times New Roman" w:eastAsia="游明朝"/>
                <w:sz w:val="18"/>
              </w:rPr>
              <w:t xml:space="preserve">定量データなし。「投資効率が高い」は定性的のみ</w:t>
            </w:r>
          </w:p>
        </w:tc>
      </w:tr>
      <w:tr>
        <w:tc>
          <w:tcPr/>
          <w:p>
            <w:pPr>
              <w:pStyle w:val="Compact"/>
            </w:pPr>
            <w:r>
              <w:rPr>
                <w:rFonts w:ascii="Times New Roman" w:hAnsi="Times New Roman" w:eastAsia="游明朝"/>
                <w:sz w:val="18"/>
              </w:rPr>
              <w:t xml:space="preserve">6: </w:t>
            </w:r>
            <w:r>
              <w:rPr>
                <w:rFonts w:hint="eastAsia" w:ascii="Times New Roman" w:hAnsi="Times New Roman" w:eastAsia="游明朝"/>
                <w:sz w:val="18"/>
              </w:rPr>
              <w:t xml:space="preserve">構造的</w:t>
            </w:r>
            <w:r>
              <w:rPr>
                <w:rFonts w:ascii="Times New Roman" w:hAnsi="Times New Roman" w:eastAsia="游明朝"/>
                <w:sz w:val="18"/>
              </w:rPr>
              <w:t xml:space="preserve"> vs </w:t>
            </w:r>
            <w:r>
              <w:rPr>
                <w:rFonts w:hint="eastAsia" w:ascii="Times New Roman" w:hAnsi="Times New Roman" w:eastAsia="游明朝"/>
                <w:sz w:val="18"/>
              </w:rPr>
              <w:t xml:space="preserve">補完</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補完的要素</w:t>
            </w:r>
          </w:p>
        </w:tc>
      </w:tr>
      <w:tr>
        <w:tc>
          <w:tcPr/>
          <w:p>
            <w:pPr>
              <w:pStyle w:val="Compact"/>
            </w:pPr>
            <w:r>
              <w:rPr>
                <w:rFonts w:ascii="Times New Roman" w:hAnsi="Times New Roman" w:eastAsia="游明朝"/>
                <w:sz w:val="18"/>
              </w:rPr>
              <w:t xml:space="preserve">7: </w:t>
            </w:r>
            <w:r>
              <w:rPr>
                <w:rFonts w:hint="eastAsia" w:ascii="Times New Roman" w:hAnsi="Times New Roman" w:eastAsia="游明朝"/>
                <w:sz w:val="18"/>
              </w:rPr>
              <w:t xml:space="preserve">純粋競合差別化</w:t>
            </w:r>
          </w:p>
        </w:tc>
        <w:tc>
          <w:tcPr/>
          <w:p>
            <w:pPr>
              <w:pStyle w:val="Compact"/>
            </w:pPr>
            <w:r>
              <w:rPr>
                <w:rFonts w:ascii="Times New Roman" w:hAnsi="Times New Roman" w:eastAsia="游明朝"/>
                <w:sz w:val="18"/>
              </w:rPr>
              <w:t xml:space="preserve">FAIL</w:t>
            </w:r>
          </w:p>
        </w:tc>
        <w:tc>
          <w:tcPr/>
          <w:p>
            <w:pPr>
              <w:pStyle w:val="Compact"/>
            </w:pPr>
            <w:r>
              <w:rPr>
                <w:rFonts w:hint="eastAsia" w:ascii="Times New Roman" w:hAnsi="Times New Roman" w:eastAsia="游明朝"/>
                <w:sz w:val="18"/>
              </w:rPr>
              <w:t xml:space="preserve">大手間の比較なし</w:t>
            </w:r>
          </w:p>
        </w:tc>
      </w:tr>
      <w:tr>
        <w:tc>
          <w:tcPr/>
          <w:p>
            <w:pPr>
              <w:pStyle w:val="Compact"/>
            </w:pPr>
            <w:r>
              <w:rPr>
                <w:rFonts w:ascii="Times New Roman" w:hAnsi="Times New Roman" w:eastAsia="游明朝"/>
                <w:sz w:val="18"/>
              </w:rPr>
              <w:t xml:space="preserve">8: </w:t>
            </w:r>
            <w:r>
              <w:rPr>
                <w:rFonts w:hint="eastAsia" w:ascii="Times New Roman" w:hAnsi="Times New Roman" w:eastAsia="游明朝"/>
                <w:sz w:val="18"/>
              </w:rPr>
              <w:t xml:space="preserve">戦略</w:t>
            </w:r>
            <w:r>
              <w:rPr>
                <w:rFonts w:ascii="Times New Roman" w:hAnsi="Times New Roman" w:eastAsia="游明朝"/>
                <w:sz w:val="18"/>
              </w:rPr>
              <w:t xml:space="preserve"> ≠ </w:t>
            </w:r>
            <w:r>
              <w:rPr>
                <w:rFonts w:hint="eastAsia" w:ascii="Times New Roman" w:hAnsi="Times New Roman" w:eastAsia="游明朝"/>
                <w:sz w:val="18"/>
              </w:rPr>
              <w:t xml:space="preserve">優位性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ネットワークは資産</w:t>
            </w:r>
          </w:p>
        </w:tc>
      </w:tr>
      <w:tr>
        <w:tc>
          <w:tcPr/>
          <w:p>
            <w:pPr>
              <w:pStyle w:val="Compact"/>
            </w:pPr>
            <w:r>
              <w:rPr>
                <w:rFonts w:ascii="Times New Roman" w:hAnsi="Times New Roman" w:eastAsia="游明朝"/>
                <w:sz w:val="18"/>
              </w:rPr>
              <w:t xml:space="preserve">9: </w:t>
            </w:r>
            <w:r>
              <w:rPr>
                <w:rFonts w:hint="eastAsia" w:ascii="Times New Roman" w:hAnsi="Times New Roman" w:eastAsia="游明朝"/>
                <w:sz w:val="18"/>
              </w:rPr>
              <w:t xml:space="preserve">事実誤認</w:t>
            </w:r>
          </w:p>
        </w:tc>
        <w:tc>
          <w:tcPr/>
          <w:p>
            <w:pPr>
              <w:pStyle w:val="Compact"/>
            </w:pPr>
            <w:r>
              <w:rPr>
                <w:rFonts w:ascii="Times New Roman" w:hAnsi="Times New Roman" w:eastAsia="游明朝"/>
                <w:sz w:val="18"/>
              </w:rPr>
              <w:t xml:space="preserve">N/A</w:t>
            </w:r>
          </w:p>
        </w:tc>
        <w:tc>
          <w:tcPr/>
          <w:p>
            <w:pPr>
              <w:pStyle w:val="Compact"/>
            </w:pPr>
            <w:r>
              <w:rPr>
                <w:rFonts w:ascii="Times New Roman" w:hAnsi="Times New Roman" w:eastAsia="游明朝"/>
                <w:sz w:val="18"/>
              </w:rPr>
              <w:t xml:space="preserve">-</w:t>
            </w:r>
          </w:p>
        </w:tc>
      </w:tr>
      <w:tr>
        <w:tc>
          <w:tcPr/>
          <w:p>
            <w:pPr>
              <w:pStyle w:val="Compact"/>
            </w:pPr>
            <w:r>
              <w:rPr>
                <w:rFonts w:ascii="Times New Roman" w:hAnsi="Times New Roman" w:eastAsia="游明朝"/>
                <w:sz w:val="18"/>
              </w:rPr>
              <w:t xml:space="preserve">10: ネガティブケース</w:t>
            </w:r>
          </w:p>
        </w:tc>
        <w:tc>
          <w:tcPr/>
          <w:p>
            <w:pPr>
              <w:pStyle w:val="Compact"/>
            </w:pPr>
            <w:r>
              <w:rPr>
                <w:rFonts w:ascii="Times New Roman" w:hAnsi="Times New Roman" w:eastAsia="游明朝"/>
                <w:sz w:val="18"/>
              </w:rPr>
              <w:t xml:space="preserve">N/A</w:t>
            </w:r>
          </w:p>
        </w:tc>
        <w:tc>
          <w:tcPr/>
          <w:p>
            <w:pPr>
              <w:pStyle w:val="Compact"/>
            </w:pPr>
            <w:r>
              <w:rPr>
                <w:rFonts w:ascii="Times New Roman" w:hAnsi="Times New Roman" w:eastAsia="游明朝"/>
                <w:sz w:val="18"/>
              </w:rPr>
              <w:t xml:space="preserve">-</w:t>
            </w:r>
          </w:p>
        </w:tc>
      </w:tr>
      <w:tr>
        <w:tc>
          <w:tcPr/>
          <w:p>
            <w:pPr>
              <w:pStyle w:val="Compact"/>
            </w:pPr>
            <w:r>
              <w:rPr>
                <w:rFonts w:ascii="Times New Roman" w:hAnsi="Times New Roman" w:eastAsia="游明朝"/>
                <w:sz w:val="18"/>
              </w:rPr>
              <w:t xml:space="preserve">11: </w:t>
            </w:r>
            <w:r>
              <w:rPr>
                <w:rFonts w:hint="eastAsia" w:ascii="Times New Roman" w:hAnsi="Times New Roman" w:eastAsia="游明朝"/>
                <w:sz w:val="18"/>
              </w:rPr>
              <w:t xml:space="preserve">業界構造合致</w:t>
            </w:r>
          </w:p>
        </w:tc>
        <w:tc>
          <w:tcPr/>
          <w:p>
            <w:pPr>
              <w:pStyle w:val="Compact"/>
            </w:pPr>
            <w:r>
              <w:rPr>
                <w:rFonts w:ascii="Times New Roman" w:hAnsi="Times New Roman" w:eastAsia="游明朝"/>
                <w:sz w:val="18"/>
              </w:rPr>
              <w:t xml:space="preserve">FAIL</w:t>
            </w:r>
          </w:p>
        </w:tc>
        <w:tc>
          <w:tcPr/>
          <w:p>
            <w:pPr>
              <w:pStyle w:val="Compact"/>
            </w:pPr>
            <w:r>
              <w:rPr>
                <w:rFonts w:hint="eastAsia" w:ascii="Times New Roman" w:hAnsi="Times New Roman" w:eastAsia="游明朝"/>
                <w:sz w:val="18"/>
              </w:rPr>
              <w:t xml:space="preserve">メガファーマ共通のインフラ</w:t>
            </w:r>
          </w:p>
        </w:tc>
      </w:tr>
    </w:tbl>
    <w:p>
      <w:pPr>
        <w:pStyle w:val="BodyText"/>
      </w:pPr>
      <w:r>
        <w:rPr>
          <w:rFonts w:hint="eastAsia"/>
          <w:b/>
          <w:bCs/>
        </w:rPr>
        <w:t xml:space="preserve">検出パターン</w:t>
      </w:r>
      <w:r>
        <w:t xml:space="preserve">: </w:t>
      </w:r>
      <w:r>
        <w:rPr>
          <w:rFonts w:hint="eastAsia"/>
        </w:rPr>
        <w:t xml:space="preserve">却下B（業界共通、strong）、却下G（純粋競合対比不明、strong）</w:t>
      </w:r>
    </w:p>
    <w:p>
      <w:pPr>
        <w:pStyle w:val="BodyText"/>
      </w:pPr>
      <w:r>
        <w:rPr>
          <w:rFonts w:hint="eastAsia"/>
          <w:b/>
          <w:bCs/>
        </w:rPr>
        <w:t xml:space="preserve">CAGR接続（50%、まあ納得）</w:t>
      </w:r>
      <w:r>
        <w:t xml:space="preserve">: </w:t>
      </w:r>
      <w:r>
        <w:rPr>
          <w:rFonts w:hint="eastAsia"/>
        </w:rPr>
        <w:t xml:space="preserve">広汎なネットワーク上で流れる情報・製品が増大→売上成長寄与+1-2%（限定的）、SG&amp;Aレバレッジ寄与+1-2%（強く寄与）。ただし数値の背景不明（KB3</w:t>
      </w:r>
      <w:r>
        <w:t xml:space="preserve"> </w:t>
      </w:r>
      <w:r>
        <w:rPr>
          <w:rFonts w:hint="eastAsia"/>
        </w:rPr>
        <w:t xml:space="preserve">LLY#6）。dogma掛け算方針（CA</w:t>
      </w:r>
      <w:r>
        <w:t xml:space="preserve"> x </w:t>
      </w:r>
      <w:r>
        <w:rPr>
          <w:rFonts w:hint="eastAsia"/>
        </w:rPr>
        <w:t xml:space="preserve">CAGR）では実質寄与は限定的。</w:t>
      </w:r>
    </w:p>
    <w:p>
      <w:r>
        <w:pict>
          <v:rect style="width:0;height:1.5pt" o:hralign="center" o:hrstd="t" o:hr="t"/>
        </w:pict>
      </w:r>
    </w:p>
    <w:p>
      <w:pPr>
        <w:pStyle w:val="FirstParagraph"/>
      </w:pPr>
      <w:r>
        <w:rPr>
          <w:rFonts w:hint="eastAsia"/>
          <w:b/>
          <w:bCs/>
        </w:rPr>
        <w:t xml:space="preserve">納得度:</w:t>
      </w:r>
      <w:r>
        <w:t xml:space="preserve"> </w:t>
      </w:r>
      <w:r>
        <w:t xml:space="preserve">10% /</w:t>
      </w:r>
      <w:r>
        <w:t xml:space="preserve"> </w:t>
      </w:r>
      <w:r>
        <w:rPr>
          <w:b/>
          <w:bCs/>
        </w:rPr>
        <w:t xml:space="preserve">30%</w:t>
      </w:r>
      <w:r>
        <w:t xml:space="preserve"> </w:t>
      </w:r>
      <w:r>
        <w:t xml:space="preserve">/ 50% / 70% / 90%</w:t>
      </w:r>
    </w:p>
    <w:p>
      <w:r>
        <w:pict>
          <v:rect style="width:0;height:1.5pt" o:hralign="center" o:hrstd="t" o:hr="t"/>
        </w:pict>
      </w:r>
    </w:p>
    <w:bookmarkEnd w:id="27"/>
    <w:bookmarkEnd w:id="28"/>
    <w:bookmarkEnd w:id="29"/>
    <w:bookmarkStart w:id="35" w:name="総合評価"/>
    <w:p>
      <w:pPr>
        <w:pStyle w:val="Heading2"/>
      </w:pPr>
      <w:r>
        <w:t xml:space="preserve">4. </w:t>
      </w:r>
      <w:r>
        <w:rPr>
          <w:rFonts w:hint="eastAsia"/>
        </w:rPr>
        <w:t xml:space="preserve">総合評価</w:t>
      </w:r>
    </w:p>
    <w:bookmarkStart w:id="30" w:name="競争優位性の構造"/>
    <w:p>
      <w:pPr>
        <w:pStyle w:val="Heading3"/>
      </w:pPr>
      <w:r>
        <w:rPr>
          <w:rFonts w:hint="eastAsia"/>
        </w:rPr>
        <w:t xml:space="preserve">競争優位性の構造</w:t>
      </w:r>
    </w:p>
    <w:p>
      <w:pPr>
        <w:pStyle w:val="FirstParagraph"/>
      </w:pPr>
      <w:r>
        <w:rPr>
          <w:rFonts w:hint="eastAsia"/>
          <w:b/>
          <w:bCs/>
        </w:rPr>
        <w:t xml:space="preserve">核心的優位性（70%）</w:t>
      </w:r>
      <w:r>
        <w:t xml:space="preserve">: </w:t>
      </w:r>
      <w:r>
        <w:rPr>
          <w:rFonts w:hint="eastAsia"/>
        </w:rPr>
        <w:t xml:space="preserve">主張#2「低分子経口GLP-1技術的差別化」と主張#4「GLP-1供給能力参入障壁」は相互に補完する関係にある。#2は技術力を基盤とするが、根源要因（なぜ低分子製法を選別し得たのか）への言及不足が70%の上限条件となっている（T8修正）。#4は設備投資（PP&amp;E</w:t>
      </w:r>
      <w:r>
        <w:t xml:space="preserve"> </w:t>
      </w:r>
      <w:r>
        <w:rPr>
          <w:rFonts w:hint="eastAsia"/>
        </w:rPr>
        <w:t xml:space="preserve">$24.7B）を基盤とするが、デュオポリーの持続性リスクに関するアノテーションが追加されている（T8修正）。</w:t>
      </w:r>
    </w:p>
    <w:p>
      <w:pPr>
        <w:pStyle w:val="BodyText"/>
      </w:pPr>
      <w:r>
        <w:rPr>
          <w:rFonts w:hint="eastAsia"/>
          <w:b/>
          <w:bCs/>
        </w:rPr>
        <w:t xml:space="preserve">補完的要素（50%）</w:t>
      </w:r>
      <w:r>
        <w:t xml:space="preserve">: </w:t>
      </w:r>
      <w:r>
        <w:rPr>
          <w:rFonts w:hint="eastAsia"/>
        </w:rPr>
        <w:t xml:space="preserve">以下の3主張が核心的優位性を下支えする。</w:t>
      </w:r>
    </w:p>
    <w:p>
      <w:pPr>
        <w:pStyle w:val="Compact"/>
        <w:numPr>
          <w:ilvl w:val="0"/>
          <w:numId w:val="1001"/>
        </w:numPr>
      </w:pPr>
      <w:r>
        <w:rPr>
          <w:rFonts w:hint="eastAsia"/>
        </w:rPr>
        <w:t xml:space="preserve">主張#1「ポートフォリオ管理力」は核心的優位性（#2,</w:t>
      </w:r>
      <w:r>
        <w:t xml:space="preserve"> </w:t>
      </w:r>
      <w:r>
        <w:rPr>
          <w:rFonts w:hint="eastAsia"/>
        </w:rPr>
        <w:t xml:space="preserve">#4）の事業基盤を支える。CAGR内訳は売上+10-12%（強く寄与）とマージン±0%（限定的）に分離される（T8修正）。</w:t>
      </w:r>
    </w:p>
    <w:p>
      <w:pPr>
        <w:pStyle w:val="Compact"/>
        <w:numPr>
          <w:ilvl w:val="0"/>
          <w:numId w:val="1001"/>
        </w:numPr>
      </w:pPr>
      <w:r>
        <w:rPr>
          <w:rFonts w:hint="eastAsia"/>
        </w:rPr>
        <w:t xml:space="preserve">主張#3「アルツハイマーR&amp;Dノウハウ」については、KB3</w:t>
      </w:r>
      <w:r>
        <w:t xml:space="preserve"> </w:t>
      </w:r>
      <w:r>
        <w:rPr>
          <w:rFonts w:hint="eastAsia"/>
        </w:rPr>
        <w:t xml:space="preserve">LLY#3の30%批判（複数メカニズムの限界）を認識した上での50%評価である（T8修正）。</w:t>
      </w:r>
    </w:p>
    <w:p>
      <w:pPr>
        <w:pStyle w:val="Compact"/>
        <w:numPr>
          <w:ilvl w:val="0"/>
          <w:numId w:val="1001"/>
        </w:numPr>
      </w:pPr>
      <w:r>
        <w:rPr>
          <w:rFonts w:hint="eastAsia"/>
        </w:rPr>
        <w:t xml:space="preserve">主張#5「Mounjaro粘着性」は#2および#4への患者基盤を提供する。ただし、CVS事例によるPBM粘着性無効化リスクが条件付きアノテーションとして追加されている（T8修正）。</w:t>
      </w:r>
    </w:p>
    <w:p>
      <w:pPr>
        <w:pStyle w:val="FirstParagraph"/>
      </w:pPr>
      <w:r>
        <w:rPr>
          <w:rFonts w:hint="eastAsia"/>
          <w:b/>
          <w:bCs/>
        </w:rPr>
        <w:t xml:space="preserve">評価限定的（30%）</w:t>
      </w:r>
      <w:r>
        <w:t xml:space="preserve">: </w:t>
      </w:r>
      <w:r>
        <w:rPr>
          <w:rFonts w:hint="eastAsia"/>
        </w:rPr>
        <w:t xml:space="preserve">主張#6「グローバルネットワーク」はメガファーマ共通の能力であり、ルール3（相対的優位性）およびルール7（純粋競合差別化）の両方でFAILと判定される。dogma掛け算方針（CA</w:t>
      </w:r>
      <w:r>
        <w:t xml:space="preserve"> 30% × CAGR 50% = </w:t>
      </w:r>
      <w:r>
        <w:rPr>
          <w:rFonts w:hint="eastAsia"/>
        </w:rPr>
        <w:t xml:space="preserve">15%相当）により実質的な寄与は限定的である（T8修正）。</w:t>
      </w:r>
    </w:p>
    <w:bookmarkEnd w:id="30"/>
    <w:bookmarkStart w:id="31" w:name="強み"/>
    <w:p>
      <w:pPr>
        <w:pStyle w:val="Heading3"/>
      </w:pPr>
      <w:r>
        <w:rPr>
          <w:rFonts w:hint="eastAsia"/>
        </w:rPr>
        <w:t xml:space="preserve">強み</w:t>
      </w:r>
    </w:p>
    <w:p>
      <w:pPr>
        <w:pStyle w:val="Compact"/>
        <w:numPr>
          <w:ilvl w:val="0"/>
          <w:numId w:val="1002"/>
        </w:numPr>
      </w:pPr>
      <w:r>
        <w:rPr>
          <w:rFonts w:hint="eastAsia"/>
          <w:b/>
          <w:bCs/>
        </w:rPr>
        <w:t xml:space="preserve">GLP-1領域での技術×供給の2本柱</w:t>
      </w:r>
      <w:r>
        <w:t xml:space="preserve">: Claim </w:t>
      </w:r>
      <w:r>
        <w:rPr>
          <w:rFonts w:hint="eastAsia"/>
        </w:rPr>
        <w:t xml:space="preserve">#2（技術）とClaim</w:t>
      </w:r>
      <w:r>
        <w:t xml:space="preserve"> </w:t>
      </w:r>
      <w:r>
        <w:rPr>
          <w:rFonts w:hint="eastAsia"/>
        </w:rPr>
        <w:t xml:space="preserve">#4（供給）が相互補完し、GLP-1市場でのLLYの競争ポジションを支える</w:t>
      </w:r>
    </w:p>
    <w:p>
      <w:pPr>
        <w:pStyle w:val="Compact"/>
        <w:numPr>
          <w:ilvl w:val="0"/>
          <w:numId w:val="1002"/>
        </w:numPr>
      </w:pPr>
      <w:r>
        <w:rPr>
          <w:rFonts w:hint="eastAsia"/>
          <w:b/>
          <w:bCs/>
        </w:rPr>
        <w:t xml:space="preserve">豊富な定量的裏付け</w:t>
      </w:r>
      <w:r>
        <w:t xml:space="preserve">: </w:t>
      </w:r>
      <w:r>
        <w:rPr>
          <w:rFonts w:hint="eastAsia"/>
        </w:rPr>
        <w:t xml:space="preserve">P3試験データ、SEC</w:t>
      </w:r>
      <w:r>
        <w:t xml:space="preserve"> </w:t>
      </w:r>
      <w:r>
        <w:rPr>
          <w:rFonts w:hint="eastAsia"/>
        </w:rPr>
        <w:t xml:space="preserve">EDGAR財務データ（PP&amp;E</w:t>
      </w:r>
      <w:r>
        <w:t xml:space="preserve"> </w:t>
      </w:r>
      <w:r>
        <w:rPr>
          <w:rFonts w:hint="eastAsia"/>
        </w:rPr>
        <w:t xml:space="preserve">$24.7B、売上$65.2B）、$5.5B在庫計上など検証可能なデータが豊富</w:t>
      </w:r>
    </w:p>
    <w:p>
      <w:pPr>
        <w:pStyle w:val="Compact"/>
        <w:numPr>
          <w:ilvl w:val="0"/>
          <w:numId w:val="1002"/>
        </w:numPr>
      </w:pPr>
      <w:r>
        <w:rPr>
          <w:b/>
          <w:bCs/>
        </w:rPr>
        <w:t xml:space="preserve">KB3 </w:t>
      </w:r>
      <w:r>
        <w:rPr>
          <w:rFonts w:hint="eastAsia"/>
          <w:b/>
          <w:bCs/>
        </w:rPr>
        <w:t xml:space="preserve">LLY実績との高い整合性</w:t>
      </w:r>
      <w:r>
        <w:t xml:space="preserve">: </w:t>
      </w:r>
      <w:r>
        <w:rPr>
          <w:rFonts w:hint="eastAsia"/>
        </w:rPr>
        <w:t xml:space="preserve">6主張中4主張がKB3</w:t>
      </w:r>
      <w:r>
        <w:t xml:space="preserve"> </w:t>
      </w:r>
      <w:r>
        <w:rPr>
          <w:rFonts w:hint="eastAsia"/>
        </w:rPr>
        <w:t xml:space="preserve">LLYのスコアと完全一致（#1:50%,</w:t>
      </w:r>
      <w:r>
        <w:t xml:space="preserve"> #2:70%, #5:50%, </w:t>
      </w:r>
      <w:r>
        <w:rPr>
          <w:rFonts w:hint="eastAsia"/>
        </w:rPr>
        <w:t xml:space="preserve">#6:30%）</w:t>
      </w:r>
    </w:p>
    <w:bookmarkEnd w:id="31"/>
    <w:bookmarkStart w:id="32" w:name="弱み留意点t8修正後"/>
    <w:p>
      <w:pPr>
        <w:pStyle w:val="Heading3"/>
      </w:pPr>
      <w:r>
        <w:rPr>
          <w:rFonts w:hint="eastAsia"/>
        </w:rPr>
        <w:t xml:space="preserve">弱み・留意点（T8修正後）</w:t>
      </w:r>
    </w:p>
    <w:p>
      <w:pPr>
        <w:pStyle w:val="Compact"/>
        <w:numPr>
          <w:ilvl w:val="0"/>
          <w:numId w:val="1003"/>
        </w:numPr>
      </w:pPr>
      <w:r>
        <w:rPr>
          <w:rFonts w:hint="eastAsia"/>
          <w:b/>
          <w:bCs/>
        </w:rPr>
        <w:t xml:space="preserve">メガファーマ共通能力の限界</w:t>
      </w:r>
      <w:r>
        <w:t xml:space="preserve">: Claim #1とClaim </w:t>
      </w:r>
      <w:r>
        <w:rPr>
          <w:rFonts w:hint="eastAsia"/>
        </w:rPr>
        <w:t xml:space="preserve">#6はメガファーマ共通能力として評価が限定的（ルール3/7</w:t>
      </w:r>
      <w:r>
        <w:t xml:space="preserve"> </w:t>
      </w:r>
      <w:r>
        <w:rPr>
          <w:rFonts w:hint="eastAsia"/>
        </w:rPr>
        <w:t xml:space="preserve">FAIL）</w:t>
      </w:r>
    </w:p>
    <w:p>
      <w:pPr>
        <w:pStyle w:val="Compact"/>
        <w:numPr>
          <w:ilvl w:val="0"/>
          <w:numId w:val="1003"/>
        </w:numPr>
      </w:pPr>
      <w:r>
        <w:rPr>
          <w:rFonts w:hint="eastAsia"/>
          <w:b/>
          <w:bCs/>
        </w:rPr>
        <w:t xml:space="preserve">NOVO対比の具体的比較不足</w:t>
      </w:r>
      <w:r>
        <w:t xml:space="preserve">: Claim </w:t>
      </w:r>
      <w:r>
        <w:rPr>
          <w:rFonts w:hint="eastAsia"/>
        </w:rPr>
        <w:t xml:space="preserve">#4（供給能力）でNOVO対比の定量的供給能力比較が不足（ルール7</w:t>
      </w:r>
      <w:r>
        <w:t xml:space="preserve"> </w:t>
      </w:r>
      <w:r>
        <w:rPr>
          <w:rFonts w:hint="eastAsia"/>
        </w:rPr>
        <w:t xml:space="preserve">PARTIAL）</w:t>
      </w:r>
    </w:p>
    <w:p>
      <w:pPr>
        <w:pStyle w:val="Compact"/>
        <w:numPr>
          <w:ilvl w:val="0"/>
          <w:numId w:val="1003"/>
        </w:numPr>
      </w:pPr>
      <w:r>
        <w:rPr>
          <w:rFonts w:hint="eastAsia"/>
          <w:b/>
          <w:bCs/>
        </w:rPr>
        <w:t xml:space="preserve">根源要因への言及不足</w:t>
      </w:r>
      <w:r>
        <w:t xml:space="preserve">: Claim </w:t>
      </w:r>
      <w:r>
        <w:rPr>
          <w:rFonts w:hint="eastAsia"/>
        </w:rPr>
        <w:t xml:space="preserve">#2で「なぜ低分子製法を選別し得たのか」の根源要因が未説明（70%の上限条件）</w:t>
      </w:r>
    </w:p>
    <w:p>
      <w:pPr>
        <w:pStyle w:val="Compact"/>
        <w:numPr>
          <w:ilvl w:val="0"/>
          <w:numId w:val="1003"/>
        </w:numPr>
      </w:pPr>
      <w:r>
        <w:rPr>
          <w:rFonts w:hint="eastAsia"/>
          <w:b/>
          <w:bCs/>
        </w:rPr>
        <w:t xml:space="preserve">GLP-1市場の構造リスク</w:t>
      </w:r>
      <w:r>
        <w:t xml:space="preserve">: </w:t>
      </w:r>
      <w:r>
        <w:rPr>
          <w:rFonts w:hint="eastAsia"/>
        </w:rPr>
        <w:t xml:space="preserve">デュオポリー持続性（30年代新規参入）、価格競争（HCV類似シナリオ）の2つのリスクが未解決</w:t>
      </w:r>
    </w:p>
    <w:p>
      <w:pPr>
        <w:pStyle w:val="Compact"/>
        <w:numPr>
          <w:ilvl w:val="0"/>
          <w:numId w:val="1003"/>
        </w:numPr>
      </w:pPr>
      <w:r>
        <w:rPr>
          <w:rFonts w:hint="eastAsia"/>
          <w:b/>
          <w:bCs/>
        </w:rPr>
        <w:t xml:space="preserve">アルツハイマーの高リスク</w:t>
      </w:r>
      <w:r>
        <w:t xml:space="preserve">: Claim </w:t>
      </w:r>
      <w:r>
        <w:rPr>
          <w:rFonts w:hint="eastAsia"/>
        </w:rPr>
        <w:t xml:space="preserve">#3のCAGR接続が間接的で確度が低い。KB3</w:t>
      </w:r>
      <w:r>
        <w:t xml:space="preserve"> </w:t>
      </w:r>
      <w:r>
        <w:rPr>
          <w:rFonts w:hint="eastAsia"/>
        </w:rPr>
        <w:t xml:space="preserve">LLY#3の複数メカニズム限界の批判あり</w:t>
      </w:r>
    </w:p>
    <w:p>
      <w:pPr>
        <w:pStyle w:val="Compact"/>
        <w:numPr>
          <w:ilvl w:val="0"/>
          <w:numId w:val="1003"/>
        </w:numPr>
      </w:pPr>
      <w:r>
        <w:rPr>
          <w:rFonts w:hint="eastAsia"/>
          <w:b/>
          <w:bCs/>
        </w:rPr>
        <w:t xml:space="preserve">CVS事例のCAGR影響</w:t>
      </w:r>
      <w:r>
        <w:t xml:space="preserve">: Claim #5でPBM </w:t>
      </w:r>
      <w:r>
        <w:rPr>
          <w:rFonts w:hint="eastAsia"/>
        </w:rPr>
        <w:t xml:space="preserve">formulary選定が粘着性を無効化するリスクが具体的事例として顕在化</w:t>
      </w:r>
    </w:p>
    <w:bookmarkEnd w:id="32"/>
    <w:bookmarkStart w:id="33" w:name="t8-ai批判プロセスの総括"/>
    <w:p>
      <w:pPr>
        <w:pStyle w:val="Heading3"/>
      </w:pPr>
      <w:r>
        <w:t xml:space="preserve">T8 </w:t>
      </w:r>
      <w:r>
        <w:rPr>
          <w:rFonts w:hint="eastAsia"/>
        </w:rPr>
        <w:t xml:space="preserve">AI批判プロセスの総括</w:t>
      </w:r>
    </w:p>
    <w:p>
      <w:pPr>
        <w:pStyle w:val="FirstParagraph"/>
      </w:pPr>
      <w:r>
        <w:rPr>
          <w:rFonts w:hint="eastAsia"/>
          <w:b/>
          <w:bCs/>
        </w:rPr>
        <w:t xml:space="preserve">systematic_issues（全体的判断傾向）</w:t>
      </w:r>
      <w:r>
        <w:t xml:space="preserve">:</w:t>
      </w:r>
    </w:p>
    <w:p>
      <w:pPr>
        <w:numPr>
          <w:ilvl w:val="0"/>
          <w:numId w:val="1004"/>
        </w:numPr>
      </w:pPr>
      <w:r>
        <w:rPr>
          <w:rFonts w:hint="eastAsia"/>
          <w:b/>
          <w:bCs/>
        </w:rPr>
        <w:t xml:space="preserve">NOVO対比での具体的比較不足（ルール7・パターンG）</w:t>
      </w:r>
      <w:r>
        <w:t xml:space="preserve">: </w:t>
      </w:r>
      <w:r>
        <w:rPr>
          <w:rFonts w:hint="eastAsia"/>
        </w:rPr>
        <w:t xml:space="preserve">3主張（#1,</w:t>
      </w:r>
      <w:r>
        <w:t xml:space="preserve"> #4, </w:t>
      </w:r>
      <w:r>
        <w:rPr>
          <w:rFonts w:hint="eastAsia"/>
        </w:rPr>
        <w:t xml:space="preserve">#5）でNOVOとの具体的比較が不足。特にClaim</w:t>
      </w:r>
      <w:r>
        <w:t xml:space="preserve"> </w:t>
      </w:r>
      <w:r>
        <w:rPr>
          <w:rFonts w:hint="eastAsia"/>
        </w:rPr>
        <w:t xml:space="preserve">#4の供給能力ではNOVOのPP&amp;E規模・製造キャパシティとの直接比較があれば90%に近づく可能性があるが、アナリストレポート自体にNOVO固有データの記載が乏しいという制約もある。</w:t>
      </w:r>
    </w:p>
    <w:p>
      <w:pPr>
        <w:numPr>
          <w:ilvl w:val="0"/>
          <w:numId w:val="1004"/>
        </w:numPr>
      </w:pPr>
      <w:r>
        <w:rPr>
          <w:b/>
          <w:bCs/>
        </w:rPr>
        <w:t xml:space="preserve">KB3 </w:t>
      </w:r>
      <w:r>
        <w:rPr>
          <w:rFonts w:hint="eastAsia"/>
          <w:b/>
          <w:bCs/>
        </w:rPr>
        <w:t xml:space="preserve">LLYとの高い整合性（過剰フィットのリスク）</w:t>
      </w:r>
      <w:r>
        <w:t xml:space="preserve">: </w:t>
      </w:r>
      <w:r>
        <w:rPr>
          <w:rFonts w:hint="eastAsia"/>
        </w:rPr>
        <w:t xml:space="preserve">4主張がKB3</w:t>
      </w:r>
      <w:r>
        <w:t xml:space="preserve"> </w:t>
      </w:r>
      <w:r>
        <w:rPr>
          <w:rFonts w:hint="eastAsia"/>
        </w:rPr>
        <w:t xml:space="preserve">LLYと完全一致しており、KB3キャリブレーションが適切に機能している一方、独自の批判的視点が限定的。特にCVS</w:t>
      </w:r>
      <w:r>
        <w:t xml:space="preserve"> </w:t>
      </w:r>
      <w:r>
        <w:rPr>
          <w:rFonts w:hint="eastAsia"/>
        </w:rPr>
        <w:t xml:space="preserve">Wegovy優先推奨（2025年5月）等のKB3評価時点以降の新情報の反映が十分かを確認すべき。</w:t>
      </w:r>
    </w:p>
    <w:bookmarkEnd w:id="33"/>
    <w:bookmarkStart w:id="34" w:name="kb3との対比"/>
    <w:p>
      <w:pPr>
        <w:pStyle w:val="Heading3"/>
      </w:pPr>
      <w:r>
        <w:rPr>
          <w:rFonts w:hint="eastAsia"/>
        </w:rPr>
        <w:t xml:space="preserve">KB3との対比</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90"/>
        <w:gridCol w:w="2145"/>
        <w:gridCol w:w="2805"/>
        <w:gridCol w:w="990"/>
        <w:gridCol w:w="99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主張</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AI評価（CA）</w:t>
            </w:r>
          </w:p>
        </w:tc>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KB3 </w:t>
            </w:r>
            <w:r>
              <w:rPr>
                <w:rFonts w:hint="eastAsia" w:ascii="Times New Roman" w:hAnsi="Times New Roman" w:eastAsia="游明朝"/>
                <w:sz w:val="18"/>
              </w:rPr>
              <w:t xml:space="preserve">LLY（Y評価）</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差分</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備考</w:t>
            </w:r>
          </w:p>
        </w:tc>
      </w:tr>
      <w:tr>
        <w:tc>
          <w:tcPr/>
          <w:p>
            <w:pPr>
              <w:pStyle w:val="Compact"/>
            </w:pPr>
            <w:r>
              <w:rPr>
                <w:rFonts w:ascii="Times New Roman" w:hAnsi="Times New Roman" w:eastAsia="游明朝"/>
                <w:sz w:val="18"/>
              </w:rPr>
              <w:t xml:space="preserve">#1 ポートフォリオ</w:t>
            </w:r>
          </w:p>
        </w:tc>
        <w:tc>
          <w:tcPr/>
          <w:p>
            <w:pPr>
              <w:pStyle w:val="Compact"/>
            </w:pPr>
            <w:r>
              <w:rPr>
                <w:rFonts w:ascii="Times New Roman" w:hAnsi="Times New Roman" w:eastAsia="游明朝"/>
                <w:sz w:val="18"/>
              </w:rPr>
              <w:t xml:space="preserve">50%</w:t>
            </w:r>
          </w:p>
        </w:tc>
        <w:tc>
          <w:tcPr/>
          <w:p>
            <w:pPr>
              <w:pStyle w:val="Compact"/>
            </w:pPr>
            <w:r>
              <w:rPr>
                <w:rFonts w:ascii="Times New Roman" w:hAnsi="Times New Roman" w:eastAsia="游明朝"/>
                <w:sz w:val="18"/>
              </w:rPr>
              <w:t xml:space="preserve">50% (#1)</w:t>
            </w:r>
          </w:p>
        </w:tc>
        <w:tc>
          <w:tcPr/>
          <w:p>
            <w:pPr>
              <w:pStyle w:val="Compact"/>
            </w:pPr>
            <w:r>
              <w:rPr>
                <w:rFonts w:ascii="Times New Roman" w:hAnsi="Times New Roman" w:eastAsia="游明朝"/>
                <w:sz w:val="18"/>
              </w:rPr>
              <w:t xml:space="preserve">0</w:t>
            </w:r>
          </w:p>
        </w:tc>
        <w:tc>
          <w:tcPr/>
          <w:p>
            <w:pPr>
              <w:pStyle w:val="Compact"/>
            </w:pPr>
            <w:r>
              <w:rPr>
                <w:rFonts w:hint="eastAsia" w:ascii="Times New Roman" w:hAnsi="Times New Roman" w:eastAsia="游明朝"/>
                <w:sz w:val="18"/>
              </w:rPr>
              <w:t xml:space="preserve">完全一致</w:t>
            </w:r>
          </w:p>
        </w:tc>
      </w:tr>
      <w:tr>
        <w:tc>
          <w:tcPr/>
          <w:p>
            <w:pPr>
              <w:pStyle w:val="Compact"/>
            </w:pPr>
            <w:r>
              <w:rPr>
                <w:rFonts w:ascii="Times New Roman" w:hAnsi="Times New Roman" w:eastAsia="游明朝"/>
                <w:sz w:val="18"/>
              </w:rPr>
              <w:t xml:space="preserve">#2 </w:t>
            </w:r>
            <w:r>
              <w:rPr>
                <w:rFonts w:hint="eastAsia" w:ascii="Times New Roman" w:hAnsi="Times New Roman" w:eastAsia="游明朝"/>
                <w:sz w:val="18"/>
              </w:rPr>
              <w:t xml:space="preserve">低分子GLP-1</w:t>
            </w:r>
          </w:p>
        </w:tc>
        <w:tc>
          <w:tcPr/>
          <w:p>
            <w:pPr>
              <w:pStyle w:val="Compact"/>
            </w:pPr>
            <w:r>
              <w:rPr>
                <w:rFonts w:ascii="Times New Roman" w:hAnsi="Times New Roman" w:eastAsia="游明朝"/>
                <w:sz w:val="18"/>
              </w:rPr>
              <w:t xml:space="preserve">70%</w:t>
            </w:r>
          </w:p>
        </w:tc>
        <w:tc>
          <w:tcPr/>
          <w:p>
            <w:pPr>
              <w:pStyle w:val="Compact"/>
            </w:pPr>
            <w:r>
              <w:rPr>
                <w:rFonts w:ascii="Times New Roman" w:hAnsi="Times New Roman" w:eastAsia="游明朝"/>
                <w:sz w:val="18"/>
              </w:rPr>
              <w:t xml:space="preserve">70% (#2)</w:t>
            </w:r>
          </w:p>
        </w:tc>
        <w:tc>
          <w:tcPr/>
          <w:p>
            <w:pPr>
              <w:pStyle w:val="Compact"/>
            </w:pPr>
            <w:r>
              <w:rPr>
                <w:rFonts w:ascii="Times New Roman" w:hAnsi="Times New Roman" w:eastAsia="游明朝"/>
                <w:sz w:val="18"/>
              </w:rPr>
              <w:t xml:space="preserve">0</w:t>
            </w:r>
          </w:p>
        </w:tc>
        <w:tc>
          <w:tcPr/>
          <w:p>
            <w:pPr>
              <w:pStyle w:val="Compact"/>
            </w:pPr>
            <w:r>
              <w:rPr>
                <w:rFonts w:hint="eastAsia" w:ascii="Times New Roman" w:hAnsi="Times New Roman" w:eastAsia="游明朝"/>
                <w:sz w:val="18"/>
              </w:rPr>
              <w:t xml:space="preserve">完全一致</w:t>
            </w:r>
          </w:p>
        </w:tc>
      </w:tr>
      <w:tr>
        <w:tc>
          <w:tcPr/>
          <w:p>
            <w:pPr>
              <w:pStyle w:val="Compact"/>
            </w:pPr>
            <w:r>
              <w:rPr>
                <w:rFonts w:ascii="Times New Roman" w:hAnsi="Times New Roman" w:eastAsia="游明朝"/>
                <w:sz w:val="18"/>
              </w:rPr>
              <w:t xml:space="preserve">#3 アルツハイマーR&amp;D</w:t>
            </w:r>
          </w:p>
        </w:tc>
        <w:tc>
          <w:tcPr/>
          <w:p>
            <w:pPr>
              <w:pStyle w:val="Compact"/>
            </w:pPr>
            <w:r>
              <w:rPr>
                <w:rFonts w:ascii="Times New Roman" w:hAnsi="Times New Roman" w:eastAsia="游明朝"/>
                <w:sz w:val="18"/>
              </w:rPr>
              <w:t xml:space="preserve">50%</w:t>
            </w:r>
          </w:p>
        </w:tc>
        <w:tc>
          <w:tcPr/>
          <w:p>
            <w:pPr>
              <w:pStyle w:val="Compact"/>
            </w:pPr>
            <w:r>
              <w:rPr>
                <w:rFonts w:ascii="Times New Roman" w:hAnsi="Times New Roman" w:eastAsia="游明朝"/>
                <w:sz w:val="18"/>
              </w:rPr>
              <w:t xml:space="preserve">50% (#4) / 30% (#3)</w:t>
            </w:r>
          </w:p>
        </w:tc>
        <w:tc>
          <w:tcPr/>
          <w:p>
            <w:pPr>
              <w:pStyle w:val="Compact"/>
            </w:pPr>
            <w:r>
              <w:rPr>
                <w:rFonts w:ascii="Times New Roman" w:hAnsi="Times New Roman" w:eastAsia="游明朝"/>
                <w:sz w:val="18"/>
              </w:rPr>
              <w:t xml:space="preserve">0 / +20</w:t>
            </w:r>
          </w:p>
        </w:tc>
        <w:tc>
          <w:tcPr/>
          <w:p>
            <w:pPr>
              <w:pStyle w:val="Compact"/>
            </w:pPr>
            <w:r>
              <w:rPr>
                <w:rFonts w:ascii="Times New Roman" w:hAnsi="Times New Roman" w:eastAsia="游明朝"/>
                <w:sz w:val="18"/>
              </w:rPr>
              <w:t xml:space="preserve">KB3 </w:t>
            </w:r>
            <w:r>
              <w:rPr>
                <w:rFonts w:hint="eastAsia" w:ascii="Times New Roman" w:hAnsi="Times New Roman" w:eastAsia="游明朝"/>
                <w:sz w:val="18"/>
              </w:rPr>
              <w:t xml:space="preserve">#3と#4の統合版</w:t>
            </w:r>
          </w:p>
        </w:tc>
      </w:tr>
      <w:tr>
        <w:tc>
          <w:tcPr/>
          <w:p>
            <w:pPr>
              <w:pStyle w:val="Compact"/>
            </w:pPr>
            <w:r>
              <w:rPr>
                <w:rFonts w:ascii="Times New Roman" w:hAnsi="Times New Roman" w:eastAsia="游明朝"/>
                <w:sz w:val="18"/>
              </w:rPr>
              <w:t xml:space="preserve">#4 </w:t>
            </w:r>
            <w:r>
              <w:rPr>
                <w:rFonts w:hint="eastAsia" w:ascii="Times New Roman" w:hAnsi="Times New Roman" w:eastAsia="游明朝"/>
                <w:sz w:val="18"/>
              </w:rPr>
              <w:t xml:space="preserve">供給能力</w:t>
            </w:r>
          </w:p>
        </w:tc>
        <w:tc>
          <w:tcPr/>
          <w:p>
            <w:pPr>
              <w:pStyle w:val="Compact"/>
            </w:pPr>
            <w:r>
              <w:rPr>
                <w:rFonts w:ascii="Times New Roman" w:hAnsi="Times New Roman" w:eastAsia="游明朝"/>
                <w:sz w:val="18"/>
              </w:rPr>
              <w:t xml:space="preserve">70%</w:t>
            </w:r>
          </w:p>
        </w:tc>
        <w:tc>
          <w:tcPr/>
          <w:p>
            <w:pPr>
              <w:pStyle w:val="Compact"/>
            </w:pPr>
            <w:r>
              <w:rPr>
                <w:rFonts w:ascii="Times New Roman" w:hAnsi="Times New Roman" w:eastAsia="游明朝"/>
                <w:sz w:val="18"/>
              </w:rPr>
              <w:t xml:space="preserve">- </w:t>
            </w:r>
            <w:r>
              <w:rPr>
                <w:rFonts w:hint="eastAsia" w:ascii="Times New Roman" w:hAnsi="Times New Roman" w:eastAsia="游明朝"/>
                <w:sz w:val="18"/>
              </w:rPr>
              <w:t xml:space="preserve">(新規)</w:t>
            </w:r>
          </w:p>
        </w:tc>
        <w:tc>
          <w:tcPr/>
          <w:p>
            <w:pPr>
              <w:pStyle w:val="Compact"/>
            </w:pPr>
            <w:r>
              <w:rPr>
                <w:rFonts w:ascii="Times New Roman" w:hAnsi="Times New Roman" w:eastAsia="游明朝"/>
                <w:sz w:val="18"/>
              </w:rPr>
              <w:t xml:space="preserve">-</w:t>
            </w:r>
          </w:p>
        </w:tc>
        <w:tc>
          <w:tcPr/>
          <w:p>
            <w:pPr>
              <w:pStyle w:val="Compact"/>
            </w:pPr>
            <w:r>
              <w:rPr>
                <w:rFonts w:hint="eastAsia" w:ascii="Times New Roman" w:hAnsi="Times New Roman" w:eastAsia="游明朝"/>
                <w:sz w:val="18"/>
              </w:rPr>
              <w:t xml:space="preserve">KB3にない新規主張</w:t>
            </w:r>
          </w:p>
        </w:tc>
      </w:tr>
      <w:tr>
        <w:tc>
          <w:tcPr/>
          <w:p>
            <w:pPr>
              <w:pStyle w:val="Compact"/>
            </w:pPr>
            <w:r>
              <w:rPr>
                <w:rFonts w:ascii="Times New Roman" w:hAnsi="Times New Roman" w:eastAsia="游明朝"/>
                <w:sz w:val="18"/>
              </w:rPr>
              <w:t xml:space="preserve">#5 </w:t>
            </w:r>
            <w:r>
              <w:rPr>
                <w:rFonts w:hint="eastAsia" w:ascii="Times New Roman" w:hAnsi="Times New Roman" w:eastAsia="游明朝"/>
                <w:sz w:val="18"/>
              </w:rPr>
              <w:t xml:space="preserve">Mounjaro粘着性</w:t>
            </w:r>
          </w:p>
        </w:tc>
        <w:tc>
          <w:tcPr/>
          <w:p>
            <w:pPr>
              <w:pStyle w:val="Compact"/>
            </w:pPr>
            <w:r>
              <w:rPr>
                <w:rFonts w:ascii="Times New Roman" w:hAnsi="Times New Roman" w:eastAsia="游明朝"/>
                <w:sz w:val="18"/>
              </w:rPr>
              <w:t xml:space="preserve">50%</w:t>
            </w:r>
          </w:p>
        </w:tc>
        <w:tc>
          <w:tcPr/>
          <w:p>
            <w:pPr>
              <w:pStyle w:val="Compact"/>
            </w:pPr>
            <w:r>
              <w:rPr>
                <w:rFonts w:ascii="Times New Roman" w:hAnsi="Times New Roman" w:eastAsia="游明朝"/>
                <w:sz w:val="18"/>
              </w:rPr>
              <w:t xml:space="preserve">50% (#5)</w:t>
            </w:r>
          </w:p>
        </w:tc>
        <w:tc>
          <w:tcPr/>
          <w:p>
            <w:pPr>
              <w:pStyle w:val="Compact"/>
            </w:pPr>
            <w:r>
              <w:rPr>
                <w:rFonts w:ascii="Times New Roman" w:hAnsi="Times New Roman" w:eastAsia="游明朝"/>
                <w:sz w:val="18"/>
              </w:rPr>
              <w:t xml:space="preserve">0</w:t>
            </w:r>
          </w:p>
        </w:tc>
        <w:tc>
          <w:tcPr/>
          <w:p>
            <w:pPr>
              <w:pStyle w:val="Compact"/>
            </w:pPr>
            <w:r>
              <w:rPr>
                <w:rFonts w:hint="eastAsia" w:ascii="Times New Roman" w:hAnsi="Times New Roman" w:eastAsia="游明朝"/>
                <w:sz w:val="18"/>
              </w:rPr>
              <w:t xml:space="preserve">完全一致</w:t>
            </w:r>
          </w:p>
        </w:tc>
      </w:tr>
      <w:tr>
        <w:tc>
          <w:tcPr/>
          <w:p>
            <w:pPr>
              <w:pStyle w:val="Compact"/>
            </w:pPr>
            <w:r>
              <w:rPr>
                <w:rFonts w:ascii="Times New Roman" w:hAnsi="Times New Roman" w:eastAsia="游明朝"/>
                <w:sz w:val="18"/>
              </w:rPr>
              <w:t xml:space="preserve">#6 ネットワーク</w:t>
            </w:r>
          </w:p>
        </w:tc>
        <w:tc>
          <w:tcPr/>
          <w:p>
            <w:pPr>
              <w:pStyle w:val="Compact"/>
            </w:pPr>
            <w:r>
              <w:rPr>
                <w:rFonts w:ascii="Times New Roman" w:hAnsi="Times New Roman" w:eastAsia="游明朝"/>
                <w:sz w:val="18"/>
              </w:rPr>
              <w:t xml:space="preserve">30%</w:t>
            </w:r>
          </w:p>
        </w:tc>
        <w:tc>
          <w:tcPr/>
          <w:p>
            <w:pPr>
              <w:pStyle w:val="Compact"/>
            </w:pPr>
            <w:r>
              <w:rPr>
                <w:rFonts w:ascii="Times New Roman" w:hAnsi="Times New Roman" w:eastAsia="游明朝"/>
                <w:sz w:val="18"/>
              </w:rPr>
              <w:t xml:space="preserve">30% (#6)</w:t>
            </w:r>
          </w:p>
        </w:tc>
        <w:tc>
          <w:tcPr/>
          <w:p>
            <w:pPr>
              <w:pStyle w:val="Compact"/>
            </w:pPr>
            <w:r>
              <w:rPr>
                <w:rFonts w:ascii="Times New Roman" w:hAnsi="Times New Roman" w:eastAsia="游明朝"/>
                <w:sz w:val="18"/>
              </w:rPr>
              <w:t xml:space="preserve">0</w:t>
            </w:r>
          </w:p>
        </w:tc>
        <w:tc>
          <w:tcPr/>
          <w:p>
            <w:pPr>
              <w:pStyle w:val="Compact"/>
            </w:pPr>
            <w:r>
              <w:rPr>
                <w:rFonts w:hint="eastAsia" w:ascii="Times New Roman" w:hAnsi="Times New Roman" w:eastAsia="游明朝"/>
                <w:sz w:val="18"/>
              </w:rPr>
              <w:t xml:space="preserve">完全一致</w:t>
            </w:r>
          </w:p>
        </w:tc>
      </w:tr>
    </w:tbl>
    <w:p>
      <w:pPr>
        <w:pStyle w:val="BodyText"/>
      </w:pPr>
      <w:r>
        <w:rPr>
          <w:rFonts w:hint="eastAsia"/>
          <w:b/>
          <w:bCs/>
        </w:rPr>
        <w:t xml:space="preserve">平均CA</w:t>
      </w:r>
      <w:r>
        <w:t xml:space="preserve">: AI 53% vs KB3 </w:t>
      </w:r>
      <w:r>
        <w:rPr>
          <w:rFonts w:hint="eastAsia"/>
        </w:rPr>
        <w:t xml:space="preserve">47%。差分の主因はClaim</w:t>
      </w:r>
      <w:r>
        <w:t xml:space="preserve"> </w:t>
      </w:r>
      <w:r>
        <w:rPr>
          <w:rFonts w:hint="eastAsia"/>
        </w:rPr>
        <w:t xml:space="preserve">#4（新規主張、70%）の追加。</w:t>
      </w:r>
    </w:p>
    <w:p>
      <w:r>
        <w:pict>
          <v:rect style="width:0;height:1.5pt" o:hralign="center" o:hrstd="t" o:hr="t"/>
        </w:pict>
      </w:r>
    </w:p>
    <w:bookmarkEnd w:id="34"/>
    <w:bookmarkEnd w:id="35"/>
    <w:bookmarkStart w:id="44" w:name="アナリストフィードバック記入欄"/>
    <w:p>
      <w:pPr>
        <w:pStyle w:val="Heading2"/>
      </w:pPr>
      <w:r>
        <w:t xml:space="preserve">5. </w:t>
      </w:r>
      <w:r>
        <w:rPr>
          <w:rFonts w:hint="eastAsia"/>
        </w:rPr>
        <w:t xml:space="preserve">アナリストフィードバック記入欄</w:t>
      </w:r>
    </w:p>
    <w:p>
      <w:pPr>
        <w:pStyle w:val="BlockText"/>
      </w:pPr>
      <w:r>
        <w:rPr>
          <w:rFonts w:hint="eastAsia"/>
        </w:rPr>
        <w:t xml:space="preserve">本セクションはアナリストが記入するフィードバック用テンプレートです。各主張に対して評価とコメントをご記入ください。</w:t>
      </w:r>
    </w:p>
    <w:bookmarkStart w:id="42" w:name="評価スケール"/>
    <w:p>
      <w:pPr>
        <w:pStyle w:val="Heading3"/>
      </w:pPr>
      <w:r>
        <w:rPr>
          <w:rFonts w:hint="eastAsia"/>
        </w:rPr>
        <w:t xml:space="preserve">評価スケール</w:t>
      </w:r>
    </w:p>
    <w:p>
      <w:pPr>
        <w:pStyle w:val="Compact"/>
        <w:numPr>
          <w:ilvl w:val="0"/>
          <w:numId w:val="1005"/>
        </w:numPr>
      </w:pPr>
      <w:r>
        <w:rPr>
          <w:rFonts w:hint="eastAsia"/>
          <w:b/>
          <w:bCs/>
        </w:rPr>
        <w:t xml:space="preserve">90%（かなり納得）</w:t>
      </w:r>
      <w:r>
        <w:t xml:space="preserve">: </w:t>
      </w:r>
      <w:r>
        <w:rPr>
          <w:rFonts w:hint="eastAsia"/>
        </w:rPr>
        <w:t xml:space="preserve">構造的優位性</w:t>
      </w:r>
      <w:r>
        <w:t xml:space="preserve"> + </w:t>
      </w:r>
      <w:r>
        <w:rPr>
          <w:rFonts w:hint="eastAsia"/>
        </w:rPr>
        <w:t xml:space="preserve">明確なCAGR接続</w:t>
      </w:r>
      <w:r>
        <w:t xml:space="preserve"> + </w:t>
      </w:r>
      <w:r>
        <w:rPr>
          <w:rFonts w:hint="eastAsia"/>
        </w:rPr>
        <w:t xml:space="preserve">定量的裏付け</w:t>
      </w:r>
    </w:p>
    <w:p>
      <w:pPr>
        <w:pStyle w:val="Compact"/>
        <w:numPr>
          <w:ilvl w:val="0"/>
          <w:numId w:val="1005"/>
        </w:numPr>
      </w:pPr>
      <w:r>
        <w:rPr>
          <w:rFonts w:hint="eastAsia"/>
          <w:b/>
          <w:bCs/>
        </w:rPr>
        <w:t xml:space="preserve">70%（おおむね納得）</w:t>
      </w:r>
      <w:r>
        <w:t xml:space="preserve">: </w:t>
      </w:r>
      <w:r>
        <w:rPr>
          <w:rFonts w:hint="eastAsia"/>
        </w:rPr>
        <w:t xml:space="preserve">妥当な仮説</w:t>
      </w:r>
      <w:r>
        <w:t xml:space="preserve"> + </w:t>
      </w:r>
      <w:r>
        <w:rPr>
          <w:rFonts w:hint="eastAsia"/>
        </w:rPr>
        <w:t xml:space="preserve">一定の裏付け</w:t>
      </w:r>
    </w:p>
    <w:p>
      <w:pPr>
        <w:pStyle w:val="Compact"/>
        <w:numPr>
          <w:ilvl w:val="0"/>
          <w:numId w:val="1005"/>
        </w:numPr>
      </w:pPr>
      <w:r>
        <w:rPr>
          <w:rFonts w:hint="eastAsia"/>
          <w:b/>
          <w:bCs/>
        </w:rPr>
        <w:t xml:space="preserve">50%（まあ納得）</w:t>
      </w:r>
      <w:r>
        <w:t xml:space="preserve">: </w:t>
      </w:r>
      <w:r>
        <w:rPr>
          <w:rFonts w:hint="eastAsia"/>
        </w:rPr>
        <w:t xml:space="preserve">方向性は認めるが裏付け不十分</w:t>
      </w:r>
    </w:p>
    <w:p>
      <w:pPr>
        <w:pStyle w:val="Compact"/>
        <w:numPr>
          <w:ilvl w:val="0"/>
          <w:numId w:val="1005"/>
        </w:numPr>
      </w:pPr>
      <w:r>
        <w:rPr>
          <w:rFonts w:hint="eastAsia"/>
          <w:b/>
          <w:bCs/>
        </w:rPr>
        <w:t xml:space="preserve">30%（あまり納得しない）</w:t>
      </w:r>
      <w:r>
        <w:t xml:space="preserve">: </w:t>
      </w:r>
      <w:r>
        <w:rPr>
          <w:rFonts w:hint="eastAsia"/>
        </w:rPr>
        <w:t xml:space="preserve">飛躍・因果逆転・差別化根拠不十分</w:t>
      </w:r>
    </w:p>
    <w:p>
      <w:pPr>
        <w:pStyle w:val="Compact"/>
        <w:numPr>
          <w:ilvl w:val="0"/>
          <w:numId w:val="1005"/>
        </w:numPr>
      </w:pPr>
      <w:r>
        <w:rPr>
          <w:rFonts w:hint="eastAsia"/>
          <w:b/>
          <w:bCs/>
        </w:rPr>
        <w:t xml:space="preserve">10%（却下）</w:t>
      </w:r>
      <w:r>
        <w:t xml:space="preserve">: </w:t>
      </w:r>
      <w:r>
        <w:rPr>
          <w:rFonts w:hint="eastAsia"/>
        </w:rPr>
        <w:t xml:space="preserve">事実誤認・競争優位性として不成立</w:t>
      </w:r>
    </w:p>
    <w:p>
      <w:r>
        <w:pict>
          <v:rect style="width:0;height:1.5pt" o:hralign="center" o:hrstd="t" o:hr="t"/>
        </w:pict>
      </w:r>
    </w:p>
    <w:bookmarkStart w:id="36" w:name="複数超大型市場ポートフォリオ-1"/>
    <w:p>
      <w:pPr>
        <w:pStyle w:val="Heading4"/>
      </w:pPr>
      <w:r>
        <w:t xml:space="preserve">#1 </w:t>
      </w:r>
      <w:r>
        <w:rPr>
          <w:rFonts w:hint="eastAsia"/>
        </w:rPr>
        <w:t xml:space="preserve">複数超大型市場ポートフォリオ</w:t>
      </w:r>
    </w:p>
    <w:p>
      <w:pPr>
        <w:pStyle w:val="FirstParagraph"/>
      </w:pPr>
      <w:r>
        <w:rPr>
          <w:rFonts w:hint="eastAsia"/>
          <w:b/>
          <w:bCs/>
        </w:rPr>
        <w:t xml:space="preserve">AI評価（T8修正後）</w:t>
      </w:r>
      <w:r>
        <w:t xml:space="preserve">: </w:t>
      </w:r>
      <w:r>
        <w:rPr>
          <w:rFonts w:hint="eastAsia"/>
        </w:rPr>
        <w:t xml:space="preserve">50%（CAGR内訳分離:</w:t>
      </w:r>
      <w:r>
        <w:t xml:space="preserve"> </w:t>
      </w:r>
      <w:r>
        <w:rPr>
          <w:rFonts w:hint="eastAsia"/>
        </w:rPr>
        <w:t xml:space="preserve">売上+10-12%/マージン±0%）</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6"/>
    <w:bookmarkStart w:id="37" w:name="低分子型経口glp-1技術的差別化"/>
    <w:p>
      <w:pPr>
        <w:pStyle w:val="Heading4"/>
      </w:pPr>
      <w:r>
        <w:t xml:space="preserve">#2 </w:t>
      </w:r>
      <w:r>
        <w:rPr>
          <w:rFonts w:hint="eastAsia"/>
        </w:rPr>
        <w:t xml:space="preserve">低分子型経口GLP-1技術的差別化</w:t>
      </w:r>
    </w:p>
    <w:p>
      <w:pPr>
        <w:pStyle w:val="FirstParagraph"/>
      </w:pPr>
      <w:r>
        <w:rPr>
          <w:rFonts w:hint="eastAsia"/>
          <w:b/>
          <w:bCs/>
        </w:rPr>
        <w:t xml:space="preserve">AI評価（T8修正後）</w:t>
      </w:r>
      <w:r>
        <w:t xml:space="preserve">: </w:t>
      </w:r>
      <w:r>
        <w:rPr>
          <w:rFonts w:hint="eastAsia"/>
        </w:rPr>
        <w:t xml:space="preserve">70%（根源要因不足が上限条件）</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7"/>
    <w:bookmarkStart w:id="38" w:name="アルツハイマーrdノウハウ"/>
    <w:p>
      <w:pPr>
        <w:pStyle w:val="Heading4"/>
      </w:pPr>
      <w:r>
        <w:t xml:space="preserve">#3 アルツハイマーR&amp;Dノウハウ</w:t>
      </w:r>
    </w:p>
    <w:p>
      <w:pPr>
        <w:pStyle w:val="FirstParagraph"/>
      </w:pPr>
      <w:r>
        <w:rPr>
          <w:rFonts w:hint="eastAsia"/>
          <w:b/>
          <w:bCs/>
        </w:rPr>
        <w:t xml:space="preserve">AI評価（T8修正後）</w:t>
      </w:r>
      <w:r>
        <w:t xml:space="preserve">: </w:t>
      </w:r>
      <w:r>
        <w:rPr>
          <w:rFonts w:hint="eastAsia"/>
        </w:rPr>
        <w:t xml:space="preserve">50%（KB3#3の30%批判を認識した上での評価）</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8"/>
    <w:bookmarkStart w:id="39" w:name="glp-1供給能力参入障壁"/>
    <w:p>
      <w:pPr>
        <w:pStyle w:val="Heading4"/>
      </w:pPr>
      <w:r>
        <w:t xml:space="preserve">#4 </w:t>
      </w:r>
      <w:r>
        <w:rPr>
          <w:rFonts w:hint="eastAsia"/>
        </w:rPr>
        <w:t xml:space="preserve">GLP-1供給能力参入障壁</w:t>
      </w:r>
    </w:p>
    <w:p>
      <w:pPr>
        <w:pStyle w:val="FirstParagraph"/>
      </w:pPr>
      <w:r>
        <w:rPr>
          <w:rFonts w:hint="eastAsia"/>
          <w:b/>
          <w:bCs/>
        </w:rPr>
        <w:t xml:space="preserve">AI評価（T8修正後）</w:t>
      </w:r>
      <w:r>
        <w:t xml:space="preserve">: </w:t>
      </w:r>
      <w:r>
        <w:rPr>
          <w:rFonts w:hint="eastAsia"/>
        </w:rPr>
        <w:t xml:space="preserve">70%（デュオポリー持続性リスク付き）</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9"/>
    <w:bookmarkStart w:id="40" w:name="mounjaro市場ポジション粘着性"/>
    <w:p>
      <w:pPr>
        <w:pStyle w:val="Heading4"/>
      </w:pPr>
      <w:r>
        <w:t xml:space="preserve">#5 </w:t>
      </w:r>
      <w:r>
        <w:rPr>
          <w:rFonts w:hint="eastAsia"/>
        </w:rPr>
        <w:t xml:space="preserve">Mounjaro市場ポジション粘着性</w:t>
      </w:r>
    </w:p>
    <w:p>
      <w:pPr>
        <w:pStyle w:val="FirstParagraph"/>
      </w:pPr>
      <w:r>
        <w:rPr>
          <w:rFonts w:hint="eastAsia"/>
          <w:b/>
          <w:bCs/>
        </w:rPr>
        <w:t xml:space="preserve">AI評価（T8修正後）</w:t>
      </w:r>
      <w:r>
        <w:t xml:space="preserve">: </w:t>
      </w:r>
      <w:r>
        <w:rPr>
          <w:rFonts w:hint="eastAsia"/>
        </w:rPr>
        <w:t xml:space="preserve">50%（CVS事例によるPBMリスク付き）</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40"/>
    <w:bookmarkStart w:id="41" w:name="グローバルネットワーク"/>
    <w:p>
      <w:pPr>
        <w:pStyle w:val="Heading4"/>
      </w:pPr>
      <w:r>
        <w:t xml:space="preserve">#6 グローバルネットワーク</w:t>
      </w:r>
    </w:p>
    <w:p>
      <w:pPr>
        <w:pStyle w:val="FirstParagraph"/>
      </w:pPr>
      <w:r>
        <w:rPr>
          <w:rFonts w:hint="eastAsia"/>
          <w:b/>
          <w:bCs/>
        </w:rPr>
        <w:t xml:space="preserve">AI評価（T8修正後）</w:t>
      </w:r>
      <w:r>
        <w:t xml:space="preserve">: </w:t>
      </w:r>
      <w:r>
        <w:rPr>
          <w:rFonts w:hint="eastAsia"/>
        </w:rPr>
        <w:t xml:space="preserve">30%（掛け算方針で実質寄与限定的）</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bookmarkEnd w:id="41"/>
    <w:bookmarkEnd w:id="42"/>
    <w:bookmarkStart w:id="43" w:name="追加フィードバック欄"/>
    <w:p>
      <w:pPr>
        <w:pStyle w:val="Heading3"/>
      </w:pPr>
      <w:r>
        <w:rPr>
          <w:rFonts w:hint="eastAsia"/>
        </w:rPr>
        <w:t xml:space="preserve">追加フィードバック欄</w:t>
      </w:r>
    </w:p>
    <w:p>
      <w:pPr>
        <w:pStyle w:val="FirstParagraph"/>
      </w:pPr>
      <w:r>
        <w:rPr>
          <w:b/>
          <w:bCs/>
        </w:rPr>
        <w:t xml:space="preserve">Q1</w:t>
      </w:r>
      <w:r>
        <w:t xml:space="preserve">: Claim </w:t>
      </w:r>
      <w:r>
        <w:rPr>
          <w:rFonts w:hint="eastAsia"/>
        </w:rPr>
        <w:t xml:space="preserve">#4（供給能力の参入障壁）はKB3にない新規主張です。ORLY#2（フラグメント市場×規模）の医薬品版パターンとして70%と評価しましたが、この評価は妥当でしょうか？</w:t>
      </w:r>
    </w:p>
    <w:p>
      <w:pPr>
        <w:pStyle w:val="BodyText"/>
      </w:pPr>
      <w:r>
        <w:rPr>
          <w:b/>
          <w:bCs/>
        </w:rPr>
        <w:t xml:space="preserve">Q2</w:t>
      </w:r>
      <w:r>
        <w:t xml:space="preserve">: Claim </w:t>
      </w:r>
      <w:r>
        <w:rPr>
          <w:rFonts w:hint="eastAsia"/>
        </w:rPr>
        <w:t xml:space="preserve">#3はKB3のLLY#3（複数メカニズム、30%）とLLY#4（臨床開発ノウハウ、50%）を統合し50%としました。分離して評価すべきでしょうか？</w:t>
      </w:r>
    </w:p>
    <w:p>
      <w:pPr>
        <w:pStyle w:val="BodyText"/>
      </w:pPr>
      <w:r>
        <w:rPr>
          <w:b/>
          <w:bCs/>
        </w:rPr>
        <w:t xml:space="preserve">Q3</w:t>
      </w:r>
      <w:r>
        <w:t xml:space="preserve">: </w:t>
      </w:r>
      <w:r>
        <w:rPr>
          <w:rFonts w:hint="eastAsia"/>
        </w:rPr>
        <w:t xml:space="preserve">「なぜ低分子製法を選別し得たのか」の根源要因について、アナリストの見解はありますか？</w:t>
      </w:r>
    </w:p>
    <w:p>
      <w:pPr>
        <w:pStyle w:val="BodyText"/>
      </w:pPr>
      <w:r>
        <w:rPr>
          <w:b/>
          <w:bCs/>
        </w:rPr>
        <w:t xml:space="preserve">Q4</w:t>
      </w:r>
      <w:r>
        <w:t xml:space="preserve">: </w:t>
      </w:r>
      <w:r>
        <w:rPr>
          <w:rFonts w:hint="eastAsia"/>
        </w:rPr>
        <w:t xml:space="preserve">GLP-1市場の価格競争リスク（HCV類似シナリオ）はCAGR推定にどの程度影響しますか？</w:t>
      </w:r>
    </w:p>
    <w:p>
      <w:pPr>
        <w:pStyle w:val="BodyText"/>
      </w:pPr>
      <w:r>
        <w:rPr>
          <w:b/>
          <w:bCs/>
        </w:rPr>
        <w:t xml:space="preserve">Q5 </w:t>
      </w:r>
      <w:r>
        <w:rPr>
          <w:rFonts w:hint="eastAsia"/>
          <w:b/>
          <w:bCs/>
        </w:rPr>
        <w:t xml:space="preserve">(T8追加)</w:t>
      </w:r>
      <w:r>
        <w:t xml:space="preserve">: </w:t>
      </w:r>
      <w:r>
        <w:rPr>
          <w:rFonts w:hint="eastAsia"/>
        </w:rPr>
        <w:t xml:space="preserve">CVSのWegovy優先推奨（2025年5月）は、Mounjaro粘着性の構造的無効化リスクとして今後も拡大する見通しですか？</w:t>
      </w:r>
    </w:p>
    <w:p>
      <w:pPr>
        <w:pStyle w:val="BodyText"/>
      </w:pPr>
      <w:r>
        <w:t xml:space="preserve">※ </w:t>
      </w:r>
      <w:r>
        <w:rPr>
          <w:rFonts w:hint="eastAsia"/>
        </w:rPr>
        <w:t xml:space="preserve">「アナリスト評価」列はアナリストが記入する欄です。AI評価との差異がKBの改善に直結します。</w:t>
      </w:r>
    </w:p>
    <w:p>
      <w:r>
        <w:pict>
          <v:rect style="width:0;height:1.5pt" o:hralign="center" o:hrstd="t" o:hr="t"/>
        </w:pict>
      </w:r>
    </w:p>
    <w:bookmarkEnd w:id="43"/>
    <w:bookmarkEnd w:id="44"/>
    <w:bookmarkStart w:id="46" w:name="付記-t8修正サマリー"/>
    <w:p>
      <w:pPr>
        <w:pStyle w:val="Heading2"/>
      </w:pPr>
      <w:r>
        <w:rPr>
          <w:rFonts w:hint="eastAsia"/>
        </w:rPr>
        <w:t xml:space="preserve">付記:</w:t>
      </w:r>
      <w:r>
        <w:t xml:space="preserve"> </w:t>
      </w:r>
      <w:r>
        <w:rPr>
          <w:rFonts w:hint="eastAsia"/>
        </w:rPr>
        <w:t xml:space="preserve">T8修正サマリー</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2"/>
        <w:gridCol w:w="3394"/>
        <w:gridCol w:w="2262"/>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対象</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修正種別</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内容</w:t>
            </w:r>
          </w:p>
        </w:tc>
      </w:tr>
      <w:tr>
        <w:tc>
          <w:tcPr/>
          <w:p>
            <w:pPr>
              <w:pStyle w:val="Compact"/>
            </w:pPr>
            <w:r>
              <w:rPr>
                <w:rFonts w:hint="eastAsia" w:ascii="Times New Roman" w:hAnsi="Times New Roman" w:eastAsia="游明朝"/>
                <w:sz w:val="18"/>
              </w:rPr>
              <w:t xml:space="preserve">主張#1</w:t>
            </w:r>
            <w:r>
              <w:rPr>
                <w:rFonts w:ascii="Times New Roman" w:hAnsi="Times New Roman" w:eastAsia="游明朝"/>
                <w:sz w:val="18"/>
              </w:rPr>
              <w:t xml:space="preserve"> </w:t>
            </w:r>
            <w:r>
              <w:rPr>
                <w:rFonts w:hint="eastAsia" w:ascii="Times New Roman" w:hAnsi="Times New Roman" w:eastAsia="游明朝"/>
                <w:sz w:val="18"/>
              </w:rPr>
              <w:t xml:space="preserve">CAGR接続</w:t>
            </w:r>
          </w:p>
        </w:tc>
        <w:tc>
          <w:tcPr/>
          <w:p>
            <w:pPr>
              <w:pStyle w:val="Compact"/>
            </w:pPr>
            <w:r>
              <w:rPr>
                <w:rFonts w:ascii="Times New Roman" w:hAnsi="Times New Roman" w:eastAsia="游明朝"/>
                <w:sz w:val="18"/>
              </w:rPr>
              <w:t xml:space="preserve">annotation_only</w:t>
            </w:r>
          </w:p>
        </w:tc>
        <w:tc>
          <w:tcPr/>
          <w:p>
            <w:pPr>
              <w:pStyle w:val="Compact"/>
            </w:pPr>
            <w:r>
              <w:rPr>
                <w:rFonts w:hint="eastAsia" w:ascii="Times New Roman" w:hAnsi="Times New Roman" w:eastAsia="游明朝"/>
                <w:sz w:val="18"/>
              </w:rPr>
              <w:t xml:space="preserve">CAGR内訳を分離明示（売上成長+10-12%/マージン±0%）。KB3</w:t>
            </w:r>
            <w:r>
              <w:rPr>
                <w:rFonts w:ascii="Times New Roman" w:hAnsi="Times New Roman" w:eastAsia="游明朝"/>
                <w:sz w:val="18"/>
              </w:rPr>
              <w:t xml:space="preserve"> Phase </w:t>
            </w:r>
            <w:r>
              <w:rPr>
                <w:rFonts w:hint="eastAsia" w:ascii="Times New Roman" w:hAnsi="Times New Roman" w:eastAsia="游明朝"/>
                <w:sz w:val="18"/>
              </w:rPr>
              <w:t xml:space="preserve">2詳細評価と整合</w:t>
            </w:r>
          </w:p>
        </w:tc>
      </w:tr>
      <w:tr>
        <w:tc>
          <w:tcPr/>
          <w:p>
            <w:pPr>
              <w:pStyle w:val="Compact"/>
            </w:pPr>
            <w:r>
              <w:rPr>
                <w:rFonts w:hint="eastAsia" w:ascii="Times New Roman" w:hAnsi="Times New Roman" w:eastAsia="游明朝"/>
                <w:sz w:val="18"/>
              </w:rPr>
              <w:t xml:space="preserve">主張#2</w:t>
            </w:r>
            <w:r>
              <w:rPr>
                <w:rFonts w:ascii="Times New Roman" w:hAnsi="Times New Roman" w:eastAsia="游明朝"/>
                <w:sz w:val="18"/>
              </w:rPr>
              <w:t xml:space="preserve"> </w:t>
            </w:r>
            <w:r>
              <w:rPr>
                <w:rFonts w:hint="eastAsia" w:ascii="Times New Roman" w:hAnsi="Times New Roman" w:eastAsia="游明朝"/>
                <w:sz w:val="18"/>
              </w:rPr>
              <w:t xml:space="preserve">CA評価コメント</w:t>
            </w:r>
          </w:p>
        </w:tc>
        <w:tc>
          <w:tcPr/>
          <w:p>
            <w:pPr>
              <w:pStyle w:val="Compact"/>
            </w:pPr>
            <w:r>
              <w:rPr>
                <w:rFonts w:ascii="Times New Roman" w:hAnsi="Times New Roman" w:eastAsia="游明朝"/>
                <w:sz w:val="18"/>
              </w:rPr>
              <w:t xml:space="preserve">annotation_only</w:t>
            </w:r>
          </w:p>
        </w:tc>
        <w:tc>
          <w:tcPr/>
          <w:p>
            <w:pPr>
              <w:pStyle w:val="Compact"/>
            </w:pPr>
            <w:r>
              <w:rPr>
                <w:rFonts w:hint="eastAsia" w:ascii="Times New Roman" w:hAnsi="Times New Roman" w:eastAsia="游明朝"/>
                <w:sz w:val="18"/>
              </w:rPr>
              <w:t xml:space="preserve">根源要因不足を「70%の上限条件」として明示。upside_conditionsに留めない</w:t>
            </w:r>
          </w:p>
        </w:tc>
      </w:tr>
      <w:tr>
        <w:tc>
          <w:tcPr/>
          <w:p>
            <w:pPr>
              <w:pStyle w:val="Compact"/>
            </w:pPr>
            <w:r>
              <w:rPr>
                <w:rFonts w:hint="eastAsia" w:ascii="Times New Roman" w:hAnsi="Times New Roman" w:eastAsia="游明朝"/>
                <w:sz w:val="18"/>
              </w:rPr>
              <w:t xml:space="preserve">主張#3</w:t>
            </w:r>
            <w:r>
              <w:rPr>
                <w:rFonts w:ascii="Times New Roman" w:hAnsi="Times New Roman" w:eastAsia="游明朝"/>
                <w:sz w:val="18"/>
              </w:rPr>
              <w:t xml:space="preserve"> </w:t>
            </w:r>
            <w:r>
              <w:rPr>
                <w:rFonts w:hint="eastAsia" w:ascii="Times New Roman" w:hAnsi="Times New Roman" w:eastAsia="游明朝"/>
                <w:sz w:val="18"/>
              </w:rPr>
              <w:t xml:space="preserve">CA懸念点</w:t>
            </w:r>
          </w:p>
        </w:tc>
        <w:tc>
          <w:tcPr/>
          <w:p>
            <w:pPr>
              <w:pStyle w:val="Compact"/>
            </w:pPr>
            <w:r>
              <w:rPr>
                <w:rFonts w:ascii="Times New Roman" w:hAnsi="Times New Roman" w:eastAsia="游明朝"/>
                <w:sz w:val="18"/>
              </w:rPr>
              <w:t xml:space="preserve">annotation_only</w:t>
            </w:r>
          </w:p>
        </w:tc>
        <w:tc>
          <w:tcPr/>
          <w:p>
            <w:pPr>
              <w:pStyle w:val="Compact"/>
            </w:pPr>
            <w:r>
              <w:rPr>
                <w:rFonts w:ascii="Times New Roman" w:hAnsi="Times New Roman" w:eastAsia="游明朝"/>
                <w:sz w:val="18"/>
              </w:rPr>
              <w:t xml:space="preserve">KB3 </w:t>
            </w:r>
            <w:r>
              <w:rPr>
                <w:rFonts w:hint="eastAsia" w:ascii="Times New Roman" w:hAnsi="Times New Roman" w:eastAsia="游明朝"/>
                <w:sz w:val="18"/>
              </w:rPr>
              <w:t xml:space="preserve">LLY#3の30%批判（複数メカニズムの限界）を懸念点に追記</w:t>
            </w:r>
          </w:p>
        </w:tc>
      </w:tr>
      <w:tr>
        <w:tc>
          <w:tcPr/>
          <w:p>
            <w:pPr>
              <w:pStyle w:val="Compact"/>
            </w:pPr>
            <w:r>
              <w:rPr>
                <w:rFonts w:hint="eastAsia" w:ascii="Times New Roman" w:hAnsi="Times New Roman" w:eastAsia="游明朝"/>
                <w:sz w:val="18"/>
              </w:rPr>
              <w:t xml:space="preserve">主張#4</w:t>
            </w:r>
            <w:r>
              <w:rPr>
                <w:rFonts w:ascii="Times New Roman" w:hAnsi="Times New Roman" w:eastAsia="游明朝"/>
                <w:sz w:val="18"/>
              </w:rPr>
              <w:t xml:space="preserve"> </w:t>
            </w:r>
            <w:r>
              <w:rPr>
                <w:rFonts w:hint="eastAsia" w:ascii="Times New Roman" w:hAnsi="Times New Roman" w:eastAsia="游明朝"/>
                <w:sz w:val="18"/>
              </w:rPr>
              <w:t xml:space="preserve">CA/CAGR評価</w:t>
            </w:r>
          </w:p>
        </w:tc>
        <w:tc>
          <w:tcPr/>
          <w:p>
            <w:pPr>
              <w:pStyle w:val="Compact"/>
            </w:pPr>
            <w:r>
              <w:rPr>
                <w:rFonts w:ascii="Times New Roman" w:hAnsi="Times New Roman" w:eastAsia="游明朝"/>
                <w:sz w:val="18"/>
              </w:rPr>
              <w:t xml:space="preserve">annotation_only</w:t>
            </w:r>
          </w:p>
        </w:tc>
        <w:tc>
          <w:tcPr/>
          <w:p>
            <w:pPr>
              <w:pStyle w:val="Compact"/>
            </w:pPr>
            <w:r>
              <w:rPr>
                <w:rFonts w:hint="eastAsia" w:ascii="Times New Roman" w:hAnsi="Times New Roman" w:eastAsia="游明朝"/>
                <w:sz w:val="18"/>
              </w:rPr>
              <w:t xml:space="preserve">デュオポリー持続性リスクの条件付きアノテーション追加（リスク顕在化時50%に低下）</w:t>
            </w:r>
          </w:p>
        </w:tc>
      </w:tr>
      <w:tr>
        <w:tc>
          <w:tcPr/>
          <w:p>
            <w:pPr>
              <w:pStyle w:val="Compact"/>
            </w:pPr>
            <w:r>
              <w:rPr>
                <w:rFonts w:hint="eastAsia" w:ascii="Times New Roman" w:hAnsi="Times New Roman" w:eastAsia="游明朝"/>
                <w:sz w:val="18"/>
              </w:rPr>
              <w:t xml:space="preserve">主張#5</w:t>
            </w:r>
            <w:r>
              <w:rPr>
                <w:rFonts w:ascii="Times New Roman" w:hAnsi="Times New Roman" w:eastAsia="游明朝"/>
                <w:sz w:val="18"/>
              </w:rPr>
              <w:t xml:space="preserve"> </w:t>
            </w:r>
            <w:r>
              <w:rPr>
                <w:rFonts w:hint="eastAsia" w:ascii="Times New Roman" w:hAnsi="Times New Roman" w:eastAsia="游明朝"/>
                <w:sz w:val="18"/>
              </w:rPr>
              <w:t xml:space="preserve">CAGR接続</w:t>
            </w:r>
          </w:p>
        </w:tc>
        <w:tc>
          <w:tcPr/>
          <w:p>
            <w:pPr>
              <w:pStyle w:val="Compact"/>
            </w:pPr>
            <w:r>
              <w:rPr>
                <w:rFonts w:ascii="Times New Roman" w:hAnsi="Times New Roman" w:eastAsia="游明朝"/>
                <w:sz w:val="18"/>
              </w:rPr>
              <w:t xml:space="preserve">annotation_only</w:t>
            </w:r>
          </w:p>
        </w:tc>
        <w:tc>
          <w:tcPr/>
          <w:p>
            <w:pPr>
              <w:pStyle w:val="Compact"/>
            </w:pPr>
            <w:r>
              <w:rPr>
                <w:rFonts w:hint="eastAsia" w:ascii="Times New Roman" w:hAnsi="Times New Roman" w:eastAsia="游明朝"/>
                <w:sz w:val="18"/>
              </w:rPr>
              <w:t xml:space="preserve">CVS事例によるPBM粘着性無効化リスクの条件付きアノテーション追加</w:t>
            </w:r>
          </w:p>
        </w:tc>
      </w:tr>
      <w:tr>
        <w:tc>
          <w:tcPr/>
          <w:p>
            <w:pPr>
              <w:pStyle w:val="Compact"/>
            </w:pPr>
            <w:r>
              <w:rPr>
                <w:rFonts w:hint="eastAsia" w:ascii="Times New Roman" w:hAnsi="Times New Roman" w:eastAsia="游明朝"/>
                <w:sz w:val="18"/>
              </w:rPr>
              <w:t xml:space="preserve">主張#6</w:t>
            </w:r>
            <w:r>
              <w:rPr>
                <w:rFonts w:ascii="Times New Roman" w:hAnsi="Times New Roman" w:eastAsia="游明朝"/>
                <w:sz w:val="18"/>
              </w:rPr>
              <w:t xml:space="preserve"> </w:t>
            </w:r>
            <w:r>
              <w:rPr>
                <w:rFonts w:hint="eastAsia" w:ascii="Times New Roman" w:hAnsi="Times New Roman" w:eastAsia="游明朝"/>
                <w:sz w:val="18"/>
              </w:rPr>
              <w:t xml:space="preserve">CAGR接続</w:t>
            </w:r>
          </w:p>
        </w:tc>
        <w:tc>
          <w:tcPr/>
          <w:p>
            <w:pPr>
              <w:pStyle w:val="Compact"/>
            </w:pPr>
            <w:r>
              <w:rPr>
                <w:rFonts w:ascii="Times New Roman" w:hAnsi="Times New Roman" w:eastAsia="游明朝"/>
                <w:sz w:val="18"/>
              </w:rPr>
              <w:t xml:space="preserve">annotation_only</w:t>
            </w:r>
          </w:p>
        </w:tc>
        <w:tc>
          <w:tcPr/>
          <w:p>
            <w:pPr>
              <w:pStyle w:val="Compact"/>
            </w:pPr>
            <w:r>
              <w:rPr>
                <w:rFonts w:hint="eastAsia" w:ascii="Times New Roman" w:hAnsi="Times New Roman" w:eastAsia="游明朝"/>
                <w:sz w:val="18"/>
              </w:rPr>
              <w:t xml:space="preserve">dogma掛け算方針（CA</w:t>
            </w:r>
            <w:r>
              <w:rPr>
                <w:rFonts w:ascii="Times New Roman" w:hAnsi="Times New Roman" w:eastAsia="游明朝"/>
                <w:sz w:val="18"/>
              </w:rPr>
              <w:t xml:space="preserve"> x CAGR = </w:t>
            </w:r>
            <w:r>
              <w:rPr>
                <w:rFonts w:hint="eastAsia" w:ascii="Times New Roman" w:hAnsi="Times New Roman" w:eastAsia="游明朝"/>
                <w:sz w:val="18"/>
              </w:rPr>
              <w:t xml:space="preserve">15%相当）の注記追加</w:t>
            </w:r>
          </w:p>
        </w:tc>
      </w:tr>
    </w:tbl>
    <w:bookmarkStart w:id="45" w:name="修正種別の定義"/>
    <w:p>
      <w:pPr>
        <w:pStyle w:val="Heading3"/>
      </w:pPr>
      <w:r>
        <w:rPr>
          <w:rFonts w:hint="eastAsia"/>
        </w:rPr>
        <w:t xml:space="preserve">修正種別の定義</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修正種別</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説明</w:t>
            </w:r>
          </w:p>
        </w:tc>
      </w:tr>
      <w:tr>
        <w:tc>
          <w:tcPr/>
          <w:p>
            <w:pPr>
              <w:pStyle w:val="Compact"/>
            </w:pPr>
            <w:r>
              <w:rPr>
                <w:rStyle w:val="VerbatimChar"/>
                <w:rFonts w:ascii="Times New Roman" w:hAnsi="Times New Roman" w:eastAsia="游明朝"/>
                <w:sz w:val="18"/>
              </w:rPr>
              <w:t xml:space="preserve">confidence_adjustment</w:t>
            </w:r>
          </w:p>
        </w:tc>
        <w:tc>
          <w:tcPr/>
          <w:p>
            <w:pPr>
              <w:pStyle w:val="Compact"/>
            </w:pPr>
            <w:r>
              <w:rPr>
                <w:rFonts w:ascii="Times New Roman" w:hAnsi="Times New Roman" w:eastAsia="游明朝"/>
                <w:sz w:val="18"/>
              </w:rPr>
              <w:t xml:space="preserve">confidence </w:t>
            </w:r>
            <w:r>
              <w:rPr>
                <w:rFonts w:hint="eastAsia" w:ascii="Times New Roman" w:hAnsi="Times New Roman" w:eastAsia="游明朝"/>
                <w:sz w:val="18"/>
              </w:rPr>
              <w:t xml:space="preserve">値の変更（即座</w:t>
            </w:r>
            <w:r>
              <w:rPr>
                <w:rFonts w:ascii="Times New Roman" w:hAnsi="Times New Roman" w:eastAsia="游明朝"/>
                <w:sz w:val="18"/>
              </w:rPr>
              <w:t xml:space="preserve"> or </w:t>
            </w:r>
            <w:r>
              <w:rPr>
                <w:rFonts w:hint="eastAsia" w:ascii="Times New Roman" w:hAnsi="Times New Roman" w:eastAsia="游明朝"/>
                <w:sz w:val="18"/>
              </w:rPr>
              <w:t xml:space="preserve">条件付き）</w:t>
            </w:r>
          </w:p>
        </w:tc>
      </w:tr>
      <w:tr>
        <w:tc>
          <w:tcPr/>
          <w:p>
            <w:pPr>
              <w:pStyle w:val="Compact"/>
            </w:pPr>
            <w:r>
              <w:rPr>
                <w:rStyle w:val="VerbatimChar"/>
                <w:rFonts w:ascii="Times New Roman" w:hAnsi="Times New Roman" w:eastAsia="游明朝"/>
                <w:sz w:val="18"/>
              </w:rPr>
              <w:t xml:space="preserve">annotation_only</w:t>
            </w:r>
          </w:p>
        </w:tc>
        <w:tc>
          <w:tcPr/>
          <w:p>
            <w:pPr>
              <w:pStyle w:val="Compact"/>
            </w:pPr>
            <w:r>
              <w:rPr>
                <w:rFonts w:ascii="Times New Roman" w:hAnsi="Times New Roman" w:eastAsia="游明朝"/>
                <w:sz w:val="18"/>
              </w:rPr>
              <w:t xml:space="preserve">confidence </w:t>
            </w:r>
            <w:r>
              <w:rPr>
                <w:rFonts w:hint="eastAsia" w:ascii="Times New Roman" w:hAnsi="Times New Roman" w:eastAsia="游明朝"/>
                <w:sz w:val="18"/>
              </w:rPr>
              <w:t xml:space="preserve">値は維持し、注記・留意点を追加</w:t>
            </w:r>
          </w:p>
        </w:tc>
      </w:tr>
      <w:tr>
        <w:tc>
          <w:tcPr/>
          <w:p>
            <w:pPr>
              <w:pStyle w:val="Compact"/>
            </w:pPr>
            <w:r>
              <w:rPr>
                <w:rStyle w:val="VerbatimChar"/>
                <w:rFonts w:ascii="Times New Roman" w:hAnsi="Times New Roman" w:eastAsia="游明朝"/>
                <w:sz w:val="18"/>
              </w:rPr>
              <w:t xml:space="preserve">consistency_fix</w:t>
            </w:r>
          </w:p>
        </w:tc>
        <w:tc>
          <w:tcPr/>
          <w:p>
            <w:pPr>
              <w:pStyle w:val="Compact"/>
            </w:pPr>
            <w:r>
              <w:rPr>
                <w:rFonts w:hint="eastAsia" w:ascii="Times New Roman" w:hAnsi="Times New Roman" w:eastAsia="游明朝"/>
                <w:sz w:val="18"/>
              </w:rPr>
              <w:t xml:space="preserve">コメント文と</w:t>
            </w:r>
            <w:r>
              <w:rPr>
                <w:rFonts w:ascii="Times New Roman" w:hAnsi="Times New Roman" w:eastAsia="游明朝"/>
                <w:sz w:val="18"/>
              </w:rPr>
              <w:t xml:space="preserve"> confidence </w:t>
            </w:r>
            <w:r>
              <w:rPr>
                <w:rFonts w:hint="eastAsia" w:ascii="Times New Roman" w:hAnsi="Times New Roman" w:eastAsia="游明朝"/>
                <w:sz w:val="18"/>
              </w:rPr>
              <w:t xml:space="preserve">値の矛盾を修正</w:t>
            </w:r>
          </w:p>
        </w:tc>
      </w:tr>
    </w:tbl>
    <w:p>
      <w:r>
        <w:pict>
          <v:rect style="width:0;height:1.5pt" o:hralign="center" o:hrstd="t" o:hr="t"/>
        </w:pict>
      </w:r>
    </w:p>
    <w:p>
      <w:pPr>
        <w:pStyle w:val="FirstParagraph"/>
      </w:pPr>
      <w:r>
        <w:rPr>
          <w:i/>
          <w:iCs/>
        </w:rPr>
        <w:t xml:space="preserve">このレポートはT8 </w:t>
      </w:r>
      <w:r>
        <w:rPr>
          <w:rFonts w:hint="eastAsia"/>
          <w:i/>
          <w:iCs/>
        </w:rPr>
        <w:t xml:space="preserve">AI批判プロセス（critique.json参照）を適用した最終版です。</w:t>
      </w:r>
    </w:p>
    <w:bookmarkEnd w:id="45"/>
    <w:bookmarkEnd w:id="46"/>
    <w:bookmarkEnd w:id="47"/>
    <w:sectPr>
      <w:footnotePr>
        <w:numRestart w:val="eachSect"/>
      </w:footnotePr>
      <w:pgMar w:bottom="850" w:left="850" w:right="850" w:top="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asciiTheme="minorHAnsi" w:cstheme="minorBidi" w:eastAsia="游明朝" w:eastAsiaTheme="minorEastAsia" w:hAnsi="Times New Roman" w:hAnsiTheme="minorHAnsi"/>
        <w:sz w:val="21"/>
        <w:szCs w:val="21"/>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eastAsia="游明朝" w:hAnsi="Times New Roman"/>
      <w:sz w:val="21"/>
    </w:rPr>
  </w:style>
  <w:style w:styleId="BodyText" w:type="paragraph">
    <w:name w:val="Body Text"/>
    <w:basedOn w:val="Normal"/>
    <w:link w:val="BodyTextChar"/>
    <w:qFormat/>
    <w:pPr>
      <w:spacing w:after="180" w:before="180"/>
    </w:pPr>
    <w:rPr>
      <w:rFonts w:ascii="Times New Roman" w:eastAsia="游明朝" w:hAnsi="Times New Roman"/>
      <w:sz w:val="21"/>
    </w:rPr>
  </w:style>
  <w:style w:customStyle="1" w:styleId="FirstParagraph" w:type="paragraph">
    <w:name w:val="First Paragraph"/>
    <w:basedOn w:val="BodyText"/>
    <w:next w:val="BodyText"/>
    <w:qFormat/>
    <w:rPr>
      <w:rFonts w:ascii="Times New Roman" w:eastAsia="游明朝" w:hAnsi="Times New Roman"/>
      <w:sz w:val="21"/>
    </w:rPr>
  </w:style>
  <w:style w:customStyle="1" w:styleId="Compact" w:type="paragraph">
    <w:name w:val="Compact"/>
    <w:basedOn w:val="BodyText"/>
    <w:qFormat/>
    <w:pPr>
      <w:spacing w:after="36" w:before="36"/>
    </w:pPr>
    <w:rPr>
      <w:rFonts w:ascii="Times New Roman" w:eastAsia="游明朝" w:hAnsi="Times New Roman"/>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asciiTheme="majorHAnsi" w:cstheme="majorBidi" w:eastAsia="游明朝" w:eastAsiaTheme="majorEastAsia" w:hAnsi="Times New Roman" w:hAnsiTheme="majorHAnsi"/>
      <w:b/>
      <w:color w:themeColor="accent1" w:themeShade="BF" w:val="0F4761"/>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asciiTheme="majorHAnsi" w:cstheme="majorBidi" w:eastAsia="游明朝" w:eastAsiaTheme="majorEastAsia" w:hAnsi="Times New Roman" w:hAnsiTheme="majorHAnsi"/>
      <w:b/>
      <w:color w:themeColor="accent1" w:themeShade="BF" w:val="0F4761"/>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heme="majorBidi" w:eastAsia="游明朝" w:eastAsiaTheme="majorEastAsia" w:hAnsi="Times New Roman"/>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heme="majorBidi" w:eastAsia="游明朝" w:eastAsiaTheme="majorEastAsia" w:hAnsi="Times New Roman"/>
      <w:b/>
      <w:i/>
      <w:iCs/>
      <w:color w:themeColor="accent1" w:themeShade="BF" w:val="0F4761"/>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heme="majorBidi" w:eastAsia="游明朝" w:eastAsiaTheme="majorEastAsia" w:hAnsi="Times New Roman"/>
      <w:b/>
      <w:color w:themeColor="accent1" w:themeShade="BF" w:val="0F4761"/>
      <w:sz w:val="2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eastAsia="游明朝" w:hAnsi="Times New Roman"/>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eastAsia="游明朝"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2026-02-27T01:40:20Z</dcterms:created>
  <dcterms:modified xsi:type="dcterms:W3CDTF">2026-02-27T01:40:20Z</dcterms:modified>
</cp:coreProperties>
</file>

<file path=docProps/custom.xml><?xml version="1.0" encoding="utf-8"?>
<Properties xmlns="http://schemas.openxmlformats.org/officeDocument/2006/custom-properties" xmlns:vt="http://schemas.openxmlformats.org/officeDocument/2006/docPropsVTypes"/>
</file>