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nstmonster-beverage-corp競争優位性評価レポート最終版"/>
    <w:p>
      <w:pPr>
        <w:pStyle w:val="Heading1"/>
      </w:pPr>
      <w:r>
        <w:rPr>
          <w:rFonts w:hint="eastAsia"/>
        </w:rPr>
        <w:t xml:space="preserve">MNST（Monster</w:t>
      </w:r>
      <w:r>
        <w:t xml:space="preserve"> Beverage </w:t>
      </w:r>
      <w:r>
        <w:rPr>
          <w:rFonts w:hint="eastAsia"/>
        </w:rPr>
        <w:t xml:space="preserve">Corp）競争優位性評価レポート（最終版）</w:t>
      </w:r>
    </w:p>
    <w:p>
      <w:pPr>
        <w:pStyle w:val="BlockText"/>
      </w:pPr>
      <w:r>
        <w:rPr>
          <w:b/>
          <w:bCs/>
        </w:rPr>
        <w:t xml:space="preserve">リサーチID</w:t>
      </w:r>
      <w:r>
        <w:t xml:space="preserve">: CA_eval_20260226-2000_MNST</w:t>
      </w:r>
      <w:r>
        <w:t xml:space="preserve"> </w:t>
      </w:r>
      <w:r>
        <w:rPr>
          <w:rFonts w:hint="eastAsia"/>
          <w:b/>
          <w:bCs/>
        </w:rPr>
        <w:t xml:space="preserve">作成日</w:t>
      </w:r>
      <w:r>
        <w:t xml:space="preserve">: 2026-02-26</w:t>
      </w:r>
      <w:r>
        <w:t xml:space="preserve"> </w:t>
      </w:r>
      <w:r>
        <w:rPr>
          <w:b/>
          <w:bCs/>
        </w:rPr>
        <w:t xml:space="preserve">バージョン</w:t>
      </w:r>
      <w:r>
        <w:t xml:space="preserve">: </w:t>
      </w:r>
      <w:r>
        <w:rPr>
          <w:rFonts w:hint="eastAsia"/>
        </w:rPr>
        <w:t xml:space="preserve">revised_v1（T8</w:t>
      </w:r>
      <w:r>
        <w:t xml:space="preserve"> </w:t>
      </w:r>
      <w:r>
        <w:rPr>
          <w:rFonts w:hint="eastAsia"/>
        </w:rPr>
        <w:t xml:space="preserve">AI批判プロセス適用済み）</w:t>
      </w:r>
      <w:r>
        <w:t xml:space="preserve"> </w:t>
      </w:r>
      <w:r>
        <w:rPr>
          <w:rFonts w:hint="eastAsia"/>
          <w:b/>
          <w:bCs/>
        </w:rPr>
        <w:t xml:space="preserve">評価者</w:t>
      </w:r>
      <w:r>
        <w:t xml:space="preserve">: ca-eval </w:t>
      </w:r>
      <w:r>
        <w:rPr>
          <w:rFonts w:hint="eastAsia"/>
        </w:rPr>
        <w:t xml:space="preserve">ワークフロー（Lead直接実行）</w:t>
      </w:r>
      <w:r>
        <w:t xml:space="preserve"> </w:t>
      </w:r>
      <w:r>
        <w:rPr>
          <w:b/>
          <w:bCs/>
        </w:rPr>
        <w:t xml:space="preserve">データソース</w:t>
      </w:r>
      <w:r>
        <w:t xml:space="preserve">: SEC EDGAR (MCP, partial), </w:t>
      </w:r>
      <w:r>
        <w:rPr>
          <w:rFonts w:hint="eastAsia"/>
        </w:rPr>
        <w:t xml:space="preserve">アナリストレポート（analyst/raw/MNST</w:t>
      </w:r>
      <w:r>
        <w:t xml:space="preserve"> </w:t>
      </w:r>
      <w:r>
        <w:rPr>
          <w:rFonts w:hint="eastAsia"/>
        </w:rPr>
        <w:t xml:space="preserve">US.md）</w:t>
      </w:r>
      <w:r>
        <w:t xml:space="preserve"> </w:t>
      </w:r>
      <w:r>
        <w:rPr>
          <w:b/>
          <w:bCs/>
        </w:rPr>
        <w:t xml:space="preserve">KBバージョン</w:t>
      </w:r>
      <w:r>
        <w:t xml:space="preserve">: </w:t>
      </w:r>
      <w:r>
        <w:rPr>
          <w:rFonts w:hint="eastAsia"/>
        </w:rPr>
        <w:t xml:space="preserve">v1.0（2026-02-26</w:t>
      </w:r>
      <w:r>
        <w:t xml:space="preserve"> </w:t>
      </w:r>
      <w:r>
        <w:rPr>
          <w:rFonts w:hint="eastAsia"/>
        </w:rPr>
        <w:t xml:space="preserve">アナリスト検証済み）</w:t>
      </w:r>
      <w:r>
        <w:t xml:space="preserve"> </w:t>
      </w:r>
      <w:r>
        <w:rPr>
          <w:rFonts w:hint="eastAsia"/>
          <w:b/>
          <w:bCs/>
        </w:rPr>
        <w:t xml:space="preserve">T8適用</w:t>
      </w:r>
      <w:r>
        <w:t xml:space="preserve">: </w:t>
      </w:r>
      <w:r>
        <w:rPr>
          <w:rFonts w:hint="eastAsia"/>
        </w:rPr>
        <w:t xml:space="preserve">critique.json（critical</w:t>
      </w:r>
      <w:r>
        <w:t xml:space="preserve"> x </w:t>
      </w:r>
      <w:r>
        <w:rPr>
          <w:rFonts w:hint="eastAsia"/>
        </w:rPr>
        <w:t xml:space="preserve">1件、minor</w:t>
      </w:r>
      <w:r>
        <w:t xml:space="preserve"> x </w:t>
      </w:r>
      <w:r>
        <w:rPr>
          <w:rFonts w:hint="eastAsia"/>
        </w:rPr>
        <w:t xml:space="preserve">4件）の指摘を反映済み</w:t>
      </w:r>
    </w:p>
    <w:p>
      <w:r>
        <w:pict>
          <v:rect style="width:0;height:1.5pt" o:hralign="center" o:hrstd="t" o:hr="t"/>
        </w:pict>
      </w:r>
    </w:p>
    <w:bookmarkStart w:id="10" w:name="銘柄概要"/>
    <w:p>
      <w:pPr>
        <w:pStyle w:val="Heading2"/>
      </w:pPr>
      <w:r>
        <w:t xml:space="preserve">1. </w:t>
      </w:r>
      <w:r>
        <w:rPr>
          <w:rFonts w:hint="eastAsia"/>
        </w:rPr>
        <w:t xml:space="preserve">銘柄概要</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ascii="Times New Roman" w:hAnsi="Times New Roman" w:eastAsia="游明朝"/>
                <w:sz w:val="18"/>
              </w:rPr>
              <w:t xml:space="preserve">ティッカー</w:t>
            </w:r>
          </w:p>
        </w:tc>
        <w:tc>
          <w:tcPr/>
          <w:p>
            <w:pPr>
              <w:pStyle w:val="Compact"/>
            </w:pPr>
            <w:r>
              <w:rPr>
                <w:rFonts w:ascii="Times New Roman" w:hAnsi="Times New Roman" w:eastAsia="游明朝"/>
                <w:sz w:val="18"/>
              </w:rPr>
              <w:t xml:space="preserve">MNST</w:t>
            </w:r>
          </w:p>
        </w:tc>
      </w:tr>
      <w:tr>
        <w:tc>
          <w:tcPr/>
          <w:p>
            <w:pPr>
              <w:pStyle w:val="Compact"/>
            </w:pPr>
            <w:r>
              <w:rPr>
                <w:rFonts w:hint="eastAsia" w:ascii="Times New Roman" w:hAnsi="Times New Roman" w:eastAsia="游明朝"/>
                <w:sz w:val="18"/>
              </w:rPr>
              <w:t xml:space="preserve">企業名</w:t>
            </w:r>
          </w:p>
        </w:tc>
        <w:tc>
          <w:tcPr/>
          <w:p>
            <w:pPr>
              <w:pStyle w:val="Compact"/>
            </w:pPr>
            <w:r>
              <w:rPr>
                <w:rFonts w:ascii="Times New Roman" w:hAnsi="Times New Roman" w:eastAsia="游明朝"/>
                <w:sz w:val="18"/>
              </w:rPr>
              <w:t xml:space="preserve">Monster Beverage Corp</w:t>
            </w:r>
          </w:p>
        </w:tc>
      </w:tr>
      <w:tr>
        <w:tc>
          <w:tcPr/>
          <w:p>
            <w:pPr>
              <w:pStyle w:val="Compact"/>
            </w:pPr>
            <w:r>
              <w:rPr>
                <w:rFonts w:ascii="Times New Roman" w:hAnsi="Times New Roman" w:eastAsia="游明朝"/>
                <w:sz w:val="18"/>
              </w:rPr>
              <w:t xml:space="preserve">セクター</w:t>
            </w:r>
          </w:p>
        </w:tc>
        <w:tc>
          <w:tcPr/>
          <w:p>
            <w:pPr>
              <w:pStyle w:val="Compact"/>
            </w:pPr>
            <w:r>
              <w:rPr>
                <w:rFonts w:hint="eastAsia" w:ascii="Times New Roman" w:hAnsi="Times New Roman" w:eastAsia="游明朝"/>
                <w:sz w:val="18"/>
              </w:rPr>
              <w:t xml:space="preserve">消費財（飲料）</w:t>
            </w:r>
          </w:p>
        </w:tc>
      </w:tr>
      <w:tr>
        <w:tc>
          <w:tcPr/>
          <w:p>
            <w:pPr>
              <w:pStyle w:val="Compact"/>
            </w:pPr>
            <w:r>
              <w:rPr>
                <w:rFonts w:hint="eastAsia" w:ascii="Times New Roman" w:hAnsi="Times New Roman" w:eastAsia="游明朝"/>
                <w:sz w:val="18"/>
              </w:rPr>
              <w:t xml:space="preserve">主要事業</w:t>
            </w:r>
          </w:p>
        </w:tc>
        <w:tc>
          <w:tcPr/>
          <w:p>
            <w:pPr>
              <w:pStyle w:val="Compact"/>
            </w:pPr>
            <w:r>
              <w:rPr>
                <w:rFonts w:hint="eastAsia" w:ascii="Times New Roman" w:hAnsi="Times New Roman" w:eastAsia="游明朝"/>
                <w:sz w:val="18"/>
              </w:rPr>
              <w:t xml:space="preserve">エナジードリンク製造・販売（Monster,</w:t>
            </w:r>
            <w:r>
              <w:rPr>
                <w:rFonts w:ascii="Times New Roman" w:hAnsi="Times New Roman" w:eastAsia="游明朝"/>
                <w:sz w:val="18"/>
              </w:rPr>
              <w:t xml:space="preserve"> Ultra, Reign, Bang, Burn, </w:t>
            </w:r>
            <w:r>
              <w:rPr>
                <w:rFonts w:hint="eastAsia" w:ascii="Times New Roman" w:hAnsi="Times New Roman" w:eastAsia="游明朝"/>
                <w:sz w:val="18"/>
              </w:rPr>
              <w:t xml:space="preserve">Predator等）</w:t>
            </w:r>
          </w:p>
        </w:tc>
      </w:tr>
      <w:tr>
        <w:tc>
          <w:tcPr/>
          <w:p>
            <w:pPr>
              <w:pStyle w:val="Compact"/>
            </w:pPr>
            <w:r>
              <w:rPr>
                <w:rFonts w:hint="eastAsia" w:ascii="Times New Roman" w:hAnsi="Times New Roman" w:eastAsia="游明朝"/>
                <w:sz w:val="18"/>
              </w:rPr>
              <w:t xml:space="preserve">米国市場シェア</w:t>
            </w:r>
          </w:p>
        </w:tc>
        <w:tc>
          <w:tcPr/>
          <w:p>
            <w:pPr>
              <w:pStyle w:val="Compact"/>
            </w:pPr>
            <w:r>
              <w:rPr>
                <w:rFonts w:hint="eastAsia" w:ascii="Times New Roman" w:hAnsi="Times New Roman" w:eastAsia="游明朝"/>
                <w:sz w:val="18"/>
              </w:rPr>
              <w:t xml:space="preserve">約37%（FY22、RedBullと拮抗）</w:t>
            </w:r>
          </w:p>
        </w:tc>
      </w:tr>
      <w:tr>
        <w:tc>
          <w:tcPr/>
          <w:p>
            <w:pPr>
              <w:pStyle w:val="Compact"/>
            </w:pPr>
            <w:r>
              <w:rPr>
                <w:rFonts w:hint="eastAsia" w:ascii="Times New Roman" w:hAnsi="Times New Roman" w:eastAsia="游明朝"/>
                <w:sz w:val="18"/>
              </w:rPr>
              <w:t xml:space="preserve">グローバル市場シェア</w:t>
            </w:r>
          </w:p>
        </w:tc>
        <w:tc>
          <w:tcPr/>
          <w:p>
            <w:pPr>
              <w:pStyle w:val="Compact"/>
            </w:pPr>
            <w:r>
              <w:rPr>
                <w:rFonts w:hint="eastAsia" w:ascii="Times New Roman" w:hAnsi="Times New Roman" w:eastAsia="游明朝"/>
                <w:sz w:val="18"/>
              </w:rPr>
              <w:t xml:space="preserve">約13%（RedBull約37%に対し成長余地）</w:t>
            </w:r>
          </w:p>
        </w:tc>
      </w:tr>
      <w:tr>
        <w:tc>
          <w:tcPr/>
          <w:p>
            <w:pPr>
              <w:pStyle w:val="Compact"/>
            </w:pPr>
            <w:r>
              <w:rPr>
                <w:rFonts w:hint="eastAsia" w:ascii="Times New Roman" w:hAnsi="Times New Roman" w:eastAsia="游明朝"/>
                <w:sz w:val="18"/>
              </w:rPr>
              <w:t xml:space="preserve">KO出資比率</w:t>
            </w:r>
          </w:p>
        </w:tc>
        <w:tc>
          <w:tcPr/>
          <w:p>
            <w:pPr>
              <w:pStyle w:val="Compact"/>
            </w:pPr>
            <w:r>
              <w:rPr>
                <w:rFonts w:hint="eastAsia" w:ascii="Times New Roman" w:hAnsi="Times New Roman" w:eastAsia="游明朝"/>
                <w:sz w:val="18"/>
              </w:rPr>
              <w:t xml:space="preserve">19.63%（2015年以降のパートナーシップ）</w:t>
            </w:r>
          </w:p>
        </w:tc>
      </w:tr>
      <w:tr>
        <w:tc>
          <w:tcPr/>
          <w:p>
            <w:pPr>
              <w:pStyle w:val="Compact"/>
            </w:pPr>
            <w:r>
              <w:rPr>
                <w:rFonts w:hint="eastAsia" w:ascii="Times New Roman" w:hAnsi="Times New Roman" w:eastAsia="游明朝"/>
                <w:sz w:val="18"/>
              </w:rPr>
              <w:t xml:space="preserve">投資判断推移</w:t>
            </w:r>
          </w:p>
        </w:tc>
        <w:tc>
          <w:tcPr/>
          <w:p>
            <w:pPr>
              <w:pStyle w:val="Compact"/>
            </w:pPr>
            <w:r>
              <w:rPr>
                <w:rFonts w:hint="eastAsia" w:ascii="Times New Roman" w:hAnsi="Times New Roman" w:eastAsia="游明朝"/>
                <w:sz w:val="18"/>
              </w:rPr>
              <w:t xml:space="preserve">BUY（2023/12）→</w:t>
            </w:r>
            <w:r>
              <w:rPr>
                <w:rFonts w:ascii="Times New Roman" w:hAnsi="Times New Roman" w:eastAsia="游明朝"/>
                <w:sz w:val="18"/>
              </w:rPr>
              <w:t xml:space="preserve"> </w:t>
            </w:r>
            <w:r>
              <w:rPr>
                <w:rFonts w:hint="eastAsia" w:ascii="Times New Roman" w:hAnsi="Times New Roman" w:eastAsia="游明朝"/>
                <w:sz w:val="18"/>
              </w:rPr>
              <w:t xml:space="preserve">SELL（2024/10）</w:t>
            </w:r>
          </w:p>
        </w:tc>
      </w:tr>
      <w:tr>
        <w:tc>
          <w:tcPr/>
          <w:p>
            <w:pPr>
              <w:pStyle w:val="Compact"/>
            </w:pPr>
            <w:r>
              <w:rPr>
                <w:rFonts w:hint="eastAsia" w:ascii="Times New Roman" w:hAnsi="Times New Roman" w:eastAsia="游明朝"/>
                <w:sz w:val="18"/>
              </w:rPr>
              <w:t xml:space="preserve">CAGR推定</w:t>
            </w:r>
          </w:p>
        </w:tc>
        <w:tc>
          <w:tcPr/>
          <w:p>
            <w:pPr>
              <w:pStyle w:val="Compact"/>
            </w:pPr>
            <w:r>
              <w:rPr>
                <w:rFonts w:hint="eastAsia" w:ascii="Times New Roman" w:hAnsi="Times New Roman" w:eastAsia="游明朝"/>
                <w:sz w:val="18"/>
              </w:rPr>
              <w:t xml:space="preserve">+10%（売上+8%+営業レバ0%+自社株買い/MA+2%）</w:t>
            </w:r>
          </w:p>
        </w:tc>
      </w:tr>
    </w:tbl>
    <w:bookmarkStart w:id="9" w:name="投資判断推移"/>
    <w:p>
      <w:pPr>
        <w:pStyle w:val="Heading3"/>
      </w:pPr>
      <w:r>
        <w:rPr>
          <w:rFonts w:hint="eastAsia"/>
        </w:rPr>
        <w:t xml:space="preserve">投資判断推移</w:t>
      </w:r>
    </w:p>
    <w:p>
      <w:pPr>
        <w:pStyle w:val="Compact"/>
        <w:numPr>
          <w:ilvl w:val="0"/>
          <w:numId w:val="1001"/>
        </w:numPr>
      </w:pPr>
      <w:r>
        <w:rPr>
          <w:rFonts w:hint="eastAsia"/>
          <w:b/>
          <w:bCs/>
        </w:rPr>
        <w:t xml:space="preserve">2023年12月15日</w:t>
      </w:r>
      <w:r>
        <w:t xml:space="preserve">: </w:t>
      </w:r>
      <w:r>
        <w:rPr>
          <w:rFonts w:hint="eastAsia"/>
        </w:rPr>
        <w:t xml:space="preserve">新規BUY推奨。強力なブランド力、KOのWW販路活用、海外成長余地を評価。</w:t>
      </w:r>
    </w:p>
    <w:p>
      <w:pPr>
        <w:pStyle w:val="Compact"/>
        <w:numPr>
          <w:ilvl w:val="0"/>
          <w:numId w:val="1001"/>
        </w:numPr>
      </w:pPr>
      <w:r>
        <w:rPr>
          <w:rFonts w:hint="eastAsia"/>
          <w:b/>
          <w:bCs/>
        </w:rPr>
        <w:t xml:space="preserve">2024年10月25日</w:t>
      </w:r>
      <w:r>
        <w:t xml:space="preserve">: </w:t>
      </w:r>
      <w:r>
        <w:rPr>
          <w:rFonts w:hint="eastAsia"/>
        </w:rPr>
        <w:t xml:space="preserve">SELLへ転換。米国低所得者層消費悪化、コンビニ来客数減少、RedBull旗艦ブランド対比での劣後、値上げ懸念が主因。</w:t>
      </w:r>
    </w:p>
    <w:p>
      <w:r>
        <w:pict>
          <v:rect style="width:0;height:1.5pt" o:hralign="center" o:hrstd="t" o:hr="t"/>
        </w:pict>
      </w:r>
    </w:p>
    <w:bookmarkEnd w:id="9"/>
    <w:bookmarkEnd w:id="10"/>
    <w:bookmarkStart w:id="11" w:name="競争優位性評価サマリー"/>
    <w:p>
      <w:pPr>
        <w:pStyle w:val="Heading2"/>
      </w:pPr>
      <w:r>
        <w:t xml:space="preserve">2. </w:t>
      </w:r>
      <w:r>
        <w:rPr>
          <w:rFonts w:hint="eastAsia"/>
        </w:rPr>
        <w:t xml:space="preserve">競争優位性評価サマリー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1080"/>
        <w:gridCol w:w="1440"/>
        <w:gridCol w:w="1620"/>
        <w:gridCol w:w="1620"/>
        <w:gridCol w:w="162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主張</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CAGR接続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主な根拠</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主な課題</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ブランド力と二強構造</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50%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CAGR毀損の具体的分析補足]</w:t>
            </w:r>
          </w:p>
        </w:tc>
        <w:tc>
          <w:tcPr/>
          <w:p>
            <w:pPr>
              <w:pStyle w:val="Compact"/>
            </w:pPr>
            <w:r>
              <w:rPr>
                <w:rFonts w:hint="eastAsia" w:ascii="Times New Roman" w:hAnsi="Times New Roman" w:eastAsia="游明朝"/>
                <w:sz w:val="18"/>
              </w:rPr>
              <w:t xml:space="preserve">シェア37%、二強=70-85%</w:t>
            </w:r>
          </w:p>
        </w:tc>
        <w:tc>
          <w:tcPr/>
          <w:p>
            <w:pPr>
              <w:pStyle w:val="Compact"/>
            </w:pPr>
            <w:r>
              <w:rPr>
                <w:rFonts w:hint="eastAsia" w:ascii="Times New Roman" w:hAnsi="Times New Roman" w:eastAsia="游明朝"/>
                <w:sz w:val="18"/>
              </w:rPr>
              <w:t xml:space="preserve">シェア=結果（ルール1）、背後要因不足</w:t>
            </w:r>
          </w:p>
        </w:tc>
      </w:tr>
      <w:tr>
        <w:tc>
          <w:tcPr/>
          <w:p>
            <w:pPr>
              <w:pStyle w:val="Compact"/>
            </w:pPr>
            <w:r>
              <w:rPr>
                <w:rFonts w:ascii="Times New Roman" w:hAnsi="Times New Roman" w:eastAsia="游明朝"/>
                <w:sz w:val="18"/>
              </w:rPr>
              <w:t xml:space="preserve">2</w:t>
            </w:r>
          </w:p>
        </w:tc>
        <w:tc>
          <w:tcPr/>
          <w:p>
            <w:pPr>
              <w:pStyle w:val="Compact"/>
            </w:pPr>
            <w:r>
              <w:rPr>
                <w:rFonts w:ascii="Times New Roman" w:hAnsi="Times New Roman" w:eastAsia="游明朝"/>
                <w:sz w:val="18"/>
              </w:rPr>
              <w:t xml:space="preserve">KOパートナーシップ</w:t>
            </w:r>
          </w:p>
        </w:tc>
        <w:tc>
          <w:tcPr/>
          <w:p>
            <w:pPr>
              <w:pStyle w:val="Compact"/>
            </w:pPr>
            <w:r>
              <w:rPr>
                <w:rFonts w:hint="eastAsia" w:ascii="Times New Roman" w:hAnsi="Times New Roman" w:eastAsia="游明朝"/>
                <w:b/>
                <w:bCs/>
                <w:sz w:val="18"/>
              </w:rPr>
              <w:t xml:space="preserve">30%（あまり納得しない）</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KO </w:t>
            </w:r>
            <w:r>
              <w:rPr>
                <w:rFonts w:hint="eastAsia" w:ascii="Times New Roman" w:hAnsi="Times New Roman" w:eastAsia="游明朝"/>
                <w:sz w:val="18"/>
              </w:rPr>
              <w:t xml:space="preserve">19.63%出資、全国際市場</w:t>
            </w:r>
          </w:p>
        </w:tc>
        <w:tc>
          <w:tcPr/>
          <w:p>
            <w:pPr>
              <w:pStyle w:val="Compact"/>
            </w:pPr>
            <w:r>
              <w:rPr>
                <w:rFonts w:hint="eastAsia" w:ascii="Times New Roman" w:hAnsi="Times New Roman" w:eastAsia="游明朝"/>
                <w:sz w:val="18"/>
              </w:rPr>
              <w:t xml:space="preserve">Celsius=PepsiCoと同等（ルール7不適用）</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イノベーション能力</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70%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CA-CAGRギャップの評価ロジック補足]</w:t>
            </w:r>
          </w:p>
        </w:tc>
        <w:tc>
          <w:tcPr/>
          <w:p>
            <w:pPr>
              <w:pStyle w:val="Compact"/>
            </w:pPr>
            <w:r>
              <w:rPr>
                <w:rFonts w:ascii="Times New Roman" w:hAnsi="Times New Roman" w:eastAsia="游明朝"/>
                <w:sz w:val="18"/>
              </w:rPr>
              <w:t xml:space="preserve">Reign, </w:t>
            </w:r>
            <w:r>
              <w:rPr>
                <w:rFonts w:hint="eastAsia" w:ascii="Times New Roman" w:hAnsi="Times New Roman" w:eastAsia="游明朝"/>
                <w:sz w:val="18"/>
              </w:rPr>
              <w:t xml:space="preserve">Bang買収、ゼロシュガー</w:t>
            </w:r>
          </w:p>
        </w:tc>
        <w:tc>
          <w:tcPr/>
          <w:p>
            <w:pPr>
              <w:pStyle w:val="Compact"/>
            </w:pPr>
            <w:r>
              <w:rPr>
                <w:rFonts w:hint="eastAsia" w:ascii="Times New Roman" w:hAnsi="Times New Roman" w:eastAsia="游明朝"/>
                <w:sz w:val="18"/>
              </w:rPr>
              <w:t xml:space="preserve">能力自体の評価困難（シェア依存）</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複数ブランドポートフォリオ</w:t>
            </w:r>
          </w:p>
        </w:tc>
        <w:tc>
          <w:tcPr/>
          <w:p>
            <w:pPr>
              <w:pStyle w:val="Compact"/>
            </w:pPr>
            <w:r>
              <w:rPr>
                <w:rFonts w:hint="eastAsia" w:ascii="Times New Roman" w:hAnsi="Times New Roman" w:eastAsia="游明朝"/>
                <w:b/>
                <w:bCs/>
                <w:sz w:val="18"/>
              </w:rPr>
              <w:t xml:space="preserve">70%（おおむね納得）</w:t>
            </w:r>
          </w:p>
        </w:tc>
        <w:tc>
          <w:tcPr/>
          <w:p>
            <w:pPr>
              <w:pStyle w:val="Compact"/>
            </w:pPr>
            <w:r>
              <w:rPr>
                <w:rFonts w:ascii="Times New Roman" w:hAnsi="Times New Roman" w:eastAsia="游明朝"/>
                <w:sz w:val="18"/>
              </w:rPr>
              <w:t xml:space="preserve">70%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Bang統合・流通交渉力の注記追加]</w:t>
            </w:r>
          </w:p>
        </w:tc>
        <w:tc>
          <w:tcPr/>
          <w:p>
            <w:pPr>
              <w:pStyle w:val="Compact"/>
            </w:pPr>
            <w:r>
              <w:rPr>
                <w:rFonts w:hint="eastAsia" w:ascii="Times New Roman" w:hAnsi="Times New Roman" w:eastAsia="游明朝"/>
                <w:sz w:val="18"/>
              </w:rPr>
              <w:t xml:space="preserve">RedBull=単一との差別化</w:t>
            </w:r>
          </w:p>
        </w:tc>
        <w:tc>
          <w:tcPr/>
          <w:p>
            <w:pPr>
              <w:pStyle w:val="Compact"/>
            </w:pPr>
            <w:r>
              <w:rPr>
                <w:rFonts w:hint="eastAsia" w:ascii="Times New Roman" w:hAnsi="Times New Roman" w:eastAsia="游明朝"/>
                <w:sz w:val="18"/>
              </w:rPr>
              <w:t xml:space="preserve">各ブランド売上比率の定量データ不足</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低所得者消費基盤</w:t>
            </w:r>
          </w:p>
        </w:tc>
        <w:tc>
          <w:tcPr/>
          <w:p>
            <w:pPr>
              <w:pStyle w:val="Compact"/>
            </w:pPr>
            <w:r>
              <w:rPr>
                <w:rFonts w:hint="eastAsia" w:ascii="Times New Roman" w:hAnsi="Times New Roman" w:eastAsia="游明朝"/>
                <w:b/>
                <w:bCs/>
                <w:sz w:val="18"/>
              </w:rPr>
              <w:t xml:space="preserve">30%（あまり納得しない）</w:t>
            </w:r>
          </w:p>
        </w:tc>
        <w:tc>
          <w:tcPr/>
          <w:p>
            <w:pPr>
              <w:pStyle w:val="Compact"/>
            </w:pPr>
            <w:r>
              <w:rPr>
                <w:rFonts w:ascii="Times New Roman" w:hAnsi="Times New Roman" w:eastAsia="游明朝"/>
                <w:sz w:val="18"/>
              </w:rPr>
              <w:t xml:space="preserve">50%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セグメント分け評価の補足]</w:t>
            </w:r>
          </w:p>
        </w:tc>
        <w:tc>
          <w:tcPr/>
          <w:p>
            <w:pPr>
              <w:pStyle w:val="Compact"/>
            </w:pPr>
            <w:r>
              <w:rPr>
                <w:rFonts w:hint="eastAsia" w:ascii="Times New Roman" w:hAnsi="Times New Roman" w:eastAsia="游明朝"/>
                <w:sz w:val="18"/>
              </w:rPr>
              <w:t xml:space="preserve">廉価セグメント、リピート層</w:t>
            </w:r>
          </w:p>
        </w:tc>
        <w:tc>
          <w:tcPr/>
          <w:p>
            <w:pPr>
              <w:pStyle w:val="Compact"/>
            </w:pPr>
            <w:r>
              <w:rPr>
                <w:rFonts w:hint="eastAsia" w:ascii="Times New Roman" w:hAnsi="Times New Roman" w:eastAsia="游明朝"/>
                <w:sz w:val="18"/>
              </w:rPr>
              <w:t xml:space="preserve">因果の飛躍（パターンC）、2024年反証</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コスト構造・規模の経済</w:t>
            </w:r>
          </w:p>
        </w:tc>
        <w:tc>
          <w:tcPr/>
          <w:p>
            <w:pPr>
              <w:pStyle w:val="Compact"/>
            </w:pPr>
            <w:r>
              <w:rPr>
                <w:rFonts w:hint="eastAsia" w:ascii="Times New Roman" w:hAnsi="Times New Roman" w:eastAsia="游明朝"/>
                <w:b/>
                <w:bCs/>
                <w:sz w:val="18"/>
              </w:rPr>
              <w:t xml:space="preserve">30%（あまり納得しない）</w:t>
            </w:r>
          </w:p>
        </w:tc>
        <w:tc>
          <w:tcPr/>
          <w:p>
            <w:pPr>
              <w:pStyle w:val="Compact"/>
            </w:pPr>
            <w:r>
              <w:rPr>
                <w:rFonts w:ascii="Times New Roman" w:hAnsi="Times New Roman" w:eastAsia="游明朝"/>
                <w:sz w:val="18"/>
              </w:rPr>
              <w:t xml:space="preserve">50%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KB3乖離+20ptの根拠明記]</w:t>
            </w:r>
          </w:p>
        </w:tc>
        <w:tc>
          <w:tcPr/>
          <w:p>
            <w:pPr>
              <w:pStyle w:val="Compact"/>
            </w:pPr>
            <w:r>
              <w:rPr>
                <w:rFonts w:hint="eastAsia" w:ascii="Times New Roman" w:hAnsi="Times New Roman" w:eastAsia="游明朝"/>
                <w:sz w:val="18"/>
              </w:rPr>
              <w:t xml:space="preserve">GPM55.7%/OPM30.7%（SEC</w:t>
            </w:r>
            <w:r>
              <w:rPr>
                <w:rFonts w:ascii="Times New Roman" w:hAnsi="Times New Roman" w:eastAsia="游明朝"/>
                <w:sz w:val="18"/>
              </w:rPr>
              <w:t xml:space="preserve"> </w:t>
            </w:r>
            <w:r>
              <w:rPr>
                <w:rFonts w:hint="eastAsia" w:ascii="Times New Roman" w:hAnsi="Times New Roman" w:eastAsia="游明朝"/>
                <w:sz w:val="18"/>
              </w:rPr>
              <w:t xml:space="preserve">EDGAR）</w:t>
            </w:r>
          </w:p>
        </w:tc>
        <w:tc>
          <w:tcPr/>
          <w:p>
            <w:pPr>
              <w:pStyle w:val="Compact"/>
            </w:pPr>
            <w:r>
              <w:rPr>
                <w:rFonts w:hint="eastAsia" w:ascii="Times New Roman" w:hAnsi="Times New Roman" w:eastAsia="游明朝"/>
                <w:sz w:val="18"/>
              </w:rPr>
              <w:t xml:space="preserve">優位性の実質弱い、競合比較なし</w:t>
            </w:r>
          </w:p>
        </w:tc>
      </w:tr>
    </w:tbl>
    <w:p>
      <w:pPr>
        <w:pStyle w:val="BodyText"/>
      </w:pPr>
      <w:r>
        <w:rPr>
          <w:rFonts w:hint="eastAsia"/>
          <w:b/>
          <w:bCs/>
        </w:rPr>
        <w:t xml:space="preserve">平均CA確信度</w:t>
      </w:r>
      <w:r>
        <w:t xml:space="preserve">: 43% |</w:t>
      </w:r>
      <w:r>
        <w:t xml:space="preserve"> </w:t>
      </w:r>
      <w:r>
        <w:rPr>
          <w:rFonts w:hint="eastAsia"/>
          <w:b/>
          <w:bCs/>
        </w:rPr>
        <w:t xml:space="preserve">平均CAGR確信度</w:t>
      </w:r>
      <w:r>
        <w:t xml:space="preserve">: 57%</w:t>
      </w:r>
    </w:p>
    <w:p>
      <w:pPr>
        <w:pStyle w:val="BodyText"/>
      </w:pPr>
      <w:r>
        <w:t xml:space="preserve">※ </w:t>
      </w:r>
      <w:r>
        <w:rPr>
          <w:rFonts w:hint="eastAsia"/>
        </w:rPr>
        <w:t xml:space="preserve">T8修正でconfidence値の変更はなし。アノテーション追加のみ。</w:t>
      </w:r>
    </w:p>
    <w:p>
      <w:r>
        <w:pict>
          <v:rect style="width:0;height:1.5pt" o:hralign="center" o:hrstd="t" o:hr="t"/>
        </w:pict>
      </w:r>
    </w:p>
    <w:bookmarkEnd w:id="11"/>
    <w:bookmarkStart w:id="24" w:name="主張別詳細評価"/>
    <w:p>
      <w:pPr>
        <w:pStyle w:val="Heading2"/>
      </w:pPr>
      <w:r>
        <w:t xml:space="preserve">3. </w:t>
      </w:r>
      <w:r>
        <w:rPr>
          <w:rFonts w:hint="eastAsia"/>
        </w:rPr>
        <w:t xml:space="preserve">主張別詳細評価</w:t>
      </w:r>
    </w:p>
    <w:p>
      <w:r>
        <w:pict>
          <v:rect style="width:0;height:1.5pt" o:hralign="center" o:hrstd="t" o:hr="t"/>
        </w:pict>
      </w:r>
    </w:p>
    <w:bookmarkStart w:id="13" w:name="主張-1-米国エナジードリンク市場におけるブランド力と二強構造"/>
    <w:p>
      <w:pPr>
        <w:pStyle w:val="Heading3"/>
      </w:pPr>
      <w:r>
        <w:rPr>
          <w:rFonts w:hint="eastAsia"/>
        </w:rPr>
        <w:t xml:space="preserve">主張</w:t>
      </w:r>
      <w:r>
        <w:t xml:space="preserve"> #1: </w:t>
      </w:r>
      <w:r>
        <w:rPr>
          <w:rFonts w:hint="eastAsia"/>
        </w:rPr>
        <w:t xml:space="preserve">米国エナジードリンク市場におけるブランド力と二強構造</w:t>
      </w:r>
    </w:p>
    <w:bookmarkStart w:id="12" w:name="ai評価-まあ納得50-t8修正-cagr毀損の具体的分析補足"/>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w:t>
      </w:r>
      <w:r>
        <w:rPr>
          <w:rFonts w:hint="eastAsia"/>
        </w:rPr>
        <w:t xml:space="preserve">CAGR毀損の具体的分析補足]</w:t>
      </w:r>
    </w:p>
    <w:p>
      <w:pPr>
        <w:pStyle w:val="FirstParagraph"/>
      </w:pPr>
      <w:r>
        <w:rPr>
          <w:rFonts w:hint="eastAsia"/>
        </w:rPr>
        <w:t xml:space="preserve">RedBullと合計で米国エナジードリンク市場の70-85%を継続的に占有する二強構造は認められる。新興ブランドが参入しても1-2年でピーク後衰退するパターンが観察されており、MNSTのブランドポジションは安定的である。</w:t>
      </w:r>
    </w:p>
    <w:p>
      <w:pPr>
        <w:pStyle w:val="BodyText"/>
      </w:pPr>
      <w:r>
        <w:rPr>
          <w:rFonts w:hint="eastAsia"/>
        </w:rPr>
        <w:t xml:space="preserve">しかし、37%シェアはあくまで「結果」であり、どのようにブランド価値を蓄積・維持しているかの背後要因が乏しい（KB3</w:t>
      </w:r>
      <w:r>
        <w:t xml:space="preserve"> </w:t>
      </w:r>
      <w:r>
        <w:rPr>
          <w:rFonts w:hint="eastAsia"/>
        </w:rPr>
        <w:t xml:space="preserve">MNST#1）。dogma類型5（継承と変革の歴史）への具体的言及がなく、ターゲット層、ブランド投資配分、成果評価などのブランド施策例が不足している。</w:t>
      </w:r>
    </w:p>
    <w:p>
      <w:pPr>
        <w:pStyle w:val="BodyText"/>
      </w:pPr>
      <w:r>
        <w:rPr>
          <w:rFonts w:hint="eastAsia"/>
          <w:b/>
          <w:bCs/>
        </w:rPr>
        <w:t xml:space="preserve">納得できる点</w:t>
      </w:r>
      <w:r>
        <w:t xml:space="preserve">: </w:t>
      </w:r>
      <w:r>
        <w:rPr>
          <w:rFonts w:hint="eastAsia"/>
        </w:rPr>
        <w:t xml:space="preserve">二強構造の安定性（70-85%維持）、新興ブランドの短命パターン、構造的な市場ポジション（パターンIV,</w:t>
      </w:r>
      <w:r>
        <w:t xml:space="preserve"> </w:t>
      </w:r>
      <w:r>
        <w:rPr>
          <w:rFonts w:hint="eastAsia"/>
        </w:rPr>
        <w:t xml:space="preserve">moderate）</w:t>
      </w:r>
    </w:p>
    <w:p>
      <w:pPr>
        <w:pStyle w:val="BodyText"/>
      </w:pPr>
      <w:r>
        <w:rPr>
          <w:rFonts w:hint="eastAsia"/>
          <w:b/>
          <w:bCs/>
        </w:rPr>
        <w:t xml:space="preserve">懸念点</w:t>
      </w:r>
      <w:r>
        <w:t xml:space="preserve">: </w:t>
      </w:r>
      <w:r>
        <w:rPr>
          <w:rFonts w:hint="eastAsia"/>
        </w:rPr>
        <w:t xml:space="preserve">シェア=結果の原則（パターンA,</w:t>
      </w:r>
      <w:r>
        <w:t xml:space="preserve"> </w:t>
      </w:r>
      <w:r>
        <w:rPr>
          <w:rFonts w:hint="eastAsia"/>
        </w:rPr>
        <w:t xml:space="preserve">moderate）、Celsiusの持続成長が二強構造の例外、ブランド蓄積メカニズムの不足</w:t>
      </w:r>
    </w:p>
    <w:p>
      <w:pPr>
        <w:pStyle w:val="BlockText"/>
      </w:pPr>
      <w:r>
        <w:rPr>
          <w:rFonts w:hint="eastAsia"/>
          <w:b/>
          <w:bCs/>
        </w:rPr>
        <w:t xml:space="preserve">[注1]</w:t>
      </w:r>
      <w:r>
        <w:rPr>
          <w:b/>
          <w:bCs/>
        </w:rPr>
        <w:t xml:space="preserve"> </w:t>
      </w:r>
      <w:r>
        <w:rPr>
          <w:rFonts w:hint="eastAsia"/>
          <w:b/>
          <w:bCs/>
        </w:rPr>
        <w:t xml:space="preserve">T8批判</w:t>
      </w:r>
      <w:r>
        <w:rPr>
          <w:b/>
          <w:bCs/>
        </w:rPr>
        <w:t xml:space="preserve"> (minor): </w:t>
      </w:r>
      <w:r>
        <w:rPr>
          <w:rFonts w:hint="eastAsia"/>
          <w:b/>
          <w:bCs/>
        </w:rPr>
        <w:t xml:space="preserve">CAGR毀損のコンポーネント分析不足</w:t>
      </w:r>
    </w:p>
    <w:p>
      <w:pPr>
        <w:pStyle w:val="BlockText"/>
      </w:pPr>
      <w:r>
        <w:rPr>
          <w:rFonts w:hint="eastAsia"/>
        </w:rPr>
        <w:t xml:space="preserve">CAGR接続コメントに「2024年売推奨転換が示す前提の脆弱性」が言及されているが、具体的にどのCAGRコンポーネントが毀損されるかの分析が不足。2024年のSELL転換は米国低所得者消費悪化が主因であり、CAGR+10%の売上+8%のうち「値上げによる補完」（市場減速下での値上げ実施リスク）と「数量成長」（コンビニ来客数YoY▲3.5%の影響）の両面で不確実性が増大。</w:t>
      </w:r>
    </w:p>
    <w:p>
      <w:pPr>
        <w:pStyle w:val="BlockText"/>
      </w:pPr>
      <w:r>
        <w:rPr>
          <w:rFonts w:hint="eastAsia"/>
          <w:b/>
          <w:bCs/>
        </w:rPr>
        <w:t xml:space="preserve">T8の判断</w:t>
      </w:r>
      <w:r>
        <w:t xml:space="preserve">: CA confidence 50%、CAGR confidence </w:t>
      </w:r>
      <w:r>
        <w:rPr>
          <w:rFonts w:hint="eastAsia"/>
        </w:rPr>
        <w:t xml:space="preserve">50%は適切と判断。ただし上記のCAGRコンポーネント別影響を留意事項として記録する。</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要約</w:t>
            </w:r>
          </w:p>
        </w:tc>
      </w:tr>
      <w:tr>
        <w:tc>
          <w:tcPr/>
          <w:p>
            <w:pPr>
              <w:pStyle w:val="Compact"/>
            </w:pPr>
            <w:r>
              <w:rPr>
                <w:rFonts w:hint="eastAsia" w:ascii="Times New Roman" w:hAnsi="Times New Roman" w:eastAsia="游明朝"/>
                <w:sz w:val="18"/>
              </w:rPr>
              <w:t xml:space="preserve">ルール1（能力&gt;結果）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37%シェアは結果。二強構造の安定性は構造的要素だがメカニズム不足</w:t>
            </w:r>
          </w:p>
        </w:tc>
      </w:tr>
      <w:tr>
        <w:tc>
          <w:tcPr/>
          <w:p>
            <w:pPr>
              <w:pStyle w:val="Compact"/>
            </w:pPr>
            <w:r>
              <w:rPr>
                <w:rFonts w:hint="eastAsia" w:ascii="Times New Roman" w:hAnsi="Times New Roman" w:eastAsia="游明朝"/>
                <w:sz w:val="18"/>
              </w:rPr>
              <w:t xml:space="preserve">ルール2（名詞属性）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ブランド力・二強構造は名詞属性</w:t>
            </w:r>
          </w:p>
        </w:tc>
      </w:tr>
      <w:tr>
        <w:tc>
          <w:tcPr/>
          <w:p>
            <w:pPr>
              <w:pStyle w:val="Compact"/>
            </w:pPr>
            <w:r>
              <w:rPr>
                <w:rFonts w:hint="eastAsia" w:ascii="Times New Roman" w:hAnsi="Times New Roman" w:eastAsia="游明朝"/>
                <w:sz w:val="18"/>
              </w:rPr>
              <w:t xml:space="preserve">ルール4（説明力）</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定量データあり。ブランド蓄積の説明力不足</w:t>
            </w:r>
          </w:p>
        </w:tc>
      </w:tr>
      <w:tr>
        <w:tc>
          <w:tcPr/>
          <w:p>
            <w:pPr>
              <w:pStyle w:val="Compact"/>
            </w:pPr>
            <w:r>
              <w:rPr>
                <w:rFonts w:hint="eastAsia" w:ascii="Times New Roman" w:hAnsi="Times New Roman" w:eastAsia="游明朝"/>
                <w:sz w:val="18"/>
              </w:rPr>
              <w:t xml:space="preserve">ルール6（構造的）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エナジードリンク事業の構造的要素</w:t>
            </w:r>
          </w:p>
        </w:tc>
      </w:tr>
      <w:tr>
        <w:tc>
          <w:tcPr/>
          <w:p>
            <w:pPr>
              <w:pStyle w:val="Compact"/>
            </w:pPr>
            <w:r>
              <w:rPr>
                <w:rFonts w:hint="eastAsia" w:ascii="Times New Roman" w:hAnsi="Times New Roman" w:eastAsia="游明朝"/>
                <w:sz w:val="18"/>
              </w:rPr>
              <w:t xml:space="preserve">ルール7（純粋競合）</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RedBull対比あるが「なぜ対等か」の説明不足</w:t>
            </w:r>
          </w:p>
        </w:tc>
      </w:tr>
      <w:tr>
        <w:tc>
          <w:tcPr/>
          <w:p>
            <w:pPr>
              <w:pStyle w:val="Compact"/>
            </w:pPr>
            <w:r>
              <w:rPr>
                <w:rFonts w:hint="eastAsia" w:ascii="Times New Roman" w:hAnsi="Times New Roman" w:eastAsia="游明朝"/>
                <w:sz w:val="18"/>
              </w:rPr>
              <w:t xml:space="preserve">ルール8（戦略混同）</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ブランド力は優位性</w:t>
            </w:r>
          </w:p>
        </w:tc>
      </w:tr>
      <w:tr>
        <w:tc>
          <w:tcPr/>
          <w:p>
            <w:pPr>
              <w:pStyle w:val="Compact"/>
            </w:pPr>
            <w:r>
              <w:rPr>
                <w:rFonts w:hint="eastAsia" w:ascii="Times New Roman" w:hAnsi="Times New Roman" w:eastAsia="游明朝"/>
                <w:sz w:val="18"/>
              </w:rPr>
              <w:t xml:space="preserve">ルール9（事実誤認）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hint="eastAsia" w:ascii="Times New Roman" w:hAnsi="Times New Roman" w:eastAsia="游明朝"/>
                <w:sz w:val="18"/>
              </w:rPr>
              <w:t xml:space="preserve">ルール10（ネガティブ）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新興ブランド衰退は間接的裏付け</w:t>
            </w:r>
          </w:p>
        </w:tc>
      </w:tr>
      <w:tr>
        <w:tc>
          <w:tcPr/>
          <w:p>
            <w:pPr>
              <w:pStyle w:val="Compact"/>
            </w:pPr>
            <w:r>
              <w:rPr>
                <w:rFonts w:hint="eastAsia" w:ascii="Times New Roman" w:hAnsi="Times New Roman" w:eastAsia="游明朝"/>
                <w:sz w:val="18"/>
              </w:rPr>
              <w:t xml:space="preserve">ルール11（業界構造）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二強構造は認めるが持続メカニズム分析不足</w:t>
            </w:r>
          </w:p>
        </w:tc>
      </w:tr>
      <w:tr>
        <w:tc>
          <w:tcPr/>
          <w:p>
            <w:pPr>
              <w:pStyle w:val="Compact"/>
            </w:pPr>
            <w:r>
              <w:rPr>
                <w:rFonts w:ascii="Times New Roman" w:hAnsi="Times New Roman" w:eastAsia="游明朝"/>
                <w:sz w:val="18"/>
              </w:rPr>
              <w:t xml:space="preserve">ルール12</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却下:</w:t>
      </w:r>
      <w:r>
        <w:t xml:space="preserve"> </w:t>
      </w:r>
      <w:r>
        <w:rPr>
          <w:rFonts w:hint="eastAsia"/>
        </w:rPr>
        <w:t xml:space="preserve">A（moderate）</w:t>
      </w:r>
      <w:r>
        <w:t xml:space="preserve"> | </w:t>
      </w:r>
      <w:r>
        <w:rPr>
          <w:rFonts w:hint="eastAsia"/>
        </w:rPr>
        <w:t xml:space="preserve">高評価:</w:t>
      </w:r>
      <w:r>
        <w:t xml:space="preserve"> </w:t>
      </w:r>
      <w:r>
        <w:rPr>
          <w:rFonts w:hint="eastAsia"/>
        </w:rPr>
        <w:t xml:space="preserve">IV（moderate）</w:t>
      </w:r>
    </w:p>
    <w:p>
      <w:pPr>
        <w:pStyle w:val="BodyText"/>
      </w:pPr>
      <w:r>
        <w:rPr>
          <w:rFonts w:hint="eastAsia"/>
          <w:b/>
          <w:bCs/>
        </w:rPr>
        <w:t xml:space="preserve">CAGR接続（50%）</w:t>
      </w:r>
      <w:r>
        <w:t xml:space="preserve">: </w:t>
      </w:r>
      <w:r>
        <w:rPr>
          <w:rFonts w:hint="eastAsia"/>
        </w:rPr>
        <w:t xml:space="preserve">高シェアを背景にした安定成長と価格改定での利益率改善は公正だが、2024年売推奨転換が示すようにCAGR+10%の前提に脆弱性がある。</w:t>
      </w:r>
      <w:r>
        <w:rPr>
          <w:rFonts w:hint="eastAsia"/>
        </w:rPr>
        <w:t xml:space="preserve">特に売上+8%のうち「値上げ補完」は市場減速下での実施リスクが高まり、「数量成長」もコンビニ来客数減少（YoY▲3.5%）で不確実性が増大</w:t>
      </w:r>
      <w:r>
        <w:t xml:space="preserve">。</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2"/>
    <w:bookmarkEnd w:id="13"/>
    <w:bookmarkStart w:id="15" w:name="主張-2-coca-colaとの戦略的パートナーシップによる国際流通網"/>
    <w:p>
      <w:pPr>
        <w:pStyle w:val="Heading3"/>
      </w:pPr>
      <w:r>
        <w:rPr>
          <w:rFonts w:hint="eastAsia"/>
        </w:rPr>
        <w:t xml:space="preserve">主張</w:t>
      </w:r>
      <w:r>
        <w:t xml:space="preserve"> #2: </w:t>
      </w:r>
      <w:r>
        <w:rPr>
          <w:rFonts w:hint="eastAsia"/>
        </w:rPr>
        <w:t xml:space="preserve">Coca-Colaとの戦略的パートナーシップによる国際流通網</w:t>
      </w:r>
    </w:p>
    <w:bookmarkStart w:id="14" w:name="ai評価-あまり納得しない30"/>
    <w:p>
      <w:pPr>
        <w:pStyle w:val="Heading4"/>
      </w:pPr>
      <w:r>
        <w:rPr>
          <w:rFonts w:hint="eastAsia"/>
        </w:rPr>
        <w:t xml:space="preserve">AI評価:</w:t>
      </w:r>
      <w:r>
        <w:t xml:space="preserve"> </w:t>
      </w:r>
      <w:r>
        <w:rPr>
          <w:rFonts w:hint="eastAsia"/>
        </w:rPr>
        <w:t xml:space="preserve">あまり納得しない（30%）</w:t>
      </w:r>
    </w:p>
    <w:p>
      <w:pPr>
        <w:pStyle w:val="FirstParagraph"/>
      </w:pPr>
      <w:r>
        <w:rPr>
          <w:rFonts w:hint="eastAsia"/>
        </w:rPr>
        <w:t xml:space="preserve">KOの19.63%出資と販売契約により国際市場へのアクセスは事実。海外売上成長+13.7%（為替調整後、2Q24）も確認。しかし、米国で同様に4割弱のシェアを持つRedBullは自社流通網を保有し、Celsiusはペプシコと提携しており、同等の流通選択肢が存在する。</w:t>
      </w:r>
    </w:p>
    <w:p>
      <w:pPr>
        <w:pStyle w:val="BodyText"/>
      </w:pPr>
      <w:r>
        <w:t xml:space="preserve">KB3 MNST#2: </w:t>
      </w:r>
      <w:r>
        <w:rPr>
          <w:rFonts w:hint="eastAsia"/>
        </w:rPr>
        <w:t xml:space="preserve">「少なくともCelsiusとMNSTは同等と判断」。戦略的パートナーシップそのものが優位であるとの見解への納得度は高くない。</w:t>
      </w:r>
    </w:p>
    <w:p>
      <w:pPr>
        <w:pStyle w:val="BodyText"/>
      </w:pPr>
      <w:r>
        <w:rPr>
          <w:rFonts w:hint="eastAsia"/>
          <w:b/>
          <w:bCs/>
        </w:rPr>
        <w:t xml:space="preserve">納得できる点</w:t>
      </w:r>
      <w:r>
        <w:t xml:space="preserve">: </w:t>
      </w:r>
      <w:r>
        <w:rPr>
          <w:rFonts w:hint="eastAsia"/>
        </w:rPr>
        <w:t xml:space="preserve">KOグローバルインフラへのアクセス、国際売上成長実績</w:t>
      </w:r>
    </w:p>
    <w:p>
      <w:pPr>
        <w:pStyle w:val="BodyText"/>
      </w:pPr>
      <w:r>
        <w:rPr>
          <w:rFonts w:hint="eastAsia"/>
          <w:b/>
          <w:bCs/>
        </w:rPr>
        <w:t xml:space="preserve">懸念点</w:t>
      </w:r>
      <w:r>
        <w:t xml:space="preserve">: </w:t>
      </w:r>
      <w:r>
        <w:rPr>
          <w:rFonts w:hint="eastAsia"/>
        </w:rPr>
        <w:t xml:space="preserve">Celsius=PepsiCo、RedBull=自社流通と同等（パターンG,</w:t>
      </w:r>
      <w:r>
        <w:t xml:space="preserve"> </w:t>
      </w:r>
      <w:r>
        <w:rPr>
          <w:rFonts w:hint="eastAsia"/>
        </w:rPr>
        <w:t xml:space="preserve">strong）、戦略→優位性の混同（パターンF,</w:t>
      </w:r>
      <w:r>
        <w:t xml:space="preserve"> </w:t>
      </w:r>
      <w:r>
        <w:rPr>
          <w:rFonts w:hint="eastAsia"/>
        </w:rPr>
        <w:t xml:space="preserve">moderate）</w:t>
      </w:r>
    </w:p>
    <w:p>
      <w:pPr>
        <w:pStyle w:val="BodyText"/>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要約</w:t>
            </w:r>
          </w:p>
        </w:tc>
      </w:tr>
      <w:tr>
        <w:tc>
          <w:tcPr/>
          <w:p>
            <w:pPr>
              <w:pStyle w:val="Compact"/>
            </w:pPr>
            <w:r>
              <w:rPr>
                <w:rFonts w:hint="eastAsia" w:ascii="Times New Roman" w:hAnsi="Times New Roman" w:eastAsia="游明朝"/>
                <w:sz w:val="18"/>
              </w:rPr>
              <w:t xml:space="preserve">ルール1（能力&gt;結果）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KO契約は仕組みだが能力かは議論余地あり</w:t>
            </w:r>
          </w:p>
        </w:tc>
      </w:tr>
      <w:tr>
        <w:tc>
          <w:tcPr/>
          <w:p>
            <w:pPr>
              <w:pStyle w:val="Compact"/>
            </w:pPr>
            <w:r>
              <w:rPr>
                <w:rFonts w:hint="eastAsia" w:ascii="Times New Roman" w:hAnsi="Times New Roman" w:eastAsia="游明朝"/>
                <w:sz w:val="18"/>
              </w:rPr>
              <w:t xml:space="preserve">ルール2（名詞属性）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パートナーシップは名詞だが構築は動詞的</w:t>
            </w:r>
          </w:p>
        </w:tc>
      </w:tr>
      <w:tr>
        <w:tc>
          <w:tcPr/>
          <w:p>
            <w:pPr>
              <w:pStyle w:val="Compact"/>
            </w:pPr>
            <w:r>
              <w:rPr>
                <w:rFonts w:hint="eastAsia" w:ascii="Times New Roman" w:hAnsi="Times New Roman" w:eastAsia="游明朝"/>
                <w:sz w:val="18"/>
              </w:rPr>
              <w:t xml:space="preserve">ルール4（説明力）</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出資比率等の数値あり。流通効率の定量比較なし</w:t>
            </w:r>
          </w:p>
        </w:tc>
      </w:tr>
      <w:tr>
        <w:tc>
          <w:tcPr/>
          <w:p>
            <w:pPr>
              <w:pStyle w:val="Compact"/>
            </w:pPr>
            <w:r>
              <w:rPr>
                <w:rFonts w:hint="eastAsia" w:ascii="Times New Roman" w:hAnsi="Times New Roman" w:eastAsia="游明朝"/>
                <w:sz w:val="18"/>
              </w:rPr>
              <w:t xml:space="preserve">ルール6（構造的）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国際流通は構造的だがKO依存で独自性なし</w:t>
            </w:r>
          </w:p>
        </w:tc>
      </w:tr>
      <w:tr>
        <w:tc>
          <w:tcPr/>
          <w:p>
            <w:pPr>
              <w:pStyle w:val="Compact"/>
            </w:pPr>
            <w:r>
              <w:rPr>
                <w:rFonts w:hint="eastAsia" w:ascii="Times New Roman" w:hAnsi="Times New Roman" w:eastAsia="游明朝"/>
                <w:sz w:val="18"/>
              </w:rPr>
              <w:t xml:space="preserve">ルール7（純粋競合）</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純粋競合と同等の流通選択肢が存在</w:t>
            </w:r>
          </w:p>
        </w:tc>
      </w:tr>
      <w:tr>
        <w:tc>
          <w:tcPr/>
          <w:p>
            <w:pPr>
              <w:pStyle w:val="Compact"/>
            </w:pPr>
            <w:r>
              <w:rPr>
                <w:rFonts w:hint="eastAsia" w:ascii="Times New Roman" w:hAnsi="Times New Roman" w:eastAsia="游明朝"/>
                <w:sz w:val="18"/>
              </w:rPr>
              <w:t xml:space="preserve">ルール8（戦略混同）</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KO提携は戦略的パートナーシップで戦略に近い</w:t>
            </w:r>
          </w:p>
        </w:tc>
      </w:tr>
      <w:tr>
        <w:tc>
          <w:tcPr/>
          <w:p>
            <w:pPr>
              <w:pStyle w:val="Compact"/>
            </w:pPr>
            <w:r>
              <w:rPr>
                <w:rFonts w:hint="eastAsia" w:ascii="Times New Roman" w:hAnsi="Times New Roman" w:eastAsia="游明朝"/>
                <w:sz w:val="18"/>
              </w:rPr>
              <w:t xml:space="preserve">ルール9（事実誤認）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hint="eastAsia" w:ascii="Times New Roman" w:hAnsi="Times New Roman" w:eastAsia="游明朝"/>
                <w:sz w:val="18"/>
              </w:rPr>
              <w:t xml:space="preserve">ルール10（ネガティブ）</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適用可能なケースなし</w:t>
            </w:r>
          </w:p>
        </w:tc>
      </w:tr>
      <w:tr>
        <w:tc>
          <w:tcPr/>
          <w:p>
            <w:pPr>
              <w:pStyle w:val="Compact"/>
            </w:pPr>
            <w:r>
              <w:rPr>
                <w:rFonts w:hint="eastAsia" w:ascii="Times New Roman" w:hAnsi="Times New Roman" w:eastAsia="游明朝"/>
                <w:sz w:val="18"/>
              </w:rPr>
              <w:t xml:space="preserve">ルール11（業界構造）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販社ネットワークは重要だがKO固有の合致ではない</w:t>
            </w:r>
          </w:p>
        </w:tc>
      </w:tr>
      <w:tr>
        <w:tc>
          <w:tcPr/>
          <w:p>
            <w:pPr>
              <w:pStyle w:val="Compact"/>
            </w:pPr>
            <w:r>
              <w:rPr>
                <w:rFonts w:ascii="Times New Roman" w:hAnsi="Times New Roman" w:eastAsia="游明朝"/>
                <w:sz w:val="18"/>
              </w:rPr>
              <w:t xml:space="preserve">ルール12</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却下:</w:t>
      </w:r>
      <w:r>
        <w:t xml:space="preserve"> </w:t>
      </w:r>
      <w:r>
        <w:rPr>
          <w:rFonts w:hint="eastAsia"/>
        </w:rPr>
        <w:t xml:space="preserve">F（moderate）,</w:t>
      </w:r>
      <w:r>
        <w:t xml:space="preserve"> </w:t>
      </w:r>
      <w:r>
        <w:rPr>
          <w:rFonts w:hint="eastAsia"/>
        </w:rPr>
        <w:t xml:space="preserve">G（strong）</w:t>
      </w:r>
      <w:r>
        <w:t xml:space="preserve"> | </w:t>
      </w:r>
      <w:r>
        <w:rPr>
          <w:rFonts w:hint="eastAsia"/>
        </w:rPr>
        <w:t xml:space="preserve">高評価:</w:t>
      </w:r>
      <w:r>
        <w:t xml:space="preserve"> なし</w:t>
      </w:r>
    </w:p>
    <w:p>
      <w:pPr>
        <w:pStyle w:val="BodyText"/>
      </w:pPr>
      <w:r>
        <w:rPr>
          <w:rFonts w:hint="eastAsia"/>
          <w:b/>
          <w:bCs/>
        </w:rPr>
        <w:t xml:space="preserve">CAGR接続（50%）</w:t>
      </w:r>
      <w:r>
        <w:t xml:space="preserve">: </w:t>
      </w:r>
      <w:r>
        <w:rPr>
          <w:rFonts w:hint="eastAsia"/>
        </w:rPr>
        <w:t xml:space="preserve">KO流通網による国際展開は事実だが、CF→自社株買い加速への接続は過大評価の印象。</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&lt;– </w:t>
      </w:r>
      <w:r>
        <w:rPr>
          <w:rFonts w:hint="eastAsia"/>
        </w:rPr>
        <w:t xml:space="preserve">AI評価（T8修正後の最終値）</w:t>
      </w:r>
    </w:p>
    <w:p>
      <w:r>
        <w:pict>
          <v:rect style="width:0;height:1.5pt" o:hralign="center" o:hrstd="t" o:hr="t"/>
        </w:pict>
      </w:r>
    </w:p>
    <w:bookmarkEnd w:id="14"/>
    <w:bookmarkEnd w:id="15"/>
    <w:bookmarkStart w:id="17" w:name="主張-3-継続的なイノベーション能力による製品多様化"/>
    <w:p>
      <w:pPr>
        <w:pStyle w:val="Heading3"/>
      </w:pPr>
      <w:r>
        <w:rPr>
          <w:rFonts w:hint="eastAsia"/>
        </w:rPr>
        <w:t xml:space="preserve">主張</w:t>
      </w:r>
      <w:r>
        <w:t xml:space="preserve"> #3: </w:t>
      </w:r>
      <w:r>
        <w:rPr>
          <w:rFonts w:hint="eastAsia"/>
        </w:rPr>
        <w:t xml:space="preserve">継続的なイノベーション能力による製品多様化</w:t>
      </w:r>
    </w:p>
    <w:bookmarkStart w:id="16" w:name="ai評価-まあ納得50-t8修正-ca-cagrギャップの評価ロジック補足"/>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w:t>
      </w:r>
      <w:r>
        <w:rPr>
          <w:rFonts w:hint="eastAsia"/>
        </w:rPr>
        <w:t xml:space="preserve">CA-CAGRギャップの評価ロジック補足]</w:t>
      </w:r>
    </w:p>
    <w:p>
      <w:pPr>
        <w:pStyle w:val="FirstParagraph"/>
      </w:pPr>
      <w:r>
        <w:rPr>
          <w:rFonts w:hint="eastAsia"/>
        </w:rPr>
        <w:t xml:space="preserve">エナジードリンク市場のシェア4割を維持する中、消費トレンド変化（ゼロシュガー、機能性飲料等）への対応はなされている。Reign発売（2019年）、Bang</w:t>
      </w:r>
      <w:r>
        <w:t xml:space="preserve"> </w:t>
      </w:r>
      <w:r>
        <w:rPr>
          <w:rFonts w:hint="eastAsia"/>
        </w:rPr>
        <w:t xml:space="preserve">Energy買収（2023年）等の実績もある。</w:t>
      </w:r>
    </w:p>
    <w:p>
      <w:pPr>
        <w:pStyle w:val="BodyText"/>
      </w:pPr>
      <w:r>
        <w:rPr>
          <w:rFonts w:hint="eastAsia"/>
        </w:rPr>
        <w:t xml:space="preserve">しかし、イノベーションそのものの優位性評価はしがたく、結果としてのシェア動向に依存した判断となっている（KB3</w:t>
      </w:r>
      <w:r>
        <w:t xml:space="preserve"> </w:t>
      </w:r>
      <w:r>
        <w:rPr>
          <w:rFonts w:hint="eastAsia"/>
        </w:rPr>
        <w:t xml:space="preserve">MNST#3）。R&amp;D投資額、開発サイクル、新製品成功率等のメカニズム説明が不足。</w:t>
      </w:r>
    </w:p>
    <w:p>
      <w:pPr>
        <w:pStyle w:val="BodyText"/>
      </w:pPr>
      <w:r>
        <w:rPr>
          <w:rFonts w:hint="eastAsia"/>
          <w:b/>
          <w:bCs/>
        </w:rPr>
        <w:t xml:space="preserve">納得できる点</w:t>
      </w:r>
      <w:r>
        <w:t xml:space="preserve">: </w:t>
      </w:r>
      <w:r>
        <w:rPr>
          <w:rFonts w:hint="eastAsia"/>
        </w:rPr>
        <w:t xml:space="preserve">シェア維持中のトレンド対応力、新製品・買収の実績</w:t>
      </w:r>
    </w:p>
    <w:p>
      <w:pPr>
        <w:pStyle w:val="BodyText"/>
      </w:pPr>
      <w:r>
        <w:rPr>
          <w:rFonts w:hint="eastAsia"/>
          <w:b/>
          <w:bCs/>
        </w:rPr>
        <w:t xml:space="preserve">懸念点</w:t>
      </w:r>
      <w:r>
        <w:t xml:space="preserve">: </w:t>
      </w:r>
      <w:r>
        <w:rPr>
          <w:rFonts w:hint="eastAsia"/>
        </w:rPr>
        <w:t xml:space="preserve">イノベーション能力の背後要因不足（パターンD,</w:t>
      </w:r>
      <w:r>
        <w:t xml:space="preserve"> </w:t>
      </w:r>
      <w:r>
        <w:rPr>
          <w:rFonts w:hint="eastAsia"/>
        </w:rPr>
        <w:t xml:space="preserve">moderate）、シェア依存の判断（パターンA,</w:t>
      </w:r>
      <w:r>
        <w:t xml:space="preserve"> </w:t>
      </w:r>
      <w:r>
        <w:rPr>
          <w:rFonts w:hint="eastAsia"/>
        </w:rPr>
        <w:t xml:space="preserve">weak）</w:t>
      </w:r>
    </w:p>
    <w:p>
      <w:pPr>
        <w:pStyle w:val="BlockText"/>
      </w:pPr>
      <w:r>
        <w:rPr>
          <w:rFonts w:hint="eastAsia"/>
          <w:b/>
          <w:bCs/>
        </w:rPr>
        <w:t xml:space="preserve">[注3]</w:t>
      </w:r>
      <w:r>
        <w:rPr>
          <w:b/>
          <w:bCs/>
        </w:rPr>
        <w:t xml:space="preserve"> </w:t>
      </w:r>
      <w:r>
        <w:rPr>
          <w:rFonts w:hint="eastAsia"/>
          <w:b/>
          <w:bCs/>
        </w:rPr>
        <w:t xml:space="preserve">T8批判</w:t>
      </w:r>
      <w:r>
        <w:rPr>
          <w:b/>
          <w:bCs/>
        </w:rPr>
        <w:t xml:space="preserve"> (minor): </w:t>
      </w:r>
      <w:r>
        <w:rPr>
          <w:rFonts w:hint="eastAsia"/>
          <w:b/>
          <w:bCs/>
        </w:rPr>
        <w:t xml:space="preserve">CA-CAGRギャップ（20pt）の評価ロジック</w:t>
      </w:r>
    </w:p>
    <w:p>
      <w:pPr>
        <w:pStyle w:val="BlockText"/>
      </w:pPr>
      <w:r>
        <w:t xml:space="preserve">CA: </w:t>
      </w:r>
      <w:r>
        <w:rPr>
          <w:rFonts w:hint="eastAsia"/>
        </w:rPr>
        <w:t xml:space="preserve">50%（イノベーション能力自体の評価困難）に対しCAGR:</w:t>
      </w:r>
      <w:r>
        <w:t xml:space="preserve"> </w:t>
      </w:r>
      <w:r>
        <w:rPr>
          <w:rFonts w:hint="eastAsia"/>
        </w:rPr>
        <w:t xml:space="preserve">70%（イノベーションが奏功すれば数量寄与は妥当）のギャップが20pt。このギャップは「イノベーションはエナジードリンク市場で重要な成長ドライバーだが、MNSTのイノベーションが構造的に競合より優れているかは不明」という合理的な判断を反映。KB3</w:t>
      </w:r>
      <w:r>
        <w:t xml:space="preserve"> </w:t>
      </w:r>
      <w:r>
        <w:rPr>
          <w:rFonts w:hint="eastAsia"/>
        </w:rPr>
        <w:t xml:space="preserve">MNST#3でも同一のギャップ（CA:50%,</w:t>
      </w:r>
      <w:r>
        <w:t xml:space="preserve"> </w:t>
      </w:r>
      <w:r>
        <w:rPr>
          <w:rFonts w:hint="eastAsia"/>
        </w:rPr>
        <w:t xml:space="preserve">CAGR:70%）が認められ、Y評価でも同様のロジックが適用されている。</w:t>
      </w:r>
    </w:p>
    <w:p>
      <w:pPr>
        <w:pStyle w:val="BlockText"/>
      </w:pPr>
      <w:r>
        <w:rPr>
          <w:rFonts w:hint="eastAsia"/>
          <w:b/>
          <w:bCs/>
        </w:rPr>
        <w:t xml:space="preserve">T8の判断</w:t>
      </w:r>
      <w:r>
        <w:t xml:space="preserve">: </w:t>
      </w:r>
      <w:r>
        <w:rPr>
          <w:rFonts w:hint="eastAsia"/>
        </w:rPr>
        <w:t xml:space="preserve">50%/70%は適切。CA-CAGRギャップは「能力の独自性は不明だが市場でのCAGRドライバーとしての重要性は認める」パターンとして記録。</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要約</w:t>
            </w:r>
          </w:p>
        </w:tc>
      </w:tr>
      <w:tr>
        <w:tc>
          <w:tcPr/>
          <w:p>
            <w:pPr>
              <w:pStyle w:val="Compact"/>
            </w:pPr>
            <w:r>
              <w:rPr>
                <w:rFonts w:hint="eastAsia" w:ascii="Times New Roman" w:hAnsi="Times New Roman" w:eastAsia="游明朝"/>
                <w:sz w:val="18"/>
              </w:rPr>
              <w:t xml:space="preserve">ルール1（能力&gt;結果）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イノベーション能力は能力だがシェア動向に依存</w:t>
            </w:r>
          </w:p>
        </w:tc>
      </w:tr>
      <w:tr>
        <w:tc>
          <w:tcPr/>
          <w:p>
            <w:pPr>
              <w:pStyle w:val="Compact"/>
            </w:pPr>
            <w:r>
              <w:rPr>
                <w:rFonts w:hint="eastAsia" w:ascii="Times New Roman" w:hAnsi="Times New Roman" w:eastAsia="游明朝"/>
                <w:sz w:val="18"/>
              </w:rPr>
              <w:t xml:space="preserve">ルール2（名詞属性）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イノベーション能力は名詞属性</w:t>
            </w:r>
          </w:p>
        </w:tc>
      </w:tr>
      <w:tr>
        <w:tc>
          <w:tcPr/>
          <w:p>
            <w:pPr>
              <w:pStyle w:val="Compact"/>
            </w:pPr>
            <w:r>
              <w:rPr>
                <w:rFonts w:hint="eastAsia" w:ascii="Times New Roman" w:hAnsi="Times New Roman" w:eastAsia="游明朝"/>
                <w:sz w:val="18"/>
              </w:rPr>
              <w:t xml:space="preserve">ルール4（説明力）</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具体例あり。R&amp;D投資等の説明不足</w:t>
            </w:r>
          </w:p>
        </w:tc>
      </w:tr>
      <w:tr>
        <w:tc>
          <w:tcPr/>
          <w:p>
            <w:pPr>
              <w:pStyle w:val="Compact"/>
            </w:pPr>
            <w:r>
              <w:rPr>
                <w:rFonts w:hint="eastAsia" w:ascii="Times New Roman" w:hAnsi="Times New Roman" w:eastAsia="游明朝"/>
                <w:sz w:val="18"/>
              </w:rPr>
              <w:t xml:space="preserve">ルール6（構造的）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製品イノベーションは構造的に重要</w:t>
            </w:r>
          </w:p>
        </w:tc>
      </w:tr>
      <w:tr>
        <w:tc>
          <w:tcPr/>
          <w:p>
            <w:pPr>
              <w:pStyle w:val="Compact"/>
            </w:pPr>
            <w:r>
              <w:rPr>
                <w:rFonts w:hint="eastAsia" w:ascii="Times New Roman" w:hAnsi="Times New Roman" w:eastAsia="游明朝"/>
                <w:sz w:val="18"/>
              </w:rPr>
              <w:t xml:space="preserve">ルール7（純粋競合）</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競合対比のイノベーション差異不明</w:t>
            </w:r>
          </w:p>
        </w:tc>
      </w:tr>
      <w:tr>
        <w:tc>
          <w:tcPr/>
          <w:p>
            <w:pPr>
              <w:pStyle w:val="Compact"/>
            </w:pPr>
            <w:r>
              <w:rPr>
                <w:rFonts w:hint="eastAsia" w:ascii="Times New Roman" w:hAnsi="Times New Roman" w:eastAsia="游明朝"/>
                <w:sz w:val="18"/>
              </w:rPr>
              <w:t xml:space="preserve">ルール8（戦略混同）</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能力として表現</w:t>
            </w:r>
          </w:p>
        </w:tc>
      </w:tr>
      <w:tr>
        <w:tc>
          <w:tcPr/>
          <w:p>
            <w:pPr>
              <w:pStyle w:val="Compact"/>
            </w:pPr>
            <w:r>
              <w:rPr>
                <w:rFonts w:hint="eastAsia" w:ascii="Times New Roman" w:hAnsi="Times New Roman" w:eastAsia="游明朝"/>
                <w:sz w:val="18"/>
              </w:rPr>
              <w:t xml:space="preserve">ルール9（事実誤認）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hint="eastAsia" w:ascii="Times New Roman" w:hAnsi="Times New Roman" w:eastAsia="游明朝"/>
                <w:sz w:val="18"/>
              </w:rPr>
              <w:t xml:space="preserve">ルール10（ネガティブ）</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該当なし</w:t>
            </w:r>
          </w:p>
        </w:tc>
      </w:tr>
      <w:tr>
        <w:tc>
          <w:tcPr/>
          <w:p>
            <w:pPr>
              <w:pStyle w:val="Compact"/>
            </w:pPr>
            <w:r>
              <w:rPr>
                <w:rFonts w:hint="eastAsia" w:ascii="Times New Roman" w:hAnsi="Times New Roman" w:eastAsia="游明朝"/>
                <w:sz w:val="18"/>
              </w:rPr>
              <w:t xml:space="preserve">ルール11（業界構造）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重要性は認めるが構造的優位の説明不足</w:t>
            </w:r>
          </w:p>
        </w:tc>
      </w:tr>
      <w:tr>
        <w:tc>
          <w:tcPr/>
          <w:p>
            <w:pPr>
              <w:pStyle w:val="Compact"/>
            </w:pPr>
            <w:r>
              <w:rPr>
                <w:rFonts w:ascii="Times New Roman" w:hAnsi="Times New Roman" w:eastAsia="游明朝"/>
                <w:sz w:val="18"/>
              </w:rPr>
              <w:t xml:space="preserve">ルール12</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却下:</w:t>
      </w:r>
      <w:r>
        <w:t xml:space="preserve"> </w:t>
      </w:r>
      <w:r>
        <w:rPr>
          <w:rFonts w:hint="eastAsia"/>
        </w:rPr>
        <w:t xml:space="preserve">A（weak）,</w:t>
      </w:r>
      <w:r>
        <w:t xml:space="preserve"> </w:t>
      </w:r>
      <w:r>
        <w:rPr>
          <w:rFonts w:hint="eastAsia"/>
        </w:rPr>
        <w:t xml:space="preserve">D（moderate）</w:t>
      </w:r>
      <w:r>
        <w:t xml:space="preserve"> | </w:t>
      </w:r>
      <w:r>
        <w:rPr>
          <w:rFonts w:hint="eastAsia"/>
        </w:rPr>
        <w:t xml:space="preserve">高評価:</w:t>
      </w:r>
      <w:r>
        <w:t xml:space="preserve"> なし</w:t>
      </w:r>
    </w:p>
    <w:p>
      <w:pPr>
        <w:pStyle w:val="BodyText"/>
      </w:pPr>
      <w:r>
        <w:rPr>
          <w:rFonts w:hint="eastAsia"/>
          <w:b/>
          <w:bCs/>
        </w:rPr>
        <w:t xml:space="preserve">CAGR接続（70%）</w:t>
      </w:r>
      <w:r>
        <w:t xml:space="preserve">: </w:t>
      </w:r>
      <w:r>
        <w:rPr>
          <w:rFonts w:hint="eastAsia"/>
        </w:rPr>
        <w:t xml:space="preserve">製品ラインアップ・イノベーションが奏功すれば数量寄与するとの判断は妥当。マーケティング・販促も変動要因だが、製品の重要度は高い。</w:t>
      </w:r>
      <w:r>
        <w:rPr>
          <w:rFonts w:hint="eastAsia"/>
        </w:rPr>
        <w:t xml:space="preserve">CA-CAGRギャップ（50%</w:t>
      </w:r>
      <w:r>
        <w:t xml:space="preserve"> vs </w:t>
      </w:r>
      <w:r>
        <w:rPr>
          <w:rFonts w:hint="eastAsia"/>
        </w:rPr>
        <w:t xml:space="preserve">70%）は、能力としての独自性が不明確でもCAGRドライバーとしての市場での重要性を認めた評価</w:t>
      </w:r>
      <w:r>
        <w:t xml:space="preserve">。</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6"/>
    <w:bookmarkEnd w:id="17"/>
    <w:bookmarkStart w:id="19" w:name="主張-4-複数ブランドによる消費者層の多層化とredbullとの差別化"/>
    <w:p>
      <w:pPr>
        <w:pStyle w:val="Heading3"/>
      </w:pPr>
      <w:r>
        <w:rPr>
          <w:rFonts w:hint="eastAsia"/>
        </w:rPr>
        <w:t xml:space="preserve">主張</w:t>
      </w:r>
      <w:r>
        <w:t xml:space="preserve"> #4: </w:t>
      </w:r>
      <w:r>
        <w:rPr>
          <w:rFonts w:hint="eastAsia"/>
        </w:rPr>
        <w:t xml:space="preserve">複数ブランドによる消費者層の多層化とRedBullとの差別化</w:t>
      </w:r>
    </w:p>
    <w:bookmarkStart w:id="18" w:name="ai評価-おおむね納得70-t8修正-bang統合流通交渉力の注記追加"/>
    <w:p>
      <w:pPr>
        <w:pStyle w:val="Heading4"/>
      </w:pPr>
      <w:r>
        <w:rPr>
          <w:rFonts w:hint="eastAsia"/>
        </w:rPr>
        <w:t xml:space="preserve">AI評価:</w:t>
      </w:r>
      <w:r>
        <w:t xml:space="preserve"> </w:t>
      </w:r>
      <w:r>
        <w:rPr>
          <w:rFonts w:hint="eastAsia"/>
        </w:rPr>
        <w:t xml:space="preserve">おおむね納得（70%）</w:t>
      </w:r>
      <w:r>
        <w:t xml:space="preserve"> </w:t>
      </w:r>
      <w:r>
        <w:rPr>
          <w:rFonts w:hint="eastAsia"/>
        </w:rPr>
        <w:t xml:space="preserve">[T8修正:</w:t>
      </w:r>
      <w:r>
        <w:t xml:space="preserve"> </w:t>
      </w:r>
      <w:r>
        <w:rPr>
          <w:rFonts w:hint="eastAsia"/>
        </w:rPr>
        <w:t xml:space="preserve">Bang統合・流通交渉力の注記追加]</w:t>
      </w:r>
    </w:p>
    <w:p>
      <w:pPr>
        <w:pStyle w:val="FirstParagraph"/>
      </w:pPr>
      <w:r>
        <w:rPr>
          <w:rFonts w:hint="eastAsia"/>
        </w:rPr>
        <w:t xml:space="preserve">消費者や地域のセグメント分けののち、必要なブランドを補充している点は説得的。Monster,</w:t>
      </w:r>
      <w:r>
        <w:t xml:space="preserve"> Ultra, Reign, Bang, Burn, </w:t>
      </w:r>
      <w:r>
        <w:rPr>
          <w:rFonts w:hint="eastAsia"/>
        </w:rPr>
        <w:t xml:space="preserve">Predator等のポートフォリオで年代・嗜好・地域別にセグメント対応。RedBull（単一ブランド）との明確な戦略差異が最大の評価ポイント。</w:t>
      </w:r>
    </w:p>
    <w:p>
      <w:pPr>
        <w:pStyle w:val="BodyText"/>
      </w:pPr>
      <w:r>
        <w:t xml:space="preserve">KB3 MNST#4(70%): </w:t>
      </w:r>
      <w:r>
        <w:rPr>
          <w:rFonts w:hint="eastAsia"/>
        </w:rPr>
        <w:t xml:space="preserve">「消費者や地域のセグメント分けののち、必要なブランドを補充している点は説得的」。dogma類型1（ブランドポートフォリオ運営力）に該当。パターンV（競合との具体的比較,</w:t>
      </w:r>
      <w:r>
        <w:t xml:space="preserve"> </w:t>
      </w:r>
      <w:r>
        <w:rPr>
          <w:rFonts w:hint="eastAsia"/>
        </w:rPr>
        <w:t xml:space="preserve">strong）が強力に機能。</w:t>
      </w:r>
    </w:p>
    <w:p>
      <w:pPr>
        <w:pStyle w:val="BodyText"/>
      </w:pPr>
      <w:r>
        <w:rPr>
          <w:rFonts w:hint="eastAsia"/>
          <w:b/>
          <w:bCs/>
        </w:rPr>
        <w:t xml:space="preserve">納得できる点</w:t>
      </w:r>
      <w:r>
        <w:t xml:space="preserve">: </w:t>
      </w:r>
      <w:r>
        <w:rPr>
          <w:rFonts w:hint="eastAsia"/>
        </w:rPr>
        <w:t xml:space="preserve">RedBullとの本質的な戦略差異（単一</w:t>
      </w:r>
      <w:r>
        <w:t xml:space="preserve"> vs </w:t>
      </w:r>
      <w:r>
        <w:rPr>
          <w:rFonts w:hint="eastAsia"/>
        </w:rPr>
        <w:t xml:space="preserve">複数）、dogma類型1に該当、消費者セグメント化の説得力</w:t>
      </w:r>
    </w:p>
    <w:p>
      <w:pPr>
        <w:pStyle w:val="BodyText"/>
      </w:pPr>
      <w:r>
        <w:rPr>
          <w:rFonts w:hint="eastAsia"/>
          <w:b/>
          <w:bCs/>
        </w:rPr>
        <w:t xml:space="preserve">懸念点</w:t>
      </w:r>
      <w:r>
        <w:t xml:space="preserve">: </w:t>
      </w:r>
      <w:r>
        <w:rPr>
          <w:rFonts w:hint="eastAsia"/>
        </w:rPr>
        <w:t xml:space="preserve">各ブランドの売上比率・成長率の定量データ不足</w:t>
      </w:r>
    </w:p>
    <w:p>
      <w:pPr>
        <w:pStyle w:val="BlockText"/>
      </w:pPr>
      <w:r>
        <w:rPr>
          <w:rFonts w:hint="eastAsia"/>
          <w:b/>
          <w:bCs/>
        </w:rPr>
        <w:t xml:space="preserve">[注4]</w:t>
      </w:r>
      <w:r>
        <w:rPr>
          <w:b/>
          <w:bCs/>
        </w:rPr>
        <w:t xml:space="preserve"> </w:t>
      </w:r>
      <w:r>
        <w:rPr>
          <w:rFonts w:hint="eastAsia"/>
          <w:b/>
          <w:bCs/>
        </w:rPr>
        <w:t xml:space="preserve">T8批判</w:t>
      </w:r>
      <w:r>
        <w:rPr>
          <w:b/>
          <w:bCs/>
        </w:rPr>
        <w:t xml:space="preserve"> (minor): </w:t>
      </w:r>
      <w:r>
        <w:rPr>
          <w:rFonts w:hint="eastAsia"/>
          <w:b/>
          <w:bCs/>
        </w:rPr>
        <w:t xml:space="preserve">Bang統合の成否と流通交渉力への波及</w:t>
      </w:r>
    </w:p>
    <w:p>
      <w:pPr>
        <w:pStyle w:val="BlockText"/>
      </w:pPr>
      <w:r>
        <w:t xml:space="preserve">KB3 </w:t>
      </w:r>
      <w:r>
        <w:rPr>
          <w:rFonts w:hint="eastAsia"/>
        </w:rPr>
        <w:t xml:space="preserve">MNST#4のY評価コメント「各ブランドのユーザー訴求が高ければ、結果的に流通交渉力が上がるとの指摘も妥当」は重要な追加評価ロジック。Bang</w:t>
      </w:r>
      <w:r>
        <w:t xml:space="preserve"> </w:t>
      </w:r>
      <w:r>
        <w:rPr>
          <w:rFonts w:hint="eastAsia"/>
        </w:rPr>
        <w:t xml:space="preserve">Energy買収後のポートフォリオ統合の進捗（Walmart棚スペース拡大等のInvestor</w:t>
      </w:r>
      <w:r>
        <w:t xml:space="preserve"> </w:t>
      </w:r>
      <w:r>
        <w:rPr>
          <w:rFonts w:hint="eastAsia"/>
        </w:rPr>
        <w:t xml:space="preserve">Day報告あり）がブランドポートフォリオ全体の評価に影響しうる。統合が順調であればルール1（能力の証明）を強化する材料となる。</w:t>
      </w:r>
    </w:p>
    <w:p>
      <w:pPr>
        <w:pStyle w:val="BlockText"/>
      </w:pPr>
      <w:r>
        <w:rPr>
          <w:rFonts w:hint="eastAsia"/>
          <w:b/>
          <w:bCs/>
        </w:rPr>
        <w:t xml:space="preserve">T8の判断</w:t>
      </w:r>
      <w:r>
        <w:t xml:space="preserve">: </w:t>
      </w:r>
      <w:r>
        <w:rPr>
          <w:rFonts w:hint="eastAsia"/>
        </w:rPr>
        <w:t xml:space="preserve">70%は適切。Bang統合の成否と流通交渉力への波及効果を今後の評価更新時の留意事項として記録。</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要約</w:t>
            </w:r>
          </w:p>
        </w:tc>
      </w:tr>
      <w:tr>
        <w:tc>
          <w:tcPr/>
          <w:p>
            <w:pPr>
              <w:pStyle w:val="Compact"/>
            </w:pPr>
            <w:r>
              <w:rPr>
                <w:rFonts w:hint="eastAsia" w:ascii="Times New Roman" w:hAnsi="Times New Roman" w:eastAsia="游明朝"/>
                <w:sz w:val="18"/>
              </w:rPr>
              <w:t xml:space="preserve">ルール1（能力&gt;結果）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セグメント分け→ブランド補充は能力</w:t>
            </w:r>
          </w:p>
        </w:tc>
      </w:tr>
      <w:tr>
        <w:tc>
          <w:tcPr/>
          <w:p>
            <w:pPr>
              <w:pStyle w:val="Compact"/>
            </w:pPr>
            <w:r>
              <w:rPr>
                <w:rFonts w:hint="eastAsia" w:ascii="Times New Roman" w:hAnsi="Times New Roman" w:eastAsia="游明朝"/>
                <w:sz w:val="18"/>
              </w:rPr>
              <w:t xml:space="preserve">ルール2（名詞属性）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dogma類型1該当</w:t>
            </w:r>
          </w:p>
        </w:tc>
      </w:tr>
      <w:tr>
        <w:tc>
          <w:tcPr/>
          <w:p>
            <w:pPr>
              <w:pStyle w:val="Compact"/>
            </w:pPr>
            <w:r>
              <w:rPr>
                <w:rFonts w:hint="eastAsia" w:ascii="Times New Roman" w:hAnsi="Times New Roman" w:eastAsia="游明朝"/>
                <w:sz w:val="18"/>
              </w:rPr>
              <w:t xml:space="preserve">ルール4（説明力）</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ブランド数明確だが売上比率等不足</w:t>
            </w:r>
          </w:p>
        </w:tc>
      </w:tr>
      <w:tr>
        <w:tc>
          <w:tcPr/>
          <w:p>
            <w:pPr>
              <w:pStyle w:val="Compact"/>
            </w:pPr>
            <w:r>
              <w:rPr>
                <w:rFonts w:hint="eastAsia" w:ascii="Times New Roman" w:hAnsi="Times New Roman" w:eastAsia="游明朝"/>
                <w:sz w:val="18"/>
              </w:rPr>
              <w:t xml:space="preserve">ルール6（構造的）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構造的要素</w:t>
            </w:r>
          </w:p>
        </w:tc>
      </w:tr>
      <w:tr>
        <w:tc>
          <w:tcPr/>
          <w:p>
            <w:pPr>
              <w:pStyle w:val="Compact"/>
            </w:pPr>
            <w:r>
              <w:rPr>
                <w:rFonts w:hint="eastAsia" w:ascii="Times New Roman" w:hAnsi="Times New Roman" w:eastAsia="游明朝"/>
                <w:sz w:val="18"/>
              </w:rPr>
              <w:t xml:space="preserve">ルール7（純粋競合）</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RedBull=単一との明確な差別化。パターンV</w:t>
            </w:r>
          </w:p>
        </w:tc>
      </w:tr>
      <w:tr>
        <w:tc>
          <w:tcPr/>
          <w:p>
            <w:pPr>
              <w:pStyle w:val="Compact"/>
            </w:pPr>
            <w:r>
              <w:rPr>
                <w:rFonts w:hint="eastAsia" w:ascii="Times New Roman" w:hAnsi="Times New Roman" w:eastAsia="游明朝"/>
                <w:sz w:val="18"/>
              </w:rPr>
              <w:t xml:space="preserve">ルール8（戦略混同）</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ポートフォリオ保有は能力・仕組み</w:t>
            </w:r>
          </w:p>
        </w:tc>
      </w:tr>
      <w:tr>
        <w:tc>
          <w:tcPr/>
          <w:p>
            <w:pPr>
              <w:pStyle w:val="Compact"/>
            </w:pPr>
            <w:r>
              <w:rPr>
                <w:rFonts w:hint="eastAsia" w:ascii="Times New Roman" w:hAnsi="Times New Roman" w:eastAsia="游明朝"/>
                <w:sz w:val="18"/>
              </w:rPr>
              <w:t xml:space="preserve">ルール9（事実誤認）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hint="eastAsia" w:ascii="Times New Roman" w:hAnsi="Times New Roman" w:eastAsia="游明朝"/>
                <w:sz w:val="18"/>
              </w:rPr>
              <w:t xml:space="preserve">ルール10（ネガティブ）</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該当なし</w:t>
            </w:r>
          </w:p>
        </w:tc>
      </w:tr>
      <w:tr>
        <w:tc>
          <w:tcPr/>
          <w:p>
            <w:pPr>
              <w:pStyle w:val="Compact"/>
            </w:pPr>
            <w:r>
              <w:rPr>
                <w:rFonts w:hint="eastAsia" w:ascii="Times New Roman" w:hAnsi="Times New Roman" w:eastAsia="游明朝"/>
                <w:sz w:val="18"/>
              </w:rPr>
              <w:t xml:space="preserve">ルール11（業界構造）</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嗜好多様化と複数ブランドは構造的に合致</w:t>
            </w:r>
          </w:p>
        </w:tc>
      </w:tr>
      <w:tr>
        <w:tc>
          <w:tcPr/>
          <w:p>
            <w:pPr>
              <w:pStyle w:val="Compact"/>
            </w:pPr>
            <w:r>
              <w:rPr>
                <w:rFonts w:ascii="Times New Roman" w:hAnsi="Times New Roman" w:eastAsia="游明朝"/>
                <w:sz w:val="18"/>
              </w:rPr>
              <w:t xml:space="preserve">ルール12</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却下:</w:t>
      </w:r>
      <w:r>
        <w:t xml:space="preserve"> なし | </w:t>
      </w:r>
      <w:r>
        <w:rPr>
          <w:rFonts w:hint="eastAsia"/>
        </w:rPr>
        <w:t xml:space="preserve">高評価:</w:t>
      </w:r>
      <w:r>
        <w:t xml:space="preserve"> </w:t>
      </w:r>
      <w:r>
        <w:rPr>
          <w:rFonts w:hint="eastAsia"/>
        </w:rPr>
        <w:t xml:space="preserve">III（moderate）,</w:t>
      </w:r>
      <w:r>
        <w:t xml:space="preserve"> </w:t>
      </w:r>
      <w:r>
        <w:rPr>
          <w:rFonts w:hint="eastAsia"/>
        </w:rPr>
        <w:t xml:space="preserve">V（strong）</w:t>
      </w:r>
    </w:p>
    <w:p>
      <w:pPr>
        <w:pStyle w:val="BodyText"/>
      </w:pPr>
      <w:r>
        <w:rPr>
          <w:rFonts w:hint="eastAsia"/>
          <w:b/>
          <w:bCs/>
        </w:rPr>
        <w:t xml:space="preserve">CAGR接続（70%）</w:t>
      </w:r>
      <w:r>
        <w:t xml:space="preserve">: </w:t>
      </w:r>
      <w:r>
        <w:rPr>
          <w:rFonts w:hint="eastAsia"/>
        </w:rPr>
        <w:t xml:space="preserve">複数ブランドによる新規ユーザー層獲得は数量増に寄与。RedBullとの戦略差異がCAGRドライバーの差異にもなる。</w:t>
      </w:r>
      <w:r>
        <w:rPr>
          <w:rFonts w:hint="eastAsia"/>
        </w:rPr>
        <w:t xml:space="preserve">Bang統合が順調であれば流通交渉力の上昇も期待でき、CAGR接続の確度は維持される</w:t>
      </w:r>
      <w:r>
        <w:t xml:space="preserve">。</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 &lt;– </w:t>
      </w:r>
      <w:r>
        <w:rPr>
          <w:rFonts w:hint="eastAsia"/>
        </w:rPr>
        <w:t xml:space="preserve">AI評価（T8修正後の最終値）</w:t>
      </w:r>
    </w:p>
    <w:p>
      <w:r>
        <w:pict>
          <v:rect style="width:0;height:1.5pt" o:hralign="center" o:hrstd="t" o:hr="t"/>
        </w:pict>
      </w:r>
    </w:p>
    <w:bookmarkEnd w:id="18"/>
    <w:bookmarkEnd w:id="19"/>
    <w:bookmarkStart w:id="21" w:name="主張-5-北米低所得者層における習慣的消費基盤"/>
    <w:p>
      <w:pPr>
        <w:pStyle w:val="Heading3"/>
      </w:pPr>
      <w:r>
        <w:rPr>
          <w:rFonts w:hint="eastAsia"/>
        </w:rPr>
        <w:t xml:space="preserve">主張</w:t>
      </w:r>
      <w:r>
        <w:t xml:space="preserve"> #5: </w:t>
      </w:r>
      <w:r>
        <w:rPr>
          <w:rFonts w:hint="eastAsia"/>
        </w:rPr>
        <w:t xml:space="preserve">北米低所得者層における習慣的消費基盤</w:t>
      </w:r>
    </w:p>
    <w:bookmarkStart w:id="20" w:name="ai評価-あまり納得しない30-t8修正-セグメント分け評価の補足"/>
    <w:p>
      <w:pPr>
        <w:pStyle w:val="Heading4"/>
      </w:pPr>
      <w:r>
        <w:rPr>
          <w:rFonts w:hint="eastAsia"/>
        </w:rPr>
        <w:t xml:space="preserve">AI評価:</w:t>
      </w:r>
      <w:r>
        <w:t xml:space="preserve"> </w:t>
      </w:r>
      <w:r>
        <w:rPr>
          <w:rFonts w:hint="eastAsia"/>
        </w:rPr>
        <w:t xml:space="preserve">あまり納得しない（30%）</w:t>
      </w:r>
      <w:r>
        <w:t xml:space="preserve"> </w:t>
      </w:r>
      <w:r>
        <w:rPr>
          <w:rFonts w:hint="eastAsia"/>
        </w:rPr>
        <w:t xml:space="preserve">[T8修正:</w:t>
      </w:r>
      <w:r>
        <w:t xml:space="preserve"> </w:t>
      </w:r>
      <w:r>
        <w:rPr>
          <w:rFonts w:hint="eastAsia"/>
        </w:rPr>
        <w:t xml:space="preserve">セグメント分け評価の補足]</w:t>
      </w:r>
    </w:p>
    <w:p>
      <w:pPr>
        <w:pStyle w:val="FirstParagraph"/>
      </w:pPr>
      <w:r>
        <w:rPr>
          <w:rFonts w:hint="eastAsia"/>
        </w:rPr>
        <w:t xml:space="preserve">「低所得→コンビニ等での定期購買率が高い→粘着力高い」を優位性とするのは飛躍的な解釈（KB3</w:t>
      </w:r>
      <w:r>
        <w:t xml:space="preserve"> </w:t>
      </w:r>
      <w:r>
        <w:rPr>
          <w:rFonts w:hint="eastAsia"/>
        </w:rPr>
        <w:t xml:space="preserve">MNST#5）。REDBURN社レポートからのセグメント分けは参考になるが、低所得者向け戦略→顧客粘着力は戦略→優位性の混同（パターンF）にも該当。</w:t>
      </w:r>
    </w:p>
    <w:p>
      <w:pPr>
        <w:pStyle w:val="BodyText"/>
      </w:pPr>
      <w:r>
        <w:rPr>
          <w:rFonts w:hint="eastAsia"/>
        </w:rPr>
        <w:t xml:space="preserve">さらに2024年のコンビニ来客数YoY▲3.5%、SELL転換が示すように、この「消費基盤」は環境変化に対して脆弱であることが実証された。</w:t>
      </w:r>
    </w:p>
    <w:p>
      <w:pPr>
        <w:pStyle w:val="BodyText"/>
      </w:pPr>
      <w:r>
        <w:rPr>
          <w:rFonts w:hint="eastAsia"/>
          <w:b/>
          <w:bCs/>
        </w:rPr>
        <w:t xml:space="preserve">納得できる点</w:t>
      </w:r>
      <w:r>
        <w:t xml:space="preserve">: RedBull=プレミアム vs </w:t>
      </w:r>
      <w:r>
        <w:rPr>
          <w:rFonts w:hint="eastAsia"/>
        </w:rPr>
        <w:t xml:space="preserve">MNST=廉価のセグメント分け自体は参考に値する</w:t>
      </w:r>
    </w:p>
    <w:p>
      <w:pPr>
        <w:pStyle w:val="BodyText"/>
      </w:pPr>
      <w:r>
        <w:rPr>
          <w:rFonts w:hint="eastAsia"/>
          <w:b/>
          <w:bCs/>
        </w:rPr>
        <w:t xml:space="preserve">懸念点</w:t>
      </w:r>
      <w:r>
        <w:t xml:space="preserve">: </w:t>
      </w:r>
      <w:r>
        <w:rPr>
          <w:rFonts w:hint="eastAsia"/>
        </w:rPr>
        <w:t xml:space="preserve">因果の飛躍（パターンC,</w:t>
      </w:r>
      <w:r>
        <w:t xml:space="preserve"> </w:t>
      </w:r>
      <w:r>
        <w:rPr>
          <w:rFonts w:hint="eastAsia"/>
        </w:rPr>
        <w:t xml:space="preserve">strong）、戦略→優位性の混同（パターンF,</w:t>
      </w:r>
      <w:r>
        <w:t xml:space="preserve"> </w:t>
      </w:r>
      <w:r>
        <w:rPr>
          <w:rFonts w:hint="eastAsia"/>
        </w:rPr>
        <w:t xml:space="preserve">moderate）、2024年の消費環境悪化が仮説の脆弱性を実証</w:t>
      </w:r>
    </w:p>
    <w:p>
      <w:pPr>
        <w:pStyle w:val="BlockText"/>
      </w:pPr>
      <w:r>
        <w:rPr>
          <w:rFonts w:hint="eastAsia"/>
          <w:b/>
          <w:bCs/>
        </w:rPr>
        <w:t xml:space="preserve">[注5]</w:t>
      </w:r>
      <w:r>
        <w:rPr>
          <w:b/>
          <w:bCs/>
        </w:rPr>
        <w:t xml:space="preserve"> </w:t>
      </w:r>
      <w:r>
        <w:rPr>
          <w:rFonts w:hint="eastAsia"/>
          <w:b/>
          <w:bCs/>
        </w:rPr>
        <w:t xml:space="preserve">T8批判</w:t>
      </w:r>
      <w:r>
        <w:rPr>
          <w:b/>
          <w:bCs/>
        </w:rPr>
        <w:t xml:space="preserve"> (minor): </w:t>
      </w:r>
      <w:r>
        <w:rPr>
          <w:rFonts w:hint="eastAsia"/>
          <w:b/>
          <w:bCs/>
        </w:rPr>
        <w:t xml:space="preserve">セグメント分け評価のClaim</w:t>
      </w:r>
      <w:r>
        <w:rPr>
          <w:b/>
          <w:bCs/>
        </w:rPr>
        <w:t xml:space="preserve"> </w:t>
      </w:r>
      <w:r>
        <w:rPr>
          <w:rFonts w:hint="eastAsia"/>
          <w:b/>
          <w:bCs/>
        </w:rPr>
        <w:t xml:space="preserve">#4との関連</w:t>
      </w:r>
    </w:p>
    <w:p>
      <w:pPr>
        <w:pStyle w:val="BlockText"/>
      </w:pPr>
      <w:r>
        <w:rPr>
          <w:rFonts w:hint="eastAsia"/>
        </w:rPr>
        <w:t xml:space="preserve">Y評価は30%としつつも「REDBURN社のレポートから、REDBULLはプレミアム、MNSTは廉価にセグメント分けされていると解釈しており、対競合とのセグメント分けを評価していた」と述べている。このセグメント分けの視点は、Claim</w:t>
      </w:r>
      <w:r>
        <w:t xml:space="preserve"> </w:t>
      </w:r>
      <w:r>
        <w:rPr>
          <w:rFonts w:hint="eastAsia"/>
        </w:rPr>
        <w:t xml:space="preserve">#4（複数ブランドポートフォリオ）と関連付けるとより積極的に活用できる。MNSTがプレミアム（Ultra）から廉価（Monster</w:t>
      </w:r>
      <w:r>
        <w:t xml:space="preserve"> </w:t>
      </w:r>
      <w:r>
        <w:rPr>
          <w:rFonts w:hint="eastAsia"/>
        </w:rPr>
        <w:t xml:space="preserve">Green）まで価格帯をカバーしている点はClaim</w:t>
      </w:r>
      <w:r>
        <w:t xml:space="preserve"> </w:t>
      </w:r>
      <w:r>
        <w:rPr>
          <w:rFonts w:hint="eastAsia"/>
        </w:rPr>
        <w:t xml:space="preserve">#4の補強材料であり、Claim</w:t>
      </w:r>
      <w:r>
        <w:t xml:space="preserve"> </w:t>
      </w:r>
      <w:r>
        <w:rPr>
          <w:rFonts w:hint="eastAsia"/>
        </w:rPr>
        <w:t xml:space="preserve">#5単独では30%だがClaim</w:t>
      </w:r>
      <w:r>
        <w:t xml:space="preserve"> </w:t>
      </w:r>
      <w:r>
        <w:rPr>
          <w:rFonts w:hint="eastAsia"/>
        </w:rPr>
        <w:t xml:space="preserve">#4の70%を下支えする関係にある。</w:t>
      </w:r>
    </w:p>
    <w:p>
      <w:pPr>
        <w:pStyle w:val="BlockText"/>
      </w:pPr>
      <w:r>
        <w:rPr>
          <w:rFonts w:hint="eastAsia"/>
          <w:b/>
          <w:bCs/>
        </w:rPr>
        <w:t xml:space="preserve">T8の判断</w:t>
      </w:r>
      <w:r>
        <w:t xml:space="preserve">: </w:t>
      </w:r>
      <w:r>
        <w:rPr>
          <w:rFonts w:hint="eastAsia"/>
        </w:rPr>
        <w:t xml:space="preserve">30%は適切。セグメント分けの評価はClaim</w:t>
      </w:r>
      <w:r>
        <w:t xml:space="preserve"> </w:t>
      </w:r>
      <w:r>
        <w:rPr>
          <w:rFonts w:hint="eastAsia"/>
        </w:rPr>
        <w:t xml:space="preserve">#4との関連で活用すべきことを明記。</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要約</w:t>
            </w:r>
          </w:p>
        </w:tc>
      </w:tr>
      <w:tr>
        <w:tc>
          <w:tcPr/>
          <w:p>
            <w:pPr>
              <w:pStyle w:val="Compact"/>
            </w:pPr>
            <w:r>
              <w:rPr>
                <w:rFonts w:hint="eastAsia" w:ascii="Times New Roman" w:hAnsi="Times New Roman" w:eastAsia="游明朝"/>
                <w:sz w:val="18"/>
              </w:rPr>
              <w:t xml:space="preserve">ルール1（能力&gt;結果）</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消費基盤は結果。価格設定は戦略</w:t>
            </w:r>
          </w:p>
        </w:tc>
      </w:tr>
      <w:tr>
        <w:tc>
          <w:tcPr/>
          <w:p>
            <w:pPr>
              <w:pStyle w:val="Compact"/>
            </w:pPr>
            <w:r>
              <w:rPr>
                <w:rFonts w:hint="eastAsia" w:ascii="Times New Roman" w:hAnsi="Times New Roman" w:eastAsia="游明朝"/>
                <w:sz w:val="18"/>
              </w:rPr>
              <w:t xml:space="preserve">ルール2（名詞属性）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消費基盤は名詞だが属性としてやや弱い</w:t>
            </w:r>
          </w:p>
        </w:tc>
      </w:tr>
      <w:tr>
        <w:tc>
          <w:tcPr/>
          <w:p>
            <w:pPr>
              <w:pStyle w:val="Compact"/>
            </w:pPr>
            <w:r>
              <w:rPr>
                <w:rFonts w:hint="eastAsia" w:ascii="Times New Roman" w:hAnsi="Times New Roman" w:eastAsia="游明朝"/>
                <w:sz w:val="18"/>
              </w:rPr>
              <w:t xml:space="preserve">ルール4（説明力）</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定量データなし（リピート率、購買頻度等）</w:t>
            </w:r>
          </w:p>
        </w:tc>
      </w:tr>
      <w:tr>
        <w:tc>
          <w:tcPr/>
          <w:p>
            <w:pPr>
              <w:pStyle w:val="Compact"/>
            </w:pPr>
            <w:r>
              <w:rPr>
                <w:rFonts w:hint="eastAsia" w:ascii="Times New Roman" w:hAnsi="Times New Roman" w:eastAsia="游明朝"/>
                <w:sz w:val="18"/>
              </w:rPr>
              <w:t xml:space="preserve">ルール6（構造的）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2024年に脆弱性露呈</w:t>
            </w:r>
          </w:p>
        </w:tc>
      </w:tr>
      <w:tr>
        <w:tc>
          <w:tcPr/>
          <w:p>
            <w:pPr>
              <w:pStyle w:val="Compact"/>
            </w:pPr>
            <w:r>
              <w:rPr>
                <w:rFonts w:hint="eastAsia" w:ascii="Times New Roman" w:hAnsi="Times New Roman" w:eastAsia="游明朝"/>
                <w:sz w:val="18"/>
              </w:rPr>
              <w:t xml:space="preserve">ルール7（純粋競合）</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ポジショニングの違いで優位性ではない</w:t>
            </w:r>
          </w:p>
        </w:tc>
      </w:tr>
      <w:tr>
        <w:tc>
          <w:tcPr/>
          <w:p>
            <w:pPr>
              <w:pStyle w:val="Compact"/>
            </w:pPr>
            <w:r>
              <w:rPr>
                <w:rFonts w:hint="eastAsia" w:ascii="Times New Roman" w:hAnsi="Times New Roman" w:eastAsia="游明朝"/>
                <w:sz w:val="18"/>
              </w:rPr>
              <w:t xml:space="preserve">ルール8（戦略混同）</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低所得者向け戦略→粘着力はパターンF</w:t>
            </w:r>
          </w:p>
        </w:tc>
      </w:tr>
      <w:tr>
        <w:tc>
          <w:tcPr/>
          <w:p>
            <w:pPr>
              <w:pStyle w:val="Compact"/>
            </w:pPr>
            <w:r>
              <w:rPr>
                <w:rFonts w:hint="eastAsia" w:ascii="Times New Roman" w:hAnsi="Times New Roman" w:eastAsia="游明朝"/>
                <w:sz w:val="18"/>
              </w:rPr>
              <w:t xml:space="preserve">ルール9（事実誤認）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hint="eastAsia" w:ascii="Times New Roman" w:hAnsi="Times New Roman" w:eastAsia="游明朝"/>
                <w:sz w:val="18"/>
              </w:rPr>
              <w:t xml:space="preserve">ルール10（ネガティブ）</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2024年SELL転換が脆弱性の逆方向実証</w:t>
            </w:r>
          </w:p>
        </w:tc>
      </w:tr>
      <w:tr>
        <w:tc>
          <w:tcPr/>
          <w:p>
            <w:pPr>
              <w:pStyle w:val="Compact"/>
            </w:pPr>
            <w:r>
              <w:rPr>
                <w:rFonts w:hint="eastAsia" w:ascii="Times New Roman" w:hAnsi="Times New Roman" w:eastAsia="游明朝"/>
                <w:sz w:val="18"/>
              </w:rPr>
              <w:t xml:space="preserve">ルール11（業界構造）</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主張されていない</w:t>
            </w:r>
          </w:p>
        </w:tc>
      </w:tr>
      <w:tr>
        <w:tc>
          <w:tcPr/>
          <w:p>
            <w:pPr>
              <w:pStyle w:val="Compact"/>
            </w:pPr>
            <w:r>
              <w:rPr>
                <w:rFonts w:ascii="Times New Roman" w:hAnsi="Times New Roman" w:eastAsia="游明朝"/>
                <w:sz w:val="18"/>
              </w:rPr>
              <w:t xml:space="preserve">ルール12</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却下:</w:t>
      </w:r>
      <w:r>
        <w:t xml:space="preserve"> </w:t>
      </w:r>
      <w:r>
        <w:rPr>
          <w:rFonts w:hint="eastAsia"/>
        </w:rPr>
        <w:t xml:space="preserve">C（strong）,</w:t>
      </w:r>
      <w:r>
        <w:t xml:space="preserve"> </w:t>
      </w:r>
      <w:r>
        <w:rPr>
          <w:rFonts w:hint="eastAsia"/>
        </w:rPr>
        <w:t xml:space="preserve">F（moderate）</w:t>
      </w:r>
      <w:r>
        <w:t xml:space="preserve"> | </w:t>
      </w:r>
      <w:r>
        <w:rPr>
          <w:rFonts w:hint="eastAsia"/>
        </w:rPr>
        <w:t xml:space="preserve">高評価:</w:t>
      </w:r>
      <w:r>
        <w:t xml:space="preserve"> なし</w:t>
      </w:r>
    </w:p>
    <w:p>
      <w:pPr>
        <w:pStyle w:val="BodyText"/>
      </w:pPr>
      <w:r>
        <w:rPr>
          <w:rFonts w:hint="eastAsia"/>
          <w:b/>
          <w:bCs/>
        </w:rPr>
        <w:t xml:space="preserve">CAGR接続（50%）</w:t>
      </w:r>
      <w:r>
        <w:t xml:space="preserve">: </w:t>
      </w:r>
      <w:r>
        <w:rPr>
          <w:rFonts w:hint="eastAsia"/>
        </w:rPr>
        <w:t xml:space="preserve">粘着性が高ければリピート層の安定収益は見込めるが、既存・新規ユーザー構成や価格弾性値への見解がなければ確度は限定的。</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&lt;– </w:t>
      </w:r>
      <w:r>
        <w:rPr>
          <w:rFonts w:hint="eastAsia"/>
        </w:rPr>
        <w:t xml:space="preserve">AI評価（T8修正後の最終値）</w:t>
      </w:r>
    </w:p>
    <w:p>
      <w:r>
        <w:pict>
          <v:rect style="width:0;height:1.5pt" o:hralign="center" o:hrstd="t" o:hr="t"/>
        </w:pict>
      </w:r>
    </w:p>
    <w:bookmarkEnd w:id="20"/>
    <w:bookmarkEnd w:id="21"/>
    <w:bookmarkStart w:id="23" w:name="主張-6-効率的なコスト構造と規模の経済による営業レバレッジ余地"/>
    <w:p>
      <w:pPr>
        <w:pStyle w:val="Heading3"/>
      </w:pPr>
      <w:r>
        <w:rPr>
          <w:rFonts w:hint="eastAsia"/>
        </w:rPr>
        <w:t xml:space="preserve">主張</w:t>
      </w:r>
      <w:r>
        <w:t xml:space="preserve"> #6: </w:t>
      </w:r>
      <w:r>
        <w:rPr>
          <w:rFonts w:hint="eastAsia"/>
        </w:rPr>
        <w:t xml:space="preserve">効率的なコスト構造と規模の経済による営業レバレッジ余地</w:t>
      </w:r>
    </w:p>
    <w:bookmarkStart w:id="22" w:name="X0d913727aac4e0e93a0dab751e0333e30d0517f"/>
    <w:p>
      <w:pPr>
        <w:pStyle w:val="Heading4"/>
      </w:pPr>
      <w:r>
        <w:rPr>
          <w:rFonts w:hint="eastAsia"/>
        </w:rPr>
        <w:t xml:space="preserve">AI評価:</w:t>
      </w:r>
      <w:r>
        <w:t xml:space="preserve"> </w:t>
      </w:r>
      <w:r>
        <w:rPr>
          <w:rFonts w:hint="eastAsia"/>
        </w:rPr>
        <w:t xml:space="preserve">あまり納得しない（30%）</w:t>
      </w:r>
      <w:r>
        <w:t xml:space="preserve"> </w:t>
      </w:r>
      <w:r>
        <w:rPr>
          <w:rFonts w:hint="eastAsia"/>
        </w:rPr>
        <w:t xml:space="preserve">[T8修正:</w:t>
      </w:r>
      <w:r>
        <w:t xml:space="preserve"> KB3 </w:t>
      </w:r>
      <w:r>
        <w:rPr>
          <w:rFonts w:hint="eastAsia"/>
        </w:rPr>
        <w:t xml:space="preserve">MNST#6との+20pt乖離の根拠明記]</w:t>
      </w:r>
    </w:p>
    <w:p>
      <w:pPr>
        <w:pStyle w:val="FirstParagraph"/>
      </w:pPr>
      <w:r>
        <w:rPr>
          <w:rFonts w:hint="eastAsia"/>
        </w:rPr>
        <w:t xml:space="preserve">GPMは50-60%台で安定推移、OPMはFY22の25.1%からQ3</w:t>
      </w:r>
      <w:r>
        <w:t xml:space="preserve"> </w:t>
      </w:r>
      <w:r>
        <w:rPr>
          <w:rFonts w:hint="eastAsia"/>
        </w:rPr>
        <w:t xml:space="preserve">2025の30.7%へ回復途上（SEC</w:t>
      </w:r>
      <w:r>
        <w:t xml:space="preserve"> EDGAR </w:t>
      </w:r>
      <w:r>
        <w:rPr>
          <w:rFonts w:hint="eastAsia"/>
        </w:rPr>
        <w:t xml:space="preserve">XBRL検証済み）。これらの数値は正確だが、コスト構造「自体」に優位性が確認できない（KB3</w:t>
      </w:r>
      <w:r>
        <w:t xml:space="preserve"> </w:t>
      </w:r>
      <w:r>
        <w:rPr>
          <w:rFonts w:hint="eastAsia"/>
        </w:rPr>
        <w:t xml:space="preserve">MNST#6と同じ課題）。</w:t>
      </w:r>
    </w:p>
    <w:p>
      <w:pPr>
        <w:pStyle w:val="BodyText"/>
      </w:pPr>
      <w:r>
        <w:t xml:space="preserve">KB3 </w:t>
      </w:r>
      <w:r>
        <w:rPr>
          <w:rFonts w:hint="eastAsia"/>
        </w:rPr>
        <w:t xml:space="preserve">MNST#6は「OPMをGPMと誤認」で10%即却下。本評価ではSEC</w:t>
      </w:r>
      <w:r>
        <w:t xml:space="preserve"> </w:t>
      </w:r>
      <w:r>
        <w:rPr>
          <w:rFonts w:hint="eastAsia"/>
        </w:rPr>
        <w:t xml:space="preserve">EDGARで正確にGPM</w:t>
      </w:r>
      <w:r>
        <w:t xml:space="preserve"> 55.7%/OPM </w:t>
      </w:r>
      <w:r>
        <w:rPr>
          <w:rFonts w:hint="eastAsia"/>
        </w:rPr>
        <w:t xml:space="preserve">30.7%を区別しており事実誤認はない。しかし優位性としての実質的弱さは同様であり30%とする。</w:t>
      </w:r>
    </w:p>
    <w:p>
      <w:pPr>
        <w:pStyle w:val="BodyText"/>
      </w:pPr>
      <w:r>
        <w:rPr>
          <w:rFonts w:hint="eastAsia"/>
          <w:b/>
          <w:bCs/>
        </w:rPr>
        <w:t xml:space="preserve">納得できる点</w:t>
      </w:r>
      <w:r>
        <w:t xml:space="preserve">: SEC EDGAR </w:t>
      </w:r>
      <w:r>
        <w:rPr>
          <w:rFonts w:hint="eastAsia"/>
        </w:rPr>
        <w:t xml:space="preserve">XBRLで正確なGPM/OPM区別、OPM回復傾向</w:t>
      </w:r>
    </w:p>
    <w:p>
      <w:pPr>
        <w:pStyle w:val="BodyText"/>
      </w:pPr>
      <w:r>
        <w:rPr>
          <w:rFonts w:hint="eastAsia"/>
          <w:b/>
          <w:bCs/>
        </w:rPr>
        <w:t xml:space="preserve">懸念点</w:t>
      </w:r>
      <w:r>
        <w:t xml:space="preserve">: </w:t>
      </w:r>
      <w:r>
        <w:rPr>
          <w:rFonts w:hint="eastAsia"/>
        </w:rPr>
        <w:t xml:space="preserve">結果を原因と取り違え（パターンA,</w:t>
      </w:r>
      <w:r>
        <w:t xml:space="preserve"> </w:t>
      </w:r>
      <w:r>
        <w:rPr>
          <w:rFonts w:hint="eastAsia"/>
        </w:rPr>
        <w:t xml:space="preserve">moderate）、説明力不足（パターンD,</w:t>
      </w:r>
      <w:r>
        <w:t xml:space="preserve"> </w:t>
      </w:r>
      <w:r>
        <w:rPr>
          <w:rFonts w:hint="eastAsia"/>
        </w:rPr>
        <w:t xml:space="preserve">moderate）、競合比較完全欠如（パターンG,</w:t>
      </w:r>
      <w:r>
        <w:t xml:space="preserve"> </w:t>
      </w:r>
      <w:r>
        <w:rPr>
          <w:rFonts w:hint="eastAsia"/>
        </w:rPr>
        <w:t xml:space="preserve">strong）、KO変動フィーの営業レバ相殺</w:t>
      </w:r>
    </w:p>
    <w:p>
      <w:pPr>
        <w:pStyle w:val="BlockText"/>
      </w:pPr>
      <w:r>
        <w:rPr>
          <w:rFonts w:hint="eastAsia"/>
          <w:b/>
          <w:bCs/>
        </w:rPr>
        <w:t xml:space="preserve">[注6]</w:t>
      </w:r>
      <w:r>
        <w:rPr>
          <w:b/>
          <w:bCs/>
        </w:rPr>
        <w:t xml:space="preserve"> </w:t>
      </w:r>
      <w:r>
        <w:rPr>
          <w:rFonts w:hint="eastAsia"/>
          <w:b/>
          <w:bCs/>
        </w:rPr>
        <w:t xml:space="preserve">T8批判</w:t>
      </w:r>
      <w:r>
        <w:rPr>
          <w:b/>
          <w:bCs/>
        </w:rPr>
        <w:t xml:space="preserve"> (critical): KB3 </w:t>
      </w:r>
      <w:r>
        <w:rPr>
          <w:rFonts w:hint="eastAsia"/>
          <w:b/>
          <w:bCs/>
        </w:rPr>
        <w:t xml:space="preserve">MNST#6との+20pt乖離の妥当性</w:t>
      </w:r>
    </w:p>
    <w:p>
      <w:pPr>
        <w:pStyle w:val="BlockText"/>
      </w:pPr>
      <w:r>
        <w:t xml:space="preserve">KB3 </w:t>
      </w:r>
      <w:r>
        <w:rPr>
          <w:rFonts w:hint="eastAsia"/>
        </w:rPr>
        <w:t xml:space="preserve">MNST#6は10%（ルール9適用:</w:t>
      </w:r>
      <w:r>
        <w:t xml:space="preserve"> </w:t>
      </w:r>
      <w:r>
        <w:rPr>
          <w:rFonts w:hint="eastAsia"/>
        </w:rPr>
        <w:t xml:space="preserve">OPM/GPM誤認</w:t>
      </w:r>
      <w:r>
        <w:t xml:space="preserve"> + </w:t>
      </w:r>
      <w:r>
        <w:rPr>
          <w:rFonts w:hint="eastAsia"/>
        </w:rPr>
        <w:t xml:space="preserve">実質弱い）。本評価は30%（事実誤認なし</w:t>
      </w:r>
      <w:r>
        <w:t xml:space="preserve"> + </w:t>
      </w:r>
      <w:r>
        <w:rPr>
          <w:rFonts w:hint="eastAsia"/>
        </w:rPr>
        <w:t xml:space="preserve">実質弱い）で+20ptの乖離が発生。この乖離は「事実誤認の回避」という明確な改善に基づくものであり、ルール9が適用されなければ10%にはならない。</w:t>
      </w:r>
      <w:r>
        <w:rPr>
          <w:rFonts w:hint="eastAsia"/>
        </w:rPr>
        <w:t xml:space="preserve">ただしY評価は事実誤認「以外」にも「コスト構造自体に優位性の確認できず」「KOへの変動フィー支払いが営業レバレッジを一部相殺」という実質的弱点を指摘しており</w:t>
      </w:r>
      <w:r>
        <w:rPr>
          <w:rFonts w:hint="eastAsia"/>
        </w:rPr>
        <w:t xml:space="preserve">、これらの弱点は本評価でも解消されていない。パターンA+D+G(strong)の検出結果に照らし、30%（あまり納得しない）は妥当な評価と判断する。</w:t>
      </w:r>
    </w:p>
    <w:p>
      <w:pPr>
        <w:pStyle w:val="BlockText"/>
      </w:pPr>
      <w:r>
        <w:rPr>
          <w:rFonts w:hint="eastAsia"/>
          <w:b/>
          <w:bCs/>
        </w:rPr>
        <w:t xml:space="preserve">T8の判断</w:t>
      </w:r>
      <w:r>
        <w:t xml:space="preserve">: </w:t>
      </w:r>
      <w:r>
        <w:rPr>
          <w:rFonts w:hint="eastAsia"/>
        </w:rPr>
        <w:t xml:space="preserve">30%を維持。+20ptの乖離は事実誤認回避による正当な改善として記録。T9精度検証で平均乖離への影響を精査。将来のKB更新でMNST#6の「事実誤認なし版」（30%）をアノテーションとして追加することを推奨。</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要約</w:t>
            </w:r>
          </w:p>
        </w:tc>
      </w:tr>
      <w:tr>
        <w:tc>
          <w:tcPr/>
          <w:p>
            <w:pPr>
              <w:pStyle w:val="Compact"/>
            </w:pPr>
            <w:r>
              <w:rPr>
                <w:rFonts w:hint="eastAsia" w:ascii="Times New Roman" w:hAnsi="Times New Roman" w:eastAsia="游明朝"/>
                <w:sz w:val="18"/>
              </w:rPr>
              <w:t xml:space="preserve">ルール1（能力&gt;結果）</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コスト構造は結果の側面が強い</w:t>
            </w:r>
          </w:p>
        </w:tc>
      </w:tr>
      <w:tr>
        <w:tc>
          <w:tcPr/>
          <w:p>
            <w:pPr>
              <w:pStyle w:val="Compact"/>
            </w:pPr>
            <w:r>
              <w:rPr>
                <w:rFonts w:hint="eastAsia" w:ascii="Times New Roman" w:hAnsi="Times New Roman" w:eastAsia="游明朝"/>
                <w:sz w:val="18"/>
              </w:rPr>
              <w:t xml:space="preserve">ルール2（名詞属性）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規模の経済のメカニズム説明不足</w:t>
            </w:r>
          </w:p>
        </w:tc>
      </w:tr>
      <w:tr>
        <w:tc>
          <w:tcPr/>
          <w:p>
            <w:pPr>
              <w:pStyle w:val="Compact"/>
            </w:pPr>
            <w:r>
              <w:rPr>
                <w:rFonts w:hint="eastAsia" w:ascii="Times New Roman" w:hAnsi="Times New Roman" w:eastAsia="游明朝"/>
                <w:sz w:val="18"/>
              </w:rPr>
              <w:t xml:space="preserve">ルール4（説明力）</w:t>
            </w:r>
          </w:p>
        </w:tc>
        <w:tc>
          <w:tcPr/>
          <w:p>
            <w:pPr>
              <w:pStyle w:val="Compact"/>
            </w:pPr>
            <w:r>
              <w:rPr>
                <w:rFonts w:ascii="Times New Roman" w:hAnsi="Times New Roman" w:eastAsia="游明朝"/>
                <w:sz w:val="18"/>
              </w:rPr>
              <w:t xml:space="preserve">PARTIAL</w:t>
            </w:r>
          </w:p>
        </w:tc>
        <w:tc>
          <w:tcPr/>
          <w:p>
            <w:pPr>
              <w:pStyle w:val="Compact"/>
            </w:pPr>
            <w:r>
              <w:rPr>
                <w:rFonts w:ascii="Times New Roman" w:hAnsi="Times New Roman" w:eastAsia="游明朝"/>
                <w:sz w:val="18"/>
              </w:rPr>
              <w:t xml:space="preserve">SEC </w:t>
            </w:r>
            <w:r>
              <w:rPr>
                <w:rFonts w:hint="eastAsia" w:ascii="Times New Roman" w:hAnsi="Times New Roman" w:eastAsia="游明朝"/>
                <w:sz w:val="18"/>
              </w:rPr>
              <w:t xml:space="preserve">EDGAR数値あり。競合比較なし</w:t>
            </w:r>
          </w:p>
        </w:tc>
      </w:tr>
      <w:tr>
        <w:tc>
          <w:tcPr/>
          <w:p>
            <w:pPr>
              <w:pStyle w:val="Compact"/>
            </w:pPr>
            <w:r>
              <w:rPr>
                <w:rFonts w:hint="eastAsia" w:ascii="Times New Roman" w:hAnsi="Times New Roman" w:eastAsia="游明朝"/>
                <w:sz w:val="18"/>
              </w:rPr>
              <w:t xml:space="preserve">ルール6（構造的）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KO依存で独自の構造的優位と言いがたい</w:t>
            </w:r>
          </w:p>
        </w:tc>
      </w:tr>
      <w:tr>
        <w:tc>
          <w:tcPr/>
          <w:p>
            <w:pPr>
              <w:pStyle w:val="Compact"/>
            </w:pPr>
            <w:r>
              <w:rPr>
                <w:rFonts w:hint="eastAsia" w:ascii="Times New Roman" w:hAnsi="Times New Roman" w:eastAsia="游明朝"/>
                <w:sz w:val="18"/>
              </w:rPr>
              <w:t xml:space="preserve">ルール7（純粋競合）</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RedBull非上場で比較不可</w:t>
            </w:r>
          </w:p>
        </w:tc>
      </w:tr>
      <w:tr>
        <w:tc>
          <w:tcPr/>
          <w:p>
            <w:pPr>
              <w:pStyle w:val="Compact"/>
            </w:pPr>
            <w:r>
              <w:rPr>
                <w:rFonts w:hint="eastAsia" w:ascii="Times New Roman" w:hAnsi="Times New Roman" w:eastAsia="游明朝"/>
                <w:sz w:val="18"/>
              </w:rPr>
              <w:t xml:space="preserve">ルール8（戦略混同）</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コスト構造は属性</w:t>
            </w:r>
          </w:p>
        </w:tc>
      </w:tr>
      <w:tr>
        <w:tc>
          <w:tcPr/>
          <w:p>
            <w:pPr>
              <w:pStyle w:val="Compact"/>
            </w:pPr>
            <w:r>
              <w:rPr>
                <w:rFonts w:hint="eastAsia" w:ascii="Times New Roman" w:hAnsi="Times New Roman" w:eastAsia="游明朝"/>
                <w:sz w:val="18"/>
              </w:rPr>
              <w:t xml:space="preserve">ルール9（事実誤認）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GPM/OPM正確に区別（KB3</w:t>
            </w:r>
            <w:r>
              <w:rPr>
                <w:rFonts w:ascii="Times New Roman" w:hAnsi="Times New Roman" w:eastAsia="游明朝"/>
                <w:sz w:val="18"/>
              </w:rPr>
              <w:t xml:space="preserve"> </w:t>
            </w:r>
            <w:r>
              <w:rPr>
                <w:rFonts w:hint="eastAsia" w:ascii="Times New Roman" w:hAnsi="Times New Roman" w:eastAsia="游明朝"/>
                <w:sz w:val="18"/>
              </w:rPr>
              <w:t xml:space="preserve">#6の誤認回避）</w:t>
            </w:r>
          </w:p>
        </w:tc>
      </w:tr>
      <w:tr>
        <w:tc>
          <w:tcPr/>
          <w:p>
            <w:pPr>
              <w:pStyle w:val="Compact"/>
            </w:pPr>
            <w:r>
              <w:rPr>
                <w:rFonts w:hint="eastAsia" w:ascii="Times New Roman" w:hAnsi="Times New Roman" w:eastAsia="游明朝"/>
                <w:sz w:val="18"/>
              </w:rPr>
              <w:t xml:space="preserve">ルール10（ネガティブ）</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該当なし</w:t>
            </w:r>
          </w:p>
        </w:tc>
      </w:tr>
      <w:tr>
        <w:tc>
          <w:tcPr/>
          <w:p>
            <w:pPr>
              <w:pStyle w:val="Compact"/>
            </w:pPr>
            <w:r>
              <w:rPr>
                <w:rFonts w:hint="eastAsia" w:ascii="Times New Roman" w:hAnsi="Times New Roman" w:eastAsia="游明朝"/>
                <w:sz w:val="18"/>
              </w:rPr>
              <w:t xml:space="preserve">ルール11（業界構造）</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主張されていない</w:t>
            </w:r>
          </w:p>
        </w:tc>
      </w:tr>
      <w:tr>
        <w:tc>
          <w:tcPr/>
          <w:p>
            <w:pPr>
              <w:pStyle w:val="Compact"/>
            </w:pPr>
            <w:r>
              <w:rPr>
                <w:rFonts w:ascii="Times New Roman" w:hAnsi="Times New Roman" w:eastAsia="游明朝"/>
                <w:sz w:val="18"/>
              </w:rPr>
              <w:t xml:space="preserve">ルール12</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却下:</w:t>
      </w:r>
      <w:r>
        <w:t xml:space="preserve"> </w:t>
      </w:r>
      <w:r>
        <w:rPr>
          <w:rFonts w:hint="eastAsia"/>
        </w:rPr>
        <w:t xml:space="preserve">A（moderate）,</w:t>
      </w:r>
      <w:r>
        <w:t xml:space="preserve"> </w:t>
      </w:r>
      <w:r>
        <w:rPr>
          <w:rFonts w:hint="eastAsia"/>
        </w:rPr>
        <w:t xml:space="preserve">D（moderate）,</w:t>
      </w:r>
      <w:r>
        <w:t xml:space="preserve"> </w:t>
      </w:r>
      <w:r>
        <w:rPr>
          <w:rFonts w:hint="eastAsia"/>
        </w:rPr>
        <w:t xml:space="preserve">G（strong）</w:t>
      </w:r>
      <w:r>
        <w:t xml:space="preserve"> | </w:t>
      </w:r>
      <w:r>
        <w:rPr>
          <w:rFonts w:hint="eastAsia"/>
        </w:rPr>
        <w:t xml:space="preserve">高評価:</w:t>
      </w:r>
      <w:r>
        <w:t xml:space="preserve"> </w:t>
      </w:r>
      <w:r>
        <w:rPr>
          <w:rFonts w:hint="eastAsia"/>
        </w:rPr>
        <w:t xml:space="preserve">I（partial）</w:t>
      </w:r>
    </w:p>
    <w:p>
      <w:pPr>
        <w:pStyle w:val="BodyText"/>
      </w:pPr>
      <w:r>
        <w:rPr>
          <w:rFonts w:hint="eastAsia"/>
          <w:b/>
          <w:bCs/>
        </w:rPr>
        <w:t xml:space="preserve">CAGR接続（50%）</w:t>
      </w:r>
      <w:r>
        <w:t xml:space="preserve">: </w:t>
      </w:r>
      <w:r>
        <w:rPr>
          <w:rFonts w:hint="eastAsia"/>
        </w:rPr>
        <w:t xml:space="preserve">規模の経済が働けば営業レバレッジは見込めるが、KOフィー支払いが相殺要因。CAGR内訳の「営業レバ0%（保守的）」との整合性はある。</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&lt;– </w:t>
      </w:r>
      <w:r>
        <w:rPr>
          <w:rFonts w:hint="eastAsia"/>
        </w:rPr>
        <w:t xml:space="preserve">AI評価（T8修正後の最終値）</w:t>
      </w:r>
    </w:p>
    <w:p>
      <w:r>
        <w:pict>
          <v:rect style="width:0;height:1.5pt" o:hralign="center" o:hrstd="t" o:hr="t"/>
        </w:pict>
      </w:r>
    </w:p>
    <w:bookmarkEnd w:id="22"/>
    <w:bookmarkEnd w:id="23"/>
    <w:bookmarkEnd w:id="24"/>
    <w:bookmarkStart w:id="30" w:name="総合評価"/>
    <w:p>
      <w:pPr>
        <w:pStyle w:val="Heading2"/>
      </w:pPr>
      <w:r>
        <w:t xml:space="preserve">4. </w:t>
      </w:r>
      <w:r>
        <w:rPr>
          <w:rFonts w:hint="eastAsia"/>
        </w:rPr>
        <w:t xml:space="preserve">総合評価</w:t>
      </w:r>
    </w:p>
    <w:bookmarkStart w:id="25" w:name="競争優位性の構造"/>
    <w:p>
      <w:pPr>
        <w:pStyle w:val="Heading3"/>
      </w:pPr>
      <w:r>
        <w:rPr>
          <w:rFonts w:hint="eastAsia"/>
        </w:rPr>
        <w:t xml:space="preserve">競争優位性の構造</w:t>
      </w:r>
    </w:p>
    <w:p>
      <w:pPr>
        <w:pStyle w:val="SourceCode"/>
      </w:pPr>
      <w:r>
        <w:rPr>
          <w:rStyle w:val="VerbatimChar"/>
          <w:rFonts w:hint="eastAsia"/>
        </w:rPr>
        <w:t xml:space="preserve">【核心的優位性】</w:t>
      </w:r>
      <w:r>
        <w:br/>
      </w:r>
      <w:r>
        <w:rPr>
          <w:rStyle w:val="VerbatimChar"/>
        </w:rPr>
        <w:t xml:space="preserve">  #4 </w:t>
      </w:r>
      <w:r>
        <w:rPr>
          <w:rStyle w:val="VerbatimChar"/>
          <w:rFonts w:hint="eastAsia"/>
        </w:rPr>
        <w:t xml:space="preserve">複数ブランドポートフォリオ（70%）</w:t>
      </w:r>
      <w:r>
        <w:rPr>
          <w:rStyle w:val="VerbatimChar"/>
        </w:rPr>
        <w:t xml:space="preserve"> --- </w:t>
      </w:r>
      <w:r>
        <w:rPr>
          <w:rStyle w:val="VerbatimChar"/>
          <w:rFonts w:hint="eastAsia"/>
        </w:rPr>
        <w:t xml:space="preserve">唯一の「おおむね納得」</w:t>
      </w:r>
      <w:r>
        <w:br/>
      </w:r>
      <w:r>
        <w:rPr>
          <w:rStyle w:val="VerbatimChar"/>
        </w:rPr>
        <w:t xml:space="preserve">          ↕ </w:t>
      </w:r>
      <w:r>
        <w:rPr>
          <w:rStyle w:val="VerbatimChar"/>
          <w:rFonts w:hint="eastAsia"/>
        </w:rPr>
        <w:t xml:space="preserve">相互補完</w:t>
      </w:r>
      <w:r>
        <w:br/>
      </w:r>
      <w:r>
        <w:rPr>
          <w:rStyle w:val="VerbatimChar"/>
        </w:rPr>
        <w:t xml:space="preserve">  #1 </w:t>
      </w:r>
      <w:r>
        <w:rPr>
          <w:rStyle w:val="VerbatimChar"/>
          <w:rFonts w:hint="eastAsia"/>
        </w:rPr>
        <w:t xml:space="preserve">ブランド力と二強構造（50%）</w:t>
      </w:r>
      <w:r>
        <w:rPr>
          <w:rStyle w:val="VerbatimChar"/>
        </w:rPr>
        <w:t xml:space="preserve"> --- </w:t>
      </w:r>
      <w:r>
        <w:rPr>
          <w:rStyle w:val="VerbatimChar"/>
          <w:rFonts w:hint="eastAsia"/>
        </w:rPr>
        <w:t xml:space="preserve">シェア=結果の壁</w:t>
      </w:r>
      <w:r>
        <w:br/>
      </w:r>
      <w:r>
        <w:rPr>
          <w:rStyle w:val="VerbatimChar"/>
        </w:rPr>
        <w:t xml:space="preserve">          ↕ </w:t>
      </w:r>
      <w:r>
        <w:rPr>
          <w:rStyle w:val="VerbatimChar"/>
          <w:rFonts w:hint="eastAsia"/>
        </w:rPr>
        <w:t xml:space="preserve">国際展開基盤</w:t>
      </w:r>
      <w:r>
        <w:br/>
      </w:r>
      <w:r>
        <w:rPr>
          <w:rStyle w:val="VerbatimChar"/>
        </w:rPr>
        <w:t xml:space="preserve">  #2 </w:t>
      </w:r>
      <w:r>
        <w:rPr>
          <w:rStyle w:val="VerbatimChar"/>
          <w:rFonts w:hint="eastAsia"/>
        </w:rPr>
        <w:t xml:space="preserve">KOパートナーシップ（30%）</w:t>
      </w:r>
      <w:r>
        <w:rPr>
          <w:rStyle w:val="VerbatimChar"/>
        </w:rPr>
        <w:t xml:space="preserve"> --- </w:t>
      </w:r>
      <w:r>
        <w:rPr>
          <w:rStyle w:val="VerbatimChar"/>
          <w:rFonts w:hint="eastAsia"/>
        </w:rPr>
        <w:t xml:space="preserve">純粋競合と同等</w:t>
      </w:r>
      <w:r>
        <w:br/>
      </w:r>
      <w:r>
        <w:rPr>
          <w:rStyle w:val="VerbatimChar"/>
        </w:rPr>
        <w:t xml:space="preserve">  #3 </w:t>
      </w:r>
      <w:r>
        <w:rPr>
          <w:rStyle w:val="VerbatimChar"/>
          <w:rFonts w:hint="eastAsia"/>
        </w:rPr>
        <w:t xml:space="preserve">イノベーション能力（50%）</w:t>
      </w:r>
      <w:r>
        <w:rPr>
          <w:rStyle w:val="VerbatimChar"/>
        </w:rPr>
        <w:t xml:space="preserve"> --- </w:t>
      </w:r>
      <w:r>
        <w:rPr>
          <w:rStyle w:val="VerbatimChar"/>
          <w:rFonts w:hint="eastAsia"/>
        </w:rPr>
        <w:t xml:space="preserve">能力自体の評価困難</w:t>
      </w:r>
      <w:r>
        <w:br/>
      </w:r>
      <w:r>
        <w:rPr>
          <w:rStyle w:val="VerbatimChar"/>
        </w:rPr>
        <w:t xml:space="preserve">                                         ↑</w:t>
      </w:r>
      <w:r>
        <w:br/>
      </w:r>
      <w:r>
        <w:rPr>
          <w:rStyle w:val="VerbatimChar"/>
        </w:rPr>
        <w:t xml:space="preserve">                              </w:t>
      </w:r>
      <w:r>
        <w:rPr>
          <w:rStyle w:val="VerbatimChar"/>
          <w:rFonts w:hint="eastAsia"/>
        </w:rPr>
        <w:t xml:space="preserve">[T8修正]</w:t>
      </w:r>
      <w:r>
        <w:rPr>
          <w:rStyle w:val="VerbatimChar"/>
        </w:rPr>
        <w:t xml:space="preserve"> </w:t>
      </w:r>
      <w:r>
        <w:rPr>
          <w:rStyle w:val="VerbatimChar"/>
          <w:rFonts w:hint="eastAsia"/>
        </w:rPr>
        <w:t xml:space="preserve">CA-CAGRギャップの評価ロジック明記</w:t>
      </w:r>
      <w:r>
        <w:br/>
      </w:r>
      <w:r>
        <w:br/>
      </w:r>
      <w:r>
        <w:rPr>
          <w:rStyle w:val="VerbatimChar"/>
          <w:rFonts w:hint="eastAsia"/>
        </w:rPr>
        <w:t xml:space="preserve">【弱い主張】</w:t>
      </w:r>
      <w:r>
        <w:br/>
      </w:r>
      <w:r>
        <w:rPr>
          <w:rStyle w:val="VerbatimChar"/>
        </w:rPr>
        <w:t xml:space="preserve">  #5 </w:t>
      </w:r>
      <w:r>
        <w:rPr>
          <w:rStyle w:val="VerbatimChar"/>
          <w:rFonts w:hint="eastAsia"/>
        </w:rPr>
        <w:t xml:space="preserve">低所得者消費基盤（30%）</w:t>
      </w:r>
      <w:r>
        <w:rPr>
          <w:rStyle w:val="VerbatimChar"/>
        </w:rPr>
        <w:t xml:space="preserve"> --- </w:t>
      </w:r>
      <w:r>
        <w:rPr>
          <w:rStyle w:val="VerbatimChar"/>
          <w:rFonts w:hint="eastAsia"/>
        </w:rPr>
        <w:t xml:space="preserve">因果飛躍、2024年反証</w:t>
      </w:r>
      <w:r>
        <w:br/>
      </w:r>
      <w:r>
        <w:rPr>
          <w:rStyle w:val="VerbatimChar"/>
        </w:rPr>
        <w:t xml:space="preserve">                                         ↑</w:t>
      </w:r>
      <w:r>
        <w:br/>
      </w:r>
      <w:r>
        <w:rPr>
          <w:rStyle w:val="VerbatimChar"/>
        </w:rPr>
        <w:t xml:space="preserve">                              </w:t>
      </w:r>
      <w:r>
        <w:rPr>
          <w:rStyle w:val="VerbatimChar"/>
          <w:rFonts w:hint="eastAsia"/>
        </w:rPr>
        <w:t xml:space="preserve">[T8修正]</w:t>
      </w:r>
      <w:r>
        <w:rPr>
          <w:rStyle w:val="VerbatimChar"/>
        </w:rPr>
        <w:t xml:space="preserve"> Claim </w:t>
      </w:r>
      <w:r>
        <w:rPr>
          <w:rStyle w:val="VerbatimChar"/>
          <w:rFonts w:hint="eastAsia"/>
        </w:rPr>
        <w:t xml:space="preserve">#4との関連性補足</w:t>
      </w:r>
      <w:r>
        <w:br/>
      </w:r>
      <w:r>
        <w:rPr>
          <w:rStyle w:val="VerbatimChar"/>
        </w:rPr>
        <w:t xml:space="preserve">  #6 </w:t>
      </w:r>
      <w:r>
        <w:rPr>
          <w:rStyle w:val="VerbatimChar"/>
          <w:rFonts w:hint="eastAsia"/>
        </w:rPr>
        <w:t xml:space="preserve">コスト構造（30%）</w:t>
      </w:r>
      <w:r>
        <w:rPr>
          <w:rStyle w:val="VerbatimChar"/>
        </w:rPr>
        <w:t xml:space="preserve"> --- </w:t>
      </w:r>
      <w:r>
        <w:rPr>
          <w:rStyle w:val="VerbatimChar"/>
          <w:rFonts w:hint="eastAsia"/>
        </w:rPr>
        <w:t xml:space="preserve">優位性の実質弱い</w:t>
      </w:r>
      <w:r>
        <w:br/>
      </w:r>
      <w:r>
        <w:rPr>
          <w:rStyle w:val="VerbatimChar"/>
        </w:rPr>
        <w:t xml:space="preserve">                                         ↑</w:t>
      </w:r>
      <w:r>
        <w:br/>
      </w:r>
      <w:r>
        <w:rPr>
          <w:rStyle w:val="VerbatimChar"/>
        </w:rPr>
        <w:t xml:space="preserve">                              </w:t>
      </w:r>
      <w:r>
        <w:rPr>
          <w:rStyle w:val="VerbatimChar"/>
          <w:rFonts w:hint="eastAsia"/>
        </w:rPr>
        <w:t xml:space="preserve">[T8修正]</w:t>
      </w:r>
      <w:r>
        <w:rPr>
          <w:rStyle w:val="VerbatimChar"/>
        </w:rPr>
        <w:t xml:space="preserve"> </w:t>
      </w:r>
      <w:r>
        <w:rPr>
          <w:rStyle w:val="VerbatimChar"/>
          <w:rFonts w:hint="eastAsia"/>
        </w:rPr>
        <w:t xml:space="preserve">KB3乖離+20ptの根拠明記</w:t>
      </w:r>
    </w:p>
    <w:bookmarkEnd w:id="25"/>
    <w:bookmarkStart w:id="26" w:name="強み"/>
    <w:p>
      <w:pPr>
        <w:pStyle w:val="Heading3"/>
      </w:pPr>
      <w:r>
        <w:rPr>
          <w:rFonts w:hint="eastAsia"/>
        </w:rPr>
        <w:t xml:space="preserve">強み</w:t>
      </w:r>
    </w:p>
    <w:p>
      <w:pPr>
        <w:pStyle w:val="Compact"/>
        <w:numPr>
          <w:ilvl w:val="0"/>
          <w:numId w:val="1002"/>
        </w:numPr>
      </w:pPr>
      <w:r>
        <w:rPr>
          <w:rFonts w:hint="eastAsia"/>
          <w:b/>
          <w:bCs/>
        </w:rPr>
        <w:t xml:space="preserve">唯一の70%主張</w:t>
      </w:r>
      <w:r>
        <w:t xml:space="preserve">: Claim </w:t>
      </w:r>
      <w:r>
        <w:rPr>
          <w:rFonts w:hint="eastAsia"/>
        </w:rPr>
        <w:t xml:space="preserve">#4（複数ブランドポートフォリオ）はRedBullとの明確な戦略差異（パターンV）を持ち、dogma類型1に該当</w:t>
      </w:r>
    </w:p>
    <w:p>
      <w:pPr>
        <w:pStyle w:val="Compact"/>
        <w:numPr>
          <w:ilvl w:val="0"/>
          <w:numId w:val="1002"/>
        </w:numPr>
      </w:pPr>
      <w:r>
        <w:rPr>
          <w:rFonts w:hint="eastAsia"/>
          <w:b/>
          <w:bCs/>
        </w:rPr>
        <w:t xml:space="preserve">二強構造の安定性</w:t>
      </w:r>
      <w:r>
        <w:t xml:space="preserve">: </w:t>
      </w:r>
      <w:r>
        <w:rPr>
          <w:rFonts w:hint="eastAsia"/>
        </w:rPr>
        <w:t xml:space="preserve">エナジードリンク市場のMNST+RedBull=70-85%は構造的に安定</w:t>
      </w:r>
    </w:p>
    <w:p>
      <w:pPr>
        <w:pStyle w:val="Compact"/>
        <w:numPr>
          <w:ilvl w:val="0"/>
          <w:numId w:val="1002"/>
        </w:numPr>
      </w:pPr>
      <w:r>
        <w:rPr>
          <w:b/>
          <w:bCs/>
        </w:rPr>
        <w:t xml:space="preserve">SEC </w:t>
      </w:r>
      <w:r>
        <w:rPr>
          <w:rFonts w:hint="eastAsia"/>
          <w:b/>
          <w:bCs/>
        </w:rPr>
        <w:t xml:space="preserve">EDGARによる事実誤認回避</w:t>
      </w:r>
      <w:r>
        <w:t xml:space="preserve">: KB3 </w:t>
      </w:r>
      <w:r>
        <w:rPr>
          <w:rFonts w:hint="eastAsia"/>
        </w:rPr>
        <w:t xml:space="preserve">MNST#6のOPM/GPM混同を完全に回避</w:t>
      </w:r>
    </w:p>
    <w:p>
      <w:pPr>
        <w:pStyle w:val="Compact"/>
        <w:numPr>
          <w:ilvl w:val="0"/>
          <w:numId w:val="1002"/>
        </w:numPr>
      </w:pPr>
      <w:r>
        <w:rPr>
          <w:rFonts w:hint="eastAsia"/>
          <w:b/>
          <w:bCs/>
        </w:rPr>
        <w:t xml:space="preserve">CAGR接続の明確さ</w:t>
      </w:r>
      <w:r>
        <w:t xml:space="preserve">: </w:t>
      </w:r>
      <w:r>
        <w:rPr>
          <w:rFonts w:hint="eastAsia"/>
        </w:rPr>
        <w:t xml:space="preserve">全6主張がCAGR+10%の各構成要素と対応</w:t>
      </w:r>
    </w:p>
    <w:bookmarkEnd w:id="26"/>
    <w:bookmarkStart w:id="27" w:name="弱み留意点t8修正後"/>
    <w:p>
      <w:pPr>
        <w:pStyle w:val="Heading3"/>
      </w:pPr>
      <w:r>
        <w:rPr>
          <w:rFonts w:hint="eastAsia"/>
        </w:rPr>
        <w:t xml:space="preserve">弱み・留意点（T8修正後）</w:t>
      </w:r>
    </w:p>
    <w:p>
      <w:pPr>
        <w:pStyle w:val="Compact"/>
        <w:numPr>
          <w:ilvl w:val="0"/>
          <w:numId w:val="1003"/>
        </w:numPr>
      </w:pPr>
      <w:r>
        <w:rPr>
          <w:rFonts w:hint="eastAsia"/>
          <w:b/>
          <w:bCs/>
        </w:rPr>
        <w:t xml:space="preserve">シェア=結果原則の壁</w:t>
      </w:r>
      <w:r>
        <w:t xml:space="preserve">: </w:t>
      </w:r>
      <w:r>
        <w:rPr>
          <w:rFonts w:hint="eastAsia"/>
        </w:rPr>
        <w:t xml:space="preserve">最強のClaim</w:t>
      </w:r>
      <w:r>
        <w:t xml:space="preserve"> </w:t>
      </w:r>
      <w:r>
        <w:rPr>
          <w:rFonts w:hint="eastAsia"/>
        </w:rPr>
        <w:t xml:space="preserve">#1（50%）がルール1により制約。背後要因の掘り下げ不足</w:t>
      </w:r>
    </w:p>
    <w:p>
      <w:pPr>
        <w:pStyle w:val="Compact"/>
        <w:numPr>
          <w:ilvl w:val="0"/>
          <w:numId w:val="1003"/>
        </w:numPr>
      </w:pPr>
      <w:r>
        <w:rPr>
          <w:rFonts w:hint="eastAsia"/>
          <w:b/>
          <w:bCs/>
        </w:rPr>
        <w:t xml:space="preserve">純粋競合比較の全面的不足</w:t>
      </w:r>
      <w:r>
        <w:t xml:space="preserve">: Claim </w:t>
      </w:r>
      <w:r>
        <w:rPr>
          <w:rFonts w:hint="eastAsia"/>
        </w:rPr>
        <w:t xml:space="preserve">#2はCelsius=PepsiCoと同等、Claim</w:t>
      </w:r>
      <w:r>
        <w:t xml:space="preserve"> </w:t>
      </w:r>
      <w:r>
        <w:rPr>
          <w:rFonts w:hint="eastAsia"/>
        </w:rPr>
        <w:t xml:space="preserve">#6は競合比較不可</w:t>
      </w:r>
    </w:p>
    <w:p>
      <w:pPr>
        <w:pStyle w:val="Compact"/>
        <w:numPr>
          <w:ilvl w:val="0"/>
          <w:numId w:val="1003"/>
        </w:numPr>
      </w:pPr>
      <w:r>
        <w:rPr>
          <w:rFonts w:hint="eastAsia"/>
          <w:b/>
          <w:bCs/>
        </w:rPr>
        <w:t xml:space="preserve">2024年SELL転換による仮説毀損</w:t>
      </w:r>
      <w:r>
        <w:t xml:space="preserve">: Claim </w:t>
      </w:r>
      <w:r>
        <w:rPr>
          <w:rFonts w:hint="eastAsia"/>
        </w:rPr>
        <w:t xml:space="preserve">#5の消費基盤仮説が実態で否定</w:t>
      </w:r>
    </w:p>
    <w:p>
      <w:pPr>
        <w:pStyle w:val="Compact"/>
        <w:numPr>
          <w:ilvl w:val="0"/>
          <w:numId w:val="1003"/>
        </w:numPr>
      </w:pPr>
      <w:r>
        <w:rPr>
          <w:rFonts w:hint="eastAsia"/>
          <w:b/>
          <w:bCs/>
        </w:rPr>
        <w:t xml:space="preserve">全体平均43%</w:t>
      </w:r>
      <w:r>
        <w:t xml:space="preserve">: KB3 </w:t>
      </w:r>
      <w:r>
        <w:rPr>
          <w:rFonts w:hint="eastAsia"/>
        </w:rPr>
        <w:t xml:space="preserve">MNST（40%）とほぼ同等。高い納得感を得ているとは言い難い</w:t>
      </w:r>
    </w:p>
    <w:p>
      <w:pPr>
        <w:pStyle w:val="Compact"/>
        <w:numPr>
          <w:ilvl w:val="0"/>
          <w:numId w:val="1003"/>
        </w:numPr>
      </w:pPr>
      <w:r>
        <w:rPr>
          <w:rFonts w:hint="eastAsia"/>
          <w:b/>
          <w:bCs/>
        </w:rPr>
        <w:t xml:space="preserve">[T8追加]</w:t>
      </w:r>
      <w:r>
        <w:rPr>
          <w:b/>
          <w:bCs/>
        </w:rPr>
        <w:t xml:space="preserve"> Claim </w:t>
      </w:r>
      <w:r>
        <w:rPr>
          <w:rFonts w:hint="eastAsia"/>
          <w:b/>
          <w:bCs/>
        </w:rPr>
        <w:t xml:space="preserve">#6のKB3乖離</w:t>
      </w:r>
      <w:r>
        <w:t xml:space="preserve">: </w:t>
      </w:r>
      <w:r>
        <w:rPr>
          <w:rFonts w:hint="eastAsia"/>
        </w:rPr>
        <w:t xml:space="preserve">事実誤認回避で+20ptだが実質的弱点は未解消</w:t>
      </w:r>
    </w:p>
    <w:bookmarkEnd w:id="27"/>
    <w:bookmarkStart w:id="28" w:name="t8-ai批判プロセスの総括"/>
    <w:p>
      <w:pPr>
        <w:pStyle w:val="Heading3"/>
      </w:pPr>
      <w:r>
        <w:t xml:space="preserve">T8 </w:t>
      </w:r>
      <w:r>
        <w:rPr>
          <w:rFonts w:hint="eastAsia"/>
        </w:rPr>
        <w:t xml:space="preserve">AI批判プロセスの総括</w:t>
      </w:r>
    </w:p>
    <w:p>
      <w:pPr>
        <w:pStyle w:val="FirstParagraph"/>
      </w:pPr>
      <w:r>
        <w:rPr>
          <w:rFonts w:hint="eastAsia"/>
          <w:b/>
          <w:bCs/>
        </w:rPr>
        <w:t xml:space="preserve">systematic_issues（全体的判断傾向）</w:t>
      </w:r>
      <w:r>
        <w:t xml:space="preserve">:</w:t>
      </w:r>
    </w:p>
    <w:p>
      <w:pPr>
        <w:numPr>
          <w:ilvl w:val="0"/>
          <w:numId w:val="1004"/>
        </w:numPr>
      </w:pPr>
      <w:r>
        <w:rPr>
          <w:rFonts w:hint="eastAsia"/>
          <w:b/>
          <w:bCs/>
        </w:rPr>
        <w:t xml:space="preserve">シェア=結果原則（ルール1/パターンA）の全面的な影響</w:t>
      </w:r>
      <w:r>
        <w:t xml:space="preserve">: </w:t>
      </w:r>
      <w:r>
        <w:rPr>
          <w:rFonts w:hint="eastAsia"/>
        </w:rPr>
        <w:t xml:space="preserve">6主張中3主張（#1,</w:t>
      </w:r>
      <w:r>
        <w:t xml:space="preserve"> #3, </w:t>
      </w:r>
      <w:r>
        <w:rPr>
          <w:rFonts w:hint="eastAsia"/>
        </w:rPr>
        <w:t xml:space="preserve">#6）でパターンAが検出。MNSTの最大の弱点は「37%シェア」「4割維持のイノベーション」「高マージン」がすべて結果に留まり、背後のメカニズムが不明確な点。KB3</w:t>
      </w:r>
      <w:r>
        <w:t xml:space="preserve"> </w:t>
      </w:r>
      <w:r>
        <w:rPr>
          <w:rFonts w:hint="eastAsia"/>
        </w:rPr>
        <w:t xml:space="preserve">MNST全体（平均40%）でも同様の傾向が認められ、アナリストレポートの記述スタイルに起因する可能性がある。ORLY（平均63%）との差は「背後のメカニズム分析の深度」。</w:t>
      </w:r>
    </w:p>
    <w:p>
      <w:pPr>
        <w:numPr>
          <w:ilvl w:val="0"/>
          <w:numId w:val="1004"/>
        </w:numPr>
      </w:pPr>
      <w:r>
        <w:rPr>
          <w:b/>
          <w:bCs/>
        </w:rPr>
        <w:t xml:space="preserve">Claim #6のKB3 </w:t>
      </w:r>
      <w:r>
        <w:rPr>
          <w:rFonts w:hint="eastAsia"/>
          <w:b/>
          <w:bCs/>
        </w:rPr>
        <w:t xml:space="preserve">MNST#6との+20pt乖離の扱い</w:t>
      </w:r>
      <w:r>
        <w:t xml:space="preserve">: KB3 </w:t>
      </w:r>
      <w:r>
        <w:rPr>
          <w:rFonts w:hint="eastAsia"/>
        </w:rPr>
        <w:t xml:space="preserve">MNST#6は10%（OPM/GPM誤認+実質弱い）、本評価は30%（事実誤認なし+実質弱い）。事実誤認の回避は明確な改善だが、実質面の弱点は解消されていない。T9精度検証で平均乖離への影響を精査する。</w:t>
      </w:r>
    </w:p>
    <w:bookmarkEnd w:id="28"/>
    <w:bookmarkStart w:id="29" w:name="kb3との対比"/>
    <w:p>
      <w:pPr>
        <w:pStyle w:val="Heading3"/>
      </w:pPr>
      <w:r>
        <w:rPr>
          <w:rFonts w:hint="eastAsia"/>
        </w:rPr>
        <w:t xml:space="preserve">KB3との対比</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KB3事例</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平均</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MNSTとの類似点</w:t>
            </w:r>
          </w:p>
        </w:tc>
      </w:tr>
      <w:tr>
        <w:tc>
          <w:tcPr/>
          <w:p>
            <w:pPr>
              <w:pStyle w:val="Compact"/>
            </w:pPr>
            <w:r>
              <w:rPr>
                <w:rFonts w:hint="eastAsia" w:ascii="Times New Roman" w:hAnsi="Times New Roman" w:eastAsia="游明朝"/>
                <w:sz w:val="18"/>
              </w:rPr>
              <w:t xml:space="preserve">MNST（KB3自身）</w:t>
            </w:r>
          </w:p>
        </w:tc>
        <w:tc>
          <w:tcPr/>
          <w:p>
            <w:pPr>
              <w:pStyle w:val="Compact"/>
            </w:pPr>
            <w:r>
              <w:rPr>
                <w:rFonts w:ascii="Times New Roman" w:hAnsi="Times New Roman" w:eastAsia="游明朝"/>
                <w:sz w:val="18"/>
              </w:rPr>
              <w:t xml:space="preserve">40%</w:t>
            </w:r>
          </w:p>
        </w:tc>
        <w:tc>
          <w:tcPr/>
          <w:p>
            <w:pPr>
              <w:pStyle w:val="Compact"/>
            </w:pPr>
            <w:r>
              <w:rPr>
                <w:rFonts w:hint="eastAsia" w:ascii="Times New Roman" w:hAnsi="Times New Roman" w:eastAsia="游明朝"/>
                <w:sz w:val="18"/>
              </w:rPr>
              <w:t xml:space="preserve">同一銘柄。本評価43%（#6の誤認回避で+3pt）</w:t>
            </w:r>
          </w:p>
        </w:tc>
      </w:tr>
      <w:tr>
        <w:tc>
          <w:tcPr/>
          <w:p>
            <w:pPr>
              <w:pStyle w:val="Compact"/>
            </w:pPr>
            <w:r>
              <w:rPr>
                <w:rFonts w:ascii="Times New Roman" w:hAnsi="Times New Roman" w:eastAsia="游明朝"/>
                <w:sz w:val="18"/>
              </w:rPr>
              <w:t xml:space="preserve">CHD</w:t>
            </w:r>
          </w:p>
        </w:tc>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M&amp;A能力評価の類似性（ただしMNSTはM&amp;Aが主眼ではない）</w:t>
            </w:r>
          </w:p>
        </w:tc>
      </w:tr>
      <w:tr>
        <w:tc>
          <w:tcPr/>
          <w:p>
            <w:pPr>
              <w:pStyle w:val="Compact"/>
            </w:pPr>
            <w:r>
              <w:rPr>
                <w:rFonts w:ascii="Times New Roman" w:hAnsi="Times New Roman" w:eastAsia="游明朝"/>
                <w:sz w:val="18"/>
              </w:rPr>
              <w:t xml:space="preserve">COST</w:t>
            </w:r>
          </w:p>
        </w:tc>
        <w:tc>
          <w:tcPr/>
          <w:p>
            <w:pPr>
              <w:pStyle w:val="Compact"/>
            </w:pPr>
            <w:r>
              <w:rPr>
                <w:rFonts w:ascii="Times New Roman" w:hAnsi="Times New Roman" w:eastAsia="游明朝"/>
                <w:sz w:val="18"/>
              </w:rPr>
              <w:t xml:space="preserve">39%</w:t>
            </w:r>
          </w:p>
        </w:tc>
        <w:tc>
          <w:tcPr/>
          <w:p>
            <w:pPr>
              <w:pStyle w:val="Compact"/>
            </w:pPr>
            <w:r>
              <w:rPr>
                <w:rFonts w:hint="eastAsia" w:ascii="Times New Roman" w:hAnsi="Times New Roman" w:eastAsia="游明朝"/>
                <w:sz w:val="18"/>
              </w:rPr>
              <w:t xml:space="preserve">消費者向け飲食・小売の類似性</w:t>
            </w:r>
          </w:p>
        </w:tc>
      </w:tr>
    </w:tbl>
    <w:p>
      <w:r>
        <w:pict>
          <v:rect style="width:0;height:1.5pt" o:hralign="center" o:hrstd="t" o:hr="t"/>
        </w:pict>
      </w:r>
    </w:p>
    <w:bookmarkEnd w:id="29"/>
    <w:bookmarkEnd w:id="30"/>
    <w:bookmarkStart w:id="39" w:name="アナリストフィードバック記入欄"/>
    <w:p>
      <w:pPr>
        <w:pStyle w:val="Heading2"/>
      </w:pPr>
      <w:r>
        <w:t xml:space="preserve">5. </w:t>
      </w:r>
      <w:r>
        <w:rPr>
          <w:rFonts w:hint="eastAsia"/>
        </w:rPr>
        <w:t xml:space="preserve">アナリストフィードバック記入欄</w:t>
      </w:r>
    </w:p>
    <w:p>
      <w:pPr>
        <w:pStyle w:val="BlockText"/>
      </w:pPr>
      <w:r>
        <w:rPr>
          <w:rFonts w:hint="eastAsia"/>
        </w:rPr>
        <w:t xml:space="preserve">本セクションはアナリストが記入するフィードバック用テンプレートです。各主張に対して評価とコメントをご記入ください。</w:t>
      </w:r>
    </w:p>
    <w:bookmarkStart w:id="37" w:name="評価スケール"/>
    <w:p>
      <w:pPr>
        <w:pStyle w:val="Heading3"/>
      </w:pPr>
      <w:r>
        <w:rPr>
          <w:rFonts w:hint="eastAsia"/>
        </w:rPr>
        <w:t xml:space="preserve">評価スケール</w:t>
      </w:r>
    </w:p>
    <w:p>
      <w:pPr>
        <w:pStyle w:val="Compact"/>
        <w:numPr>
          <w:ilvl w:val="0"/>
          <w:numId w:val="1005"/>
        </w:numPr>
      </w:pPr>
      <w:r>
        <w:rPr>
          <w:rFonts w:hint="eastAsia"/>
          <w:b/>
          <w:bCs/>
        </w:rPr>
        <w:t xml:space="preserve">90%（かなり納得）</w:t>
      </w:r>
      <w:r>
        <w:t xml:space="preserve">: </w:t>
      </w:r>
      <w:r>
        <w:rPr>
          <w:rFonts w:hint="eastAsia"/>
        </w:rPr>
        <w:t xml:space="preserve">構造的優位性</w:t>
      </w:r>
      <w:r>
        <w:t xml:space="preserve"> + </w:t>
      </w:r>
      <w:r>
        <w:rPr>
          <w:rFonts w:hint="eastAsia"/>
        </w:rPr>
        <w:t xml:space="preserve">明確なCAGR接続</w:t>
      </w:r>
      <w:r>
        <w:t xml:space="preserve"> + </w:t>
      </w:r>
      <w:r>
        <w:rPr>
          <w:rFonts w:hint="eastAsia"/>
        </w:rPr>
        <w:t xml:space="preserve">定量的裏付け</w:t>
      </w:r>
    </w:p>
    <w:p>
      <w:pPr>
        <w:pStyle w:val="Compact"/>
        <w:numPr>
          <w:ilvl w:val="0"/>
          <w:numId w:val="1005"/>
        </w:numPr>
      </w:pPr>
      <w:r>
        <w:rPr>
          <w:rFonts w:hint="eastAsia"/>
          <w:b/>
          <w:bCs/>
        </w:rPr>
        <w:t xml:space="preserve">70%（おおむね納得）</w:t>
      </w:r>
      <w:r>
        <w:t xml:space="preserve">: </w:t>
      </w:r>
      <w:r>
        <w:rPr>
          <w:rFonts w:hint="eastAsia"/>
        </w:rPr>
        <w:t xml:space="preserve">妥当な仮説</w:t>
      </w:r>
      <w:r>
        <w:t xml:space="preserve"> + </w:t>
      </w:r>
      <w:r>
        <w:rPr>
          <w:rFonts w:hint="eastAsia"/>
        </w:rPr>
        <w:t xml:space="preserve">一定の裏付け</w:t>
      </w:r>
    </w:p>
    <w:p>
      <w:pPr>
        <w:pStyle w:val="Compact"/>
        <w:numPr>
          <w:ilvl w:val="0"/>
          <w:numId w:val="1005"/>
        </w:numPr>
      </w:pPr>
      <w:r>
        <w:rPr>
          <w:rFonts w:hint="eastAsia"/>
          <w:b/>
          <w:bCs/>
        </w:rPr>
        <w:t xml:space="preserve">50%（まあ納得）</w:t>
      </w:r>
      <w:r>
        <w:t xml:space="preserve">: </w:t>
      </w:r>
      <w:r>
        <w:rPr>
          <w:rFonts w:hint="eastAsia"/>
        </w:rPr>
        <w:t xml:space="preserve">方向性は認めるが裏付け不十分</w:t>
      </w:r>
    </w:p>
    <w:p>
      <w:pPr>
        <w:pStyle w:val="Compact"/>
        <w:numPr>
          <w:ilvl w:val="0"/>
          <w:numId w:val="1005"/>
        </w:numPr>
      </w:pPr>
      <w:r>
        <w:rPr>
          <w:rFonts w:hint="eastAsia"/>
          <w:b/>
          <w:bCs/>
        </w:rPr>
        <w:t xml:space="preserve">30%（あまり納得しない）</w:t>
      </w:r>
      <w:r>
        <w:t xml:space="preserve">: </w:t>
      </w:r>
      <w:r>
        <w:rPr>
          <w:rFonts w:hint="eastAsia"/>
        </w:rPr>
        <w:t xml:space="preserve">飛躍・因果逆転・差別化根拠不十分</w:t>
      </w:r>
    </w:p>
    <w:p>
      <w:pPr>
        <w:pStyle w:val="Compact"/>
        <w:numPr>
          <w:ilvl w:val="0"/>
          <w:numId w:val="1005"/>
        </w:numPr>
      </w:pPr>
      <w:r>
        <w:rPr>
          <w:rFonts w:hint="eastAsia"/>
          <w:b/>
          <w:bCs/>
        </w:rPr>
        <w:t xml:space="preserve">10%（却下）</w:t>
      </w:r>
      <w:r>
        <w:t xml:space="preserve">: </w:t>
      </w:r>
      <w:r>
        <w:rPr>
          <w:rFonts w:hint="eastAsia"/>
        </w:rPr>
        <w:t xml:space="preserve">事実誤認・競争優位性として不成立</w:t>
      </w:r>
    </w:p>
    <w:p>
      <w:r>
        <w:pict>
          <v:rect style="width:0;height:1.5pt" o:hralign="center" o:hrstd="t" o:hr="t"/>
        </w:pict>
      </w:r>
    </w:p>
    <w:bookmarkStart w:id="31" w:name="ブランド力と二強構造"/>
    <w:p>
      <w:pPr>
        <w:pStyle w:val="Heading4"/>
      </w:pPr>
      <w:r>
        <w:t xml:space="preserve">#1 </w:t>
      </w:r>
      <w:r>
        <w:rPr>
          <w:rFonts w:hint="eastAsia"/>
        </w:rPr>
        <w:t xml:space="preserve">ブランド力と二強構造</w:t>
      </w:r>
    </w:p>
    <w:p>
      <w:pPr>
        <w:pStyle w:val="FirstParagraph"/>
      </w:pPr>
      <w:r>
        <w:rPr>
          <w:rFonts w:hint="eastAsia"/>
          <w:b/>
          <w:bCs/>
        </w:rPr>
        <w:t xml:space="preserve">AI評価（T8修正後）</w:t>
      </w:r>
      <w:r>
        <w:t xml:space="preserve">: </w:t>
      </w:r>
      <w:r>
        <w:rPr>
          <w:rFonts w:hint="eastAsia"/>
        </w:rPr>
        <w:t xml:space="preserve">50%（CAGR毀損分析補足）</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1"/>
    <w:bookmarkStart w:id="32" w:name="koパートナーシップ"/>
    <w:p>
      <w:pPr>
        <w:pStyle w:val="Heading4"/>
      </w:pPr>
      <w:r>
        <w:t xml:space="preserve">#2 KOパートナーシップ</w:t>
      </w:r>
    </w:p>
    <w:p>
      <w:pPr>
        <w:pStyle w:val="FirstParagraph"/>
      </w:pPr>
      <w:r>
        <w:rPr>
          <w:rFonts w:hint="eastAsia"/>
          <w:b/>
          <w:bCs/>
        </w:rPr>
        <w:t xml:space="preserve">AI評価（T8修正後）</w:t>
      </w:r>
      <w:r>
        <w:t xml:space="preserve">: 30%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2"/>
    <w:bookmarkStart w:id="33" w:name="イノベーション能力"/>
    <w:p>
      <w:pPr>
        <w:pStyle w:val="Heading4"/>
      </w:pPr>
      <w:r>
        <w:t xml:space="preserve">#3 </w:t>
      </w:r>
      <w:r>
        <w:rPr>
          <w:rFonts w:hint="eastAsia"/>
        </w:rPr>
        <w:t xml:space="preserve">イノベーション能力</w:t>
      </w:r>
    </w:p>
    <w:p>
      <w:pPr>
        <w:pStyle w:val="FirstParagraph"/>
      </w:pPr>
      <w:r>
        <w:rPr>
          <w:rFonts w:hint="eastAsia"/>
          <w:b/>
          <w:bCs/>
        </w:rPr>
        <w:t xml:space="preserve">AI評価（T8修正後）</w:t>
      </w:r>
      <w:r>
        <w:t xml:space="preserve">: </w:t>
      </w:r>
      <w:r>
        <w:rPr>
          <w:rFonts w:hint="eastAsia"/>
        </w:rPr>
        <w:t xml:space="preserve">50%（CA-CAGRギャップ補足）</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3"/>
    <w:bookmarkStart w:id="34" w:name="複数ブランドポートフォリオ"/>
    <w:p>
      <w:pPr>
        <w:pStyle w:val="Heading4"/>
      </w:pPr>
      <w:r>
        <w:t xml:space="preserve">#4 </w:t>
      </w:r>
      <w:r>
        <w:rPr>
          <w:rFonts w:hint="eastAsia"/>
        </w:rPr>
        <w:t xml:space="preserve">複数ブランドポートフォリオ</w:t>
      </w:r>
    </w:p>
    <w:p>
      <w:pPr>
        <w:pStyle w:val="FirstParagraph"/>
      </w:pPr>
      <w:r>
        <w:rPr>
          <w:rFonts w:hint="eastAsia"/>
          <w:b/>
          <w:bCs/>
        </w:rPr>
        <w:t xml:space="preserve">AI評価（T8修正後）</w:t>
      </w:r>
      <w:r>
        <w:t xml:space="preserve">: </w:t>
      </w:r>
      <w:r>
        <w:rPr>
          <w:rFonts w:hint="eastAsia"/>
        </w:rPr>
        <w:t xml:space="preserve">70%（Bang統合注記追加）</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4"/>
    <w:bookmarkStart w:id="35" w:name="低所得者消費基盤"/>
    <w:p>
      <w:pPr>
        <w:pStyle w:val="Heading4"/>
      </w:pPr>
      <w:r>
        <w:t xml:space="preserve">#5 </w:t>
      </w:r>
      <w:r>
        <w:rPr>
          <w:rFonts w:hint="eastAsia"/>
        </w:rPr>
        <w:t xml:space="preserve">低所得者消費基盤</w:t>
      </w:r>
    </w:p>
    <w:p>
      <w:pPr>
        <w:pStyle w:val="FirstParagraph"/>
      </w:pPr>
      <w:r>
        <w:rPr>
          <w:rFonts w:hint="eastAsia"/>
          <w:b/>
          <w:bCs/>
        </w:rPr>
        <w:t xml:space="preserve">AI評価（T8修正後）</w:t>
      </w:r>
      <w:r>
        <w:t xml:space="preserve">: </w:t>
      </w:r>
      <w:r>
        <w:rPr>
          <w:rFonts w:hint="eastAsia"/>
        </w:rPr>
        <w:t xml:space="preserve">30%（セグメント分け補足）</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5"/>
    <w:bookmarkStart w:id="36" w:name="コスト構造規模の経済"/>
    <w:p>
      <w:pPr>
        <w:pStyle w:val="Heading4"/>
      </w:pPr>
      <w:r>
        <w:t xml:space="preserve">#6 </w:t>
      </w:r>
      <w:r>
        <w:rPr>
          <w:rFonts w:hint="eastAsia"/>
        </w:rPr>
        <w:t xml:space="preserve">コスト構造・規模の経済</w:t>
      </w:r>
    </w:p>
    <w:p>
      <w:pPr>
        <w:pStyle w:val="FirstParagraph"/>
      </w:pPr>
      <w:r>
        <w:rPr>
          <w:rFonts w:hint="eastAsia"/>
          <w:b/>
          <w:bCs/>
        </w:rPr>
        <w:t xml:space="preserve">AI評価（T8修正後）</w:t>
      </w:r>
      <w:r>
        <w:t xml:space="preserve">: </w:t>
      </w:r>
      <w:r>
        <w:rPr>
          <w:rFonts w:hint="eastAsia"/>
        </w:rPr>
        <w:t xml:space="preserve">30%（KB3乖離+20pt根拠明記）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bookmarkEnd w:id="36"/>
    <w:bookmarkEnd w:id="37"/>
    <w:bookmarkStart w:id="38" w:name="追加フィードバック欄"/>
    <w:p>
      <w:pPr>
        <w:pStyle w:val="Heading3"/>
      </w:pPr>
      <w:r>
        <w:rPr>
          <w:rFonts w:hint="eastAsia"/>
        </w:rPr>
        <w:t xml:space="preserve">追加フィードバック欄</w:t>
      </w:r>
    </w:p>
    <w:p>
      <w:pPr>
        <w:pStyle w:val="Compact"/>
        <w:numPr>
          <w:ilvl w:val="0"/>
          <w:numId w:val="1006"/>
        </w:numPr>
      </w:pPr>
      <w:r>
        <w:rPr>
          <w:rFonts w:hint="eastAsia"/>
          <w:b/>
          <w:bCs/>
        </w:rPr>
        <w:t xml:space="preserve">全体的な印象</w:t>
      </w:r>
      <w:r>
        <w:t xml:space="preserve">: ( )</w:t>
      </w:r>
    </w:p>
    <w:p>
      <w:pPr>
        <w:pStyle w:val="Compact"/>
        <w:numPr>
          <w:ilvl w:val="0"/>
          <w:numId w:val="1006"/>
        </w:numPr>
      </w:pPr>
      <w:r>
        <w:rPr>
          <w:rFonts w:hint="eastAsia"/>
          <w:b/>
          <w:bCs/>
        </w:rPr>
        <w:t xml:space="preserve">見落としている優位性</w:t>
      </w:r>
      <w:r>
        <w:t xml:space="preserve">: ( )</w:t>
      </w:r>
    </w:p>
    <w:p>
      <w:pPr>
        <w:pStyle w:val="Compact"/>
        <w:numPr>
          <w:ilvl w:val="0"/>
          <w:numId w:val="1006"/>
        </w:numPr>
      </w:pPr>
      <w:r>
        <w:rPr>
          <w:rFonts w:hint="eastAsia"/>
          <w:b/>
          <w:bCs/>
        </w:rPr>
        <w:t xml:space="preserve">過大評価している項目</w:t>
      </w:r>
      <w:r>
        <w:t xml:space="preserve">: ( )</w:t>
      </w:r>
    </w:p>
    <w:p>
      <w:pPr>
        <w:pStyle w:val="Compact"/>
        <w:numPr>
          <w:ilvl w:val="0"/>
          <w:numId w:val="1006"/>
        </w:numPr>
      </w:pPr>
      <w:r>
        <w:rPr>
          <w:rFonts w:hint="eastAsia"/>
          <w:b/>
          <w:bCs/>
        </w:rPr>
        <w:t xml:space="preserve">ブランド力の背後要因（dogma類型5）について</w:t>
      </w:r>
      <w:r>
        <w:t xml:space="preserve">: ( )</w:t>
      </w:r>
    </w:p>
    <w:p>
      <w:pPr>
        <w:pStyle w:val="Compact"/>
        <w:numPr>
          <w:ilvl w:val="0"/>
          <w:numId w:val="1006"/>
        </w:numPr>
      </w:pPr>
      <w:r>
        <w:rPr>
          <w:rFonts w:hint="eastAsia"/>
          <w:b/>
          <w:bCs/>
        </w:rPr>
        <w:t xml:space="preserve">OPM/GPM区別の妥当性について</w:t>
      </w:r>
      <w:r>
        <w:t xml:space="preserve">: ( )</w:t>
      </w:r>
    </w:p>
    <w:p>
      <w:pPr>
        <w:pStyle w:val="Compact"/>
        <w:numPr>
          <w:ilvl w:val="0"/>
          <w:numId w:val="1006"/>
        </w:numPr>
      </w:pPr>
      <w:r>
        <w:rPr>
          <w:b/>
          <w:bCs/>
        </w:rPr>
        <w:t xml:space="preserve">Claim #6: </w:t>
      </w:r>
      <w:r>
        <w:rPr>
          <w:rFonts w:hint="eastAsia"/>
          <w:b/>
          <w:bCs/>
        </w:rPr>
        <w:t xml:space="preserve">事実誤認なしで30%は妥当か、それとも10%のままが適切か</w:t>
      </w:r>
      <w:r>
        <w:t xml:space="preserve">: ( )</w:t>
      </w:r>
    </w:p>
    <w:p>
      <w:pPr>
        <w:pStyle w:val="FirstParagraph"/>
      </w:pPr>
      <w:r>
        <w:t xml:space="preserve">※ </w:t>
      </w:r>
      <w:r>
        <w:rPr>
          <w:rFonts w:hint="eastAsia"/>
        </w:rPr>
        <w:t xml:space="preserve">「アナリスト評価」列はアナリストが記入する欄です。AI評価との差異がKBの改善に直結します。</w:t>
      </w:r>
    </w:p>
    <w:p>
      <w:r>
        <w:pict>
          <v:rect style="width:0;height:1.5pt" o:hralign="center" o:hrstd="t" o:hr="t"/>
        </w:pict>
      </w:r>
    </w:p>
    <w:bookmarkEnd w:id="38"/>
    <w:bookmarkEnd w:id="39"/>
    <w:bookmarkStart w:id="41" w:name="付記-t8修正サマリー"/>
    <w:p>
      <w:pPr>
        <w:pStyle w:val="Heading2"/>
      </w:pPr>
      <w:r>
        <w:rPr>
          <w:rFonts w:hint="eastAsia"/>
        </w:rPr>
        <w:t xml:space="preserve">付記:</w:t>
      </w:r>
      <w:r>
        <w:t xml:space="preserve"> </w:t>
      </w:r>
      <w:r>
        <w:rPr>
          <w:rFonts w:hint="eastAsia"/>
        </w:rPr>
        <w:t xml:space="preserve">T8修正サマリー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2"/>
        <w:gridCol w:w="3394"/>
        <w:gridCol w:w="226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対象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主張#1</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CAGR+10%の売上+8%のうち「値上げ補完」と「数量成長」への具体的リスク分析を補足</w:t>
            </w:r>
          </w:p>
        </w:tc>
      </w:tr>
      <w:tr>
        <w:tc>
          <w:tcPr/>
          <w:p>
            <w:pPr>
              <w:pStyle w:val="Compact"/>
            </w:pPr>
            <w:r>
              <w:rPr>
                <w:rFonts w:hint="eastAsia" w:ascii="Times New Roman" w:hAnsi="Times New Roman" w:eastAsia="游明朝"/>
                <w:sz w:val="18"/>
              </w:rPr>
              <w:t xml:space="preserve">主張#3</w:t>
            </w:r>
            <w:r>
              <w:rPr>
                <w:rFonts w:ascii="Times New Roman" w:hAnsi="Times New Roman" w:eastAsia="游明朝"/>
                <w:sz w:val="18"/>
              </w:rPr>
              <w:t xml:space="preserve"> CA-CAGR</w:t>
            </w:r>
          </w:p>
        </w:tc>
        <w:tc>
          <w:tcPr/>
          <w:p>
            <w:pPr>
              <w:pStyle w:val="Compact"/>
            </w:pPr>
            <w:r>
              <w:rP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CA:50% vs </w:t>
            </w:r>
            <w:r>
              <w:rPr>
                <w:rFonts w:hint="eastAsia" w:ascii="Times New Roman" w:hAnsi="Times New Roman" w:eastAsia="游明朝"/>
                <w:sz w:val="18"/>
              </w:rPr>
              <w:t xml:space="preserve">CAGR:70%のギャップの評価ロジック（能力の独自性</w:t>
            </w:r>
            <w:r>
              <w:rPr>
                <w:rFonts w:ascii="Times New Roman" w:hAnsi="Times New Roman" w:eastAsia="游明朝"/>
                <w:sz w:val="18"/>
              </w:rPr>
              <w:t xml:space="preserve"> vs </w:t>
            </w:r>
            <w:r>
              <w:rPr>
                <w:rFonts w:hint="eastAsia" w:ascii="Times New Roman" w:hAnsi="Times New Roman" w:eastAsia="游明朝"/>
                <w:sz w:val="18"/>
              </w:rPr>
              <w:t xml:space="preserve">CAGRドライバー重要性）を明記</w:t>
            </w:r>
          </w:p>
        </w:tc>
      </w:tr>
      <w:tr>
        <w:tc>
          <w:tcPr/>
          <w:p>
            <w:pPr>
              <w:pStyle w:val="Compact"/>
            </w:pPr>
            <w:r>
              <w:rPr>
                <w:rFonts w:hint="eastAsia" w:ascii="Times New Roman" w:hAnsi="Times New Roman" w:eastAsia="游明朝"/>
                <w:sz w:val="18"/>
              </w:rPr>
              <w:t xml:space="preserve">主張#4</w:t>
            </w:r>
            <w:r>
              <w:rPr>
                <w:rFonts w:ascii="Times New Roman" w:hAnsi="Times New Roman" w:eastAsia="游明朝"/>
                <w:sz w:val="18"/>
              </w:rPr>
              <w:t xml:space="preserve"> </w:t>
            </w:r>
            <w:r>
              <w:rPr>
                <w:rFonts w:hint="eastAsia" w:ascii="Times New Roman" w:hAnsi="Times New Roman" w:eastAsia="游明朝"/>
                <w:sz w:val="18"/>
              </w:rPr>
              <w:t xml:space="preserve">Bang統合</w:t>
            </w:r>
          </w:p>
        </w:tc>
        <w:tc>
          <w:tcPr/>
          <w:p>
            <w:pPr>
              <w:pStyle w:val="Compact"/>
            </w:pPr>
            <w:r>
              <w:rP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KB3 </w:t>
            </w:r>
            <w:r>
              <w:rPr>
                <w:rFonts w:hint="eastAsia" w:ascii="Times New Roman" w:hAnsi="Times New Roman" w:eastAsia="游明朝"/>
                <w:sz w:val="18"/>
              </w:rPr>
              <w:t xml:space="preserve">MNST#4のY評価コメント「流通交渉力への波及」とBang統合の成否を留意事項として追加</w:t>
            </w:r>
          </w:p>
        </w:tc>
      </w:tr>
      <w:tr>
        <w:tc>
          <w:tcPr/>
          <w:p>
            <w:pPr>
              <w:pStyle w:val="Compact"/>
            </w:pPr>
            <w:r>
              <w:rPr>
                <w:rFonts w:hint="eastAsia" w:ascii="Times New Roman" w:hAnsi="Times New Roman" w:eastAsia="游明朝"/>
                <w:sz w:val="18"/>
              </w:rPr>
              <w:t xml:space="preserve">主張#5</w:t>
            </w:r>
            <w:r>
              <w:rPr>
                <w:rFonts w:ascii="Times New Roman" w:hAnsi="Times New Roman" w:eastAsia="游明朝"/>
                <w:sz w:val="18"/>
              </w:rPr>
              <w:t xml:space="preserve"> </w:t>
            </w:r>
            <w:r>
              <w:rPr>
                <w:rFonts w:hint="eastAsia" w:ascii="Times New Roman" w:hAnsi="Times New Roman" w:eastAsia="游明朝"/>
                <w:sz w:val="18"/>
              </w:rPr>
              <w:t xml:space="preserve">セグメント分け</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Y評価のセグメント分け視点をClaim</w:t>
            </w:r>
            <w:r>
              <w:rPr>
                <w:rFonts w:ascii="Times New Roman" w:hAnsi="Times New Roman" w:eastAsia="游明朝"/>
                <w:sz w:val="18"/>
              </w:rPr>
              <w:t xml:space="preserve"> </w:t>
            </w:r>
            <w:r>
              <w:rPr>
                <w:rFonts w:hint="eastAsia" w:ascii="Times New Roman" w:hAnsi="Times New Roman" w:eastAsia="游明朝"/>
                <w:sz w:val="18"/>
              </w:rPr>
              <w:t xml:space="preserve">#4との関連で活用すべきことを補足</w:t>
            </w:r>
          </w:p>
        </w:tc>
      </w:tr>
      <w:tr>
        <w:tc>
          <w:tcPr/>
          <w:p>
            <w:pPr>
              <w:pStyle w:val="Compact"/>
            </w:pPr>
            <w:r>
              <w:rPr>
                <w:rFonts w:hint="eastAsia" w:ascii="Times New Roman" w:hAnsi="Times New Roman" w:eastAsia="游明朝"/>
                <w:sz w:val="18"/>
              </w:rPr>
              <w:t xml:space="preserve">主張#6</w:t>
            </w:r>
            <w:r>
              <w:rPr>
                <w:rFonts w:ascii="Times New Roman" w:hAnsi="Times New Roman" w:eastAsia="游明朝"/>
                <w:sz w:val="18"/>
              </w:rPr>
              <w:t xml:space="preserve"> </w:t>
            </w:r>
            <w:r>
              <w:rPr>
                <w:rFonts w:hint="eastAsia" w:ascii="Times New Roman" w:hAnsi="Times New Roman" w:eastAsia="游明朝"/>
                <w:sz w:val="18"/>
              </w:rPr>
              <w:t xml:space="preserve">KB3乖離</w:t>
            </w:r>
          </w:p>
        </w:tc>
        <w:tc>
          <w:tcPr/>
          <w:p>
            <w:pPr>
              <w:pStyle w:val="Compact"/>
            </w:pPr>
            <w:r>
              <w:rP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KB3 </w:t>
            </w:r>
            <w:r>
              <w:rPr>
                <w:rFonts w:hint="eastAsia" w:ascii="Times New Roman" w:hAnsi="Times New Roman" w:eastAsia="游明朝"/>
                <w:sz w:val="18"/>
              </w:rPr>
              <w:t xml:space="preserve">MNST#6（10%）との+20pt乖離の根拠（事実誤認回避）と実質的弱点の未解消を明記</w:t>
            </w:r>
          </w:p>
        </w:tc>
      </w:tr>
    </w:tbl>
    <w:bookmarkStart w:id="40" w:name="修正種別の定義"/>
    <w:p>
      <w:pPr>
        <w:pStyle w:val="Heading3"/>
      </w:pPr>
      <w:r>
        <w:rPr>
          <w:rFonts w:hint="eastAsia"/>
        </w:rPr>
        <w:t xml:space="preserve">修正種別の定義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Style w:val="VerbatimCha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値の変更（即座</w:t>
            </w:r>
            <w:r>
              <w:rPr>
                <w:rFonts w:ascii="Times New Roman" w:hAnsi="Times New Roman" w:eastAsia="游明朝"/>
                <w:sz w:val="18"/>
              </w:rPr>
              <w:t xml:space="preserve"> or </w:t>
            </w:r>
            <w:r>
              <w:rPr>
                <w:rFonts w:hint="eastAsia" w:ascii="Times New Roman" w:hAnsi="Times New Roman" w:eastAsia="游明朝"/>
                <w:sz w:val="18"/>
              </w:rPr>
              <w:t xml:space="preserve">条件付き）</w:t>
            </w:r>
          </w:p>
        </w:tc>
      </w:tr>
      <w:tr>
        <w:tc>
          <w:tcPr/>
          <w:p>
            <w:pPr>
              <w:pStyle w:val="Compact"/>
            </w:pPr>
            <w:r>
              <w:rPr>
                <w:rStyle w:val="VerbatimCha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値は維持し、注記・留意点を追加</w:t>
            </w:r>
          </w:p>
        </w:tc>
      </w:tr>
      <w:tr>
        <w:tc>
          <w:tcPr/>
          <w:p>
            <w:pPr>
              <w:pStyle w:val="Compact"/>
            </w:pPr>
            <w:r>
              <w:rPr>
                <w:rStyle w:val="VerbatimChar"/>
                <w:rFonts w:ascii="Times New Roman" w:hAnsi="Times New Roman" w:eastAsia="游明朝"/>
                <w:sz w:val="18"/>
              </w:rPr>
              <w:t xml:space="preserve">consistency_fix</w:t>
            </w:r>
          </w:p>
        </w:tc>
        <w:tc>
          <w:tcPr/>
          <w:p>
            <w:pPr>
              <w:pStyle w:val="Compact"/>
            </w:pPr>
            <w:r>
              <w:rPr>
                <w:rFonts w:hint="eastAsia" w:ascii="Times New Roman" w:hAnsi="Times New Roman" w:eastAsia="游明朝"/>
                <w:sz w:val="18"/>
              </w:rPr>
              <w:t xml:space="preserve">コメント文と</w:t>
            </w:r>
            <w:r>
              <w:rPr>
                <w:rFonts w:ascii="Times New Roman" w:hAnsi="Times New Roman" w:eastAsia="游明朝"/>
                <w:sz w:val="18"/>
              </w:rPr>
              <w:t xml:space="preserve"> confidence </w:t>
            </w:r>
            <w:r>
              <w:rPr>
                <w:rFonts w:hint="eastAsia" w:ascii="Times New Roman" w:hAnsi="Times New Roman" w:eastAsia="游明朝"/>
                <w:sz w:val="18"/>
              </w:rPr>
              <w:t xml:space="preserve">値の矛盾を修正</w:t>
            </w:r>
          </w:p>
        </w:tc>
      </w:tr>
    </w:tbl>
    <w:p>
      <w:r>
        <w:pict>
          <v:rect style="width:0;height:1.5pt" o:hralign="center" o:hrstd="t" o:hr="t"/>
        </w:pict>
      </w:r>
    </w:p>
    <w:p>
      <w:pPr>
        <w:pStyle w:val="FirstParagraph"/>
      </w:pPr>
      <w:r>
        <w:rPr>
          <w:i/>
          <w:iCs/>
        </w:rPr>
        <w:t xml:space="preserve">このレポートはT8 </w:t>
      </w:r>
      <w:r>
        <w:rPr>
          <w:rFonts w:hint="eastAsia"/>
          <w:i/>
          <w:iCs/>
        </w:rPr>
        <w:t xml:space="preserve">AI批判プロセス（critique.json参照）を適用した最終版です。</w:t>
      </w:r>
    </w:p>
    <w:bookmarkEnd w:id="40"/>
    <w:bookmarkEnd w:id="41"/>
    <w:bookmarkEnd w:id="42"/>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2026-02-27T01:55:54Z</dcterms:created>
  <dcterms:modified xsi:type="dcterms:W3CDTF">2026-02-27T01:55:54Z</dcterms:modified>
</cp:coreProperties>
</file>

<file path=docProps/custom.xml><?xml version="1.0" encoding="utf-8"?>
<Properties xmlns="http://schemas.openxmlformats.org/officeDocument/2006/custom-properties" xmlns:vt="http://schemas.openxmlformats.org/officeDocument/2006/docPropsVTypes"/>
</file>