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meametek-inc.競争優位性評価レポート最終版"/>
    <w:p>
      <w:pPr>
        <w:pStyle w:val="Heading1"/>
      </w:pPr>
      <w:r>
        <w:rPr>
          <w:rFonts w:hint="eastAsia"/>
        </w:rPr>
        <w:t xml:space="preserve">AME（AMETEK,</w:t>
      </w:r>
      <w:r>
        <w:t xml:space="preserve"> </w:t>
      </w:r>
      <w:r>
        <w:rPr>
          <w:rFonts w:hint="eastAsia"/>
        </w:rPr>
        <w:t xml:space="preserve">Inc.）競争優位性評価レポート（最終版）</w:t>
      </w:r>
    </w:p>
    <w:p>
      <w:pPr>
        <w:pStyle w:val="BlockText"/>
      </w:pPr>
      <w:r>
        <w:rPr>
          <w:b/>
          <w:bCs/>
        </w:rPr>
        <w:t xml:space="preserve">リサーチID</w:t>
      </w:r>
      <w:r>
        <w:t xml:space="preserve">: CA_eval_20260226-2046_AME</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10-K XBRL FY2025), </w:t>
      </w:r>
      <w:r>
        <w:rPr>
          <w:rFonts w:hint="eastAsia"/>
        </w:rPr>
        <w:t xml:space="preserve">アナリストレポート（analyst/raw/AME</w:t>
      </w:r>
      <w:r>
        <w:t xml:space="preserve"> </w:t>
      </w:r>
      <w:r>
        <w:rPr>
          <w:rFonts w:hint="eastAsia"/>
        </w:rPr>
        <w:t xml:space="preserve">US.md）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w:t>
      </w:r>
      <w:r>
        <w:rPr>
          <w:rFonts w:hint="eastAsia"/>
        </w:rPr>
        <w:t xml:space="preserve">x1件、minor</w:t>
      </w:r>
      <w:r>
        <w:t xml:space="preserve"> </w:t>
      </w:r>
      <w:r>
        <w:rPr>
          <w:rFonts w:hint="eastAsia"/>
        </w:rPr>
        <w:t xml:space="preserve">x6件）の指摘を反映済み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銘柄</w:t>
            </w:r>
          </w:p>
        </w:tc>
        <w:tc>
          <w:tcPr/>
          <w:p>
            <w:pPr>
              <w:pStyle w:val="Compact"/>
            </w:pPr>
            <w:r>
              <w:rPr>
                <w:rFonts w:hint="eastAsia" w:ascii="Times New Roman" w:hAnsi="Times New Roman" w:eastAsia="游明朝"/>
                <w:sz w:val="18"/>
              </w:rPr>
              <w:t xml:space="preserve">AME（AMETEK,</w:t>
            </w:r>
            <w:r>
              <w:rPr>
                <w:rFonts w:ascii="Times New Roman" w:hAnsi="Times New Roman" w:eastAsia="游明朝"/>
                <w:sz w:val="18"/>
              </w:rPr>
              <w:t xml:space="preserve"> </w:t>
            </w:r>
            <w:r>
              <w:rPr>
                <w:rFonts w:hint="eastAsia" w:ascii="Times New Roman" w:hAnsi="Times New Roman" w:eastAsia="游明朝"/>
                <w:sz w:val="18"/>
              </w:rPr>
              <w:t xml:space="preserve">Inc.）</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電子計器・電気機械装置</w:t>
            </w:r>
          </w:p>
        </w:tc>
      </w:tr>
      <w:tr>
        <w:tc>
          <w:tcPr/>
          <w:p>
            <w:pPr>
              <w:pStyle w:val="Compact"/>
            </w:pPr>
            <w:r>
              <w:rPr>
                <w:rFonts w:ascii="Times New Roman" w:hAnsi="Times New Roman" w:eastAsia="游明朝"/>
                <w:sz w:val="18"/>
              </w:rPr>
              <w:t xml:space="preserve">セグメント</w:t>
            </w:r>
          </w:p>
        </w:tc>
        <w:tc>
          <w:tcPr/>
          <w:p>
            <w:pPr>
              <w:pStyle w:val="Compact"/>
            </w:pPr>
            <w:r>
              <w:rPr>
                <w:rFonts w:hint="eastAsia" w:ascii="Times New Roman" w:hAnsi="Times New Roman" w:eastAsia="游明朝"/>
                <w:sz w:val="18"/>
              </w:rPr>
              <w:t xml:space="preserve">EIG（電子計器、68%）、EMG（電気機械、32%）</w:t>
            </w:r>
          </w:p>
        </w:tc>
      </w:tr>
      <w:tr>
        <w:tc>
          <w:tcPr/>
          <w:p>
            <w:pPr>
              <w:pStyle w:val="Compact"/>
            </w:pPr>
            <w:r>
              <w:rPr>
                <w:rFonts w:hint="eastAsia" w:ascii="Times New Roman" w:hAnsi="Times New Roman" w:eastAsia="游明朝"/>
                <w:sz w:val="18"/>
              </w:rPr>
              <w:t xml:space="preserve">FY2025売上高</w:t>
            </w:r>
          </w:p>
        </w:tc>
        <w:tc>
          <w:tcPr/>
          <w:p>
            <w:pPr>
              <w:pStyle w:val="Compact"/>
            </w:pPr>
            <w:r>
              <w:rPr>
                <w:rFonts w:ascii="Times New Roman" w:hAnsi="Times New Roman" w:eastAsia="游明朝"/>
                <w:sz w:val="18"/>
              </w:rPr>
              <w:t xml:space="preserve">USD </w:t>
            </w:r>
            <w:r>
              <w:rPr>
                <w:rFonts w:hint="eastAsia" w:ascii="Times New Roman" w:hAnsi="Times New Roman" w:eastAsia="游明朝"/>
                <w:sz w:val="18"/>
              </w:rPr>
              <w:t xml:space="preserve">7.4bn（10-K</w:t>
            </w:r>
            <w:r>
              <w:rPr>
                <w:rFonts w:ascii="Times New Roman" w:hAnsi="Times New Roman" w:eastAsia="游明朝"/>
                <w:sz w:val="18"/>
              </w:rPr>
              <w:t xml:space="preserve"> </w:t>
            </w:r>
            <w:r>
              <w:rPr>
                <w:rFonts w:hint="eastAsia" w:ascii="Times New Roman" w:hAnsi="Times New Roman" w:eastAsia="游明朝"/>
                <w:sz w:val="18"/>
              </w:rPr>
              <w:t xml:space="preserve">XBRL確認）</w:t>
            </w:r>
          </w:p>
        </w:tc>
      </w:tr>
      <w:tr>
        <w:tc>
          <w:tcPr/>
          <w:p>
            <w:pPr>
              <w:pStyle w:val="Compact"/>
            </w:pPr>
            <w:r>
              <w:rPr>
                <w:rFonts w:ascii="Times New Roman" w:hAnsi="Times New Roman" w:eastAsia="游明朝"/>
                <w:sz w:val="18"/>
              </w:rPr>
              <w:t xml:space="preserve">FY2025 OPM</w:t>
            </w:r>
          </w:p>
        </w:tc>
        <w:tc>
          <w:tcPr/>
          <w:p>
            <w:pPr>
              <w:pStyle w:val="Compact"/>
            </w:pPr>
            <w:r>
              <w:rPr>
                <w:rFonts w:hint="eastAsia" w:ascii="Times New Roman" w:hAnsi="Times New Roman" w:eastAsia="游明朝"/>
                <w:sz w:val="18"/>
              </w:rPr>
              <w:t xml:space="preserve">25.8%（10-K</w:t>
            </w:r>
            <w:r>
              <w:rPr>
                <w:rFonts w:ascii="Times New Roman" w:hAnsi="Times New Roman" w:eastAsia="游明朝"/>
                <w:sz w:val="18"/>
              </w:rPr>
              <w:t xml:space="preserve"> </w:t>
            </w:r>
            <w:r>
              <w:rPr>
                <w:rFonts w:hint="eastAsia" w:ascii="Times New Roman" w:hAnsi="Times New Roman" w:eastAsia="游明朝"/>
                <w:sz w:val="18"/>
              </w:rPr>
              <w:t xml:space="preserve">XBRL確認）</w:t>
            </w:r>
          </w:p>
        </w:tc>
      </w:tr>
      <w:tr>
        <w:tc>
          <w:tcPr/>
          <w:p>
            <w:pPr>
              <w:pStyle w:val="Compact"/>
            </w:pPr>
            <w:r>
              <w:rPr>
                <w:rFonts w:hint="eastAsia" w:ascii="Times New Roman" w:hAnsi="Times New Roman" w:eastAsia="游明朝"/>
                <w:sz w:val="18"/>
              </w:rPr>
              <w:t xml:space="preserve">CAGR推定</w:t>
            </w:r>
          </w:p>
        </w:tc>
        <w:tc>
          <w:tcPr/>
          <w:p>
            <w:pPr>
              <w:pStyle w:val="Compact"/>
            </w:pPr>
            <w:r>
              <w:rPr>
                <w:rFonts w:hint="eastAsia" w:ascii="Times New Roman" w:hAnsi="Times New Roman" w:eastAsia="游明朝"/>
                <w:sz w:val="18"/>
              </w:rPr>
              <w:t xml:space="preserve">10%（売上8%</w:t>
            </w:r>
            <w:r>
              <w:rPr>
                <w:rFonts w:ascii="Times New Roman" w:hAnsi="Times New Roman" w:eastAsia="游明朝"/>
                <w:sz w:val="18"/>
              </w:rPr>
              <w:t xml:space="preserve"> + OP Leverage1% + </w:t>
            </w:r>
            <w:r>
              <w:rPr>
                <w:rFonts w:hint="eastAsia" w:ascii="Times New Roman" w:hAnsi="Times New Roman" w:eastAsia="游明朝"/>
                <w:sz w:val="18"/>
              </w:rPr>
              <w:t xml:space="preserve">Buyback1%）</w:t>
            </w:r>
          </w:p>
        </w:tc>
      </w:tr>
      <w:tr>
        <w:tc>
          <w:tcPr/>
          <w:p>
            <w:pPr>
              <w:pStyle w:val="Compact"/>
            </w:pPr>
            <w:r>
              <w:rPr>
                <w:rFonts w:ascii="Times New Roman" w:hAnsi="Times New Roman" w:eastAsia="游明朝"/>
                <w:sz w:val="18"/>
              </w:rPr>
              <w:t xml:space="preserve">ビジネスモデル</w:t>
            </w:r>
          </w:p>
        </w:tc>
        <w:tc>
          <w:tcPr/>
          <w:p>
            <w:pPr>
              <w:pStyle w:val="Compact"/>
            </w:pPr>
            <w:r>
              <w:rPr>
                <w:rFonts w:hint="eastAsia" w:ascii="Times New Roman" w:hAnsi="Times New Roman" w:eastAsia="游明朝"/>
                <w:sz w:val="18"/>
              </w:rPr>
              <w:t xml:space="preserve">ニッチ計測機器・プロセス機器のM&amp;A型プラットフォーム</w:t>
            </w:r>
          </w:p>
        </w:tc>
      </w:tr>
      <w:tr>
        <w:tc>
          <w:tcPr/>
          <w:p>
            <w:pPr>
              <w:pStyle w:val="Compact"/>
            </w:pPr>
            <w:r>
              <w:rPr>
                <w:rFonts w:hint="eastAsia" w:ascii="Times New Roman" w:hAnsi="Times New Roman" w:eastAsia="游明朝"/>
                <w:sz w:val="18"/>
              </w:rPr>
              <w:t xml:space="preserve">類似企業</w:t>
            </w:r>
          </w:p>
        </w:tc>
        <w:tc>
          <w:tcPr/>
          <w:p>
            <w:pPr>
              <w:pStyle w:val="Compact"/>
            </w:pPr>
            <w:r>
              <w:rPr>
                <w:rFonts w:ascii="Times New Roman" w:hAnsi="Times New Roman" w:eastAsia="游明朝"/>
                <w:sz w:val="18"/>
              </w:rPr>
              <w:t xml:space="preserve">ITW、Roper Technologies、Fortive、Danaher</w:t>
            </w:r>
          </w:p>
        </w:tc>
      </w:tr>
    </w:tbl>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スイッチングコスト</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ChurnRate非開示の注記追加]</w:t>
            </w:r>
          </w:p>
        </w:tc>
        <w:tc>
          <w:tcPr/>
          <w:p>
            <w:pPr>
              <w:pStyle w:val="Compact"/>
            </w:pPr>
            <w:r>
              <w:rPr>
                <w:rFonts w:hint="eastAsia" w:ascii="Times New Roman" w:hAnsi="Times New Roman" w:eastAsia="游明朝"/>
                <w:sz w:val="18"/>
              </w:rPr>
              <w:t xml:space="preserve">ミッションクリティカル性×カスタマイズ×ニッチ</w:t>
            </w:r>
          </w:p>
        </w:tc>
        <w:tc>
          <w:tcPr/>
          <w:p>
            <w:pPr>
              <w:pStyle w:val="Compact"/>
            </w:pPr>
            <w:r>
              <w:rPr>
                <w:rFonts w:hint="eastAsia" w:ascii="Times New Roman" w:hAnsi="Times New Roman" w:eastAsia="游明朝"/>
                <w:sz w:val="18"/>
              </w:rPr>
              <w:t xml:space="preserve">ChurnRate非開示、純粋競合比較なし</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M&amp;A実行能力</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大型化リスクの条件付きアノテーション追加]</w:t>
            </w:r>
          </w:p>
        </w:tc>
        <w:tc>
          <w:tcPr/>
          <w:p>
            <w:pPr>
              <w:pStyle w:val="Compact"/>
            </w:pPr>
            <w:r>
              <w:rPr>
                <w:rFonts w:hint="eastAsia" w:ascii="Times New Roman" w:hAnsi="Times New Roman" w:eastAsia="游明朝"/>
                <w:sz w:val="18"/>
              </w:rPr>
              <w:t xml:space="preserve">86件/USD8.4bn、ROIC20%超、PMI</w:t>
            </w:r>
            <w:r>
              <w:rPr>
                <w:rFonts w:ascii="Times New Roman" w:hAnsi="Times New Roman" w:eastAsia="游明朝"/>
                <w:sz w:val="18"/>
              </w:rPr>
              <w:t xml:space="preserve"> Playbook</w:t>
            </w:r>
          </w:p>
        </w:tc>
        <w:tc>
          <w:tcPr/>
          <w:p>
            <w:pPr>
              <w:pStyle w:val="Compact"/>
            </w:pPr>
            <w:r>
              <w:rPr>
                <w:rFonts w:hint="eastAsia" w:ascii="Times New Roman" w:hAnsi="Times New Roman" w:eastAsia="游明朝"/>
                <w:sz w:val="18"/>
              </w:rPr>
              <w:t xml:space="preserve">大型化リスク(条件付き50%低下)、ITW等との比較なし</w:t>
            </w:r>
          </w:p>
        </w:tc>
      </w:tr>
      <w:tr>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コストシナジー</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集中購買、ローコスト拠点</w:t>
            </w:r>
          </w:p>
        </w:tc>
        <w:tc>
          <w:tcPr/>
          <w:p>
            <w:pPr>
              <w:pStyle w:val="Compact"/>
            </w:pPr>
            <w:r>
              <w:rPr>
                <w:rFonts w:hint="eastAsia" w:ascii="Times New Roman" w:hAnsi="Times New Roman" w:eastAsia="游明朝"/>
                <w:sz w:val="18"/>
              </w:rPr>
              <w:t xml:space="preserve">M&amp;A補完要素、業界共通性</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直販体制</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パターンC警告を明記]</w:t>
            </w:r>
          </w:p>
        </w:tc>
        <w:tc>
          <w:tcPr/>
          <w:p>
            <w:pPr>
              <w:pStyle w:val="Compact"/>
            </w:pPr>
            <w:r>
              <w:rPr>
                <w:rFonts w:hint="eastAsia" w:ascii="Times New Roman" w:hAnsi="Times New Roman" w:eastAsia="游明朝"/>
                <w:sz w:val="18"/>
              </w:rPr>
              <w:t xml:space="preserve">直販80%、顧客接点ループ</w:t>
            </w:r>
          </w:p>
        </w:tc>
        <w:tc>
          <w:tcPr/>
          <w:p>
            <w:pPr>
              <w:pStyle w:val="Compact"/>
            </w:pPr>
            <w:r>
              <w:rPr>
                <w:rFonts w:hint="eastAsia" w:ascii="Times New Roman" w:hAnsi="Times New Roman" w:eastAsia="游明朝"/>
                <w:sz w:val="18"/>
              </w:rPr>
              <w:t xml:space="preserve">4ステップ因果チェーン（パターンC該当）</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分散型組織</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ITW類似の差別化根拠を明記]</w:t>
            </w:r>
          </w:p>
        </w:tc>
        <w:tc>
          <w:tcPr/>
          <w:p>
            <w:pPr>
              <w:pStyle w:val="Compact"/>
            </w:pPr>
            <w:r>
              <w:rPr>
                <w:rFonts w:hint="eastAsia" w:ascii="Times New Roman" w:hAnsi="Times New Roman" w:eastAsia="游明朝"/>
                <w:sz w:val="18"/>
              </w:rPr>
              <w:t xml:space="preserve">BU自律経営、メリットベース報酬</w:t>
            </w:r>
          </w:p>
        </w:tc>
        <w:tc>
          <w:tcPr/>
          <w:p>
            <w:pPr>
              <w:pStyle w:val="Compact"/>
            </w:pPr>
            <w:r>
              <w:rPr>
                <w:rFonts w:hint="eastAsia" w:ascii="Times New Roman" w:hAnsi="Times New Roman" w:eastAsia="游明朝"/>
                <w:sz w:val="18"/>
              </w:rPr>
              <w:t xml:space="preserve">ITW類似、差別化はニッチ計測器特化</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Pricing Power</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30%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スプレッド縮小の両面評価を追記]</w:t>
            </w:r>
          </w:p>
        </w:tc>
        <w:tc>
          <w:tcPr/>
          <w:p>
            <w:pPr>
              <w:pStyle w:val="Compact"/>
            </w:pPr>
            <w:r>
              <w:rPr>
                <w:rFonts w:ascii="Times New Roman" w:hAnsi="Times New Roman" w:eastAsia="游明朝"/>
                <w:sz w:val="18"/>
              </w:rPr>
              <w:t xml:space="preserve">スプレッド50-100bp</w:t>
            </w:r>
          </w:p>
        </w:tc>
        <w:tc>
          <w:tcPr/>
          <w:p>
            <w:pPr>
              <w:pStyle w:val="Compact"/>
            </w:pPr>
            <w:r>
              <w:rPr>
                <w:rFonts w:hint="eastAsia" w:ascii="Times New Roman" w:hAnsi="Times New Roman" w:eastAsia="游明朝"/>
                <w:sz w:val="18"/>
              </w:rPr>
              <w:t xml:space="preserve">#1の結果的側面、スプレッド縮小の構造的意味不明</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ニッチ参入障壁</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USD150-400M市場、シェア30-50%</w:t>
            </w:r>
          </w:p>
        </w:tc>
        <w:tc>
          <w:tcPr/>
          <w:p>
            <w:pPr>
              <w:pStyle w:val="Compact"/>
            </w:pPr>
            <w:r>
              <w:rPr>
                <w:rFonts w:hint="eastAsia" w:ascii="Times New Roman" w:hAnsi="Times New Roman" w:eastAsia="游明朝"/>
                <w:sz w:val="18"/>
              </w:rPr>
              <w:t xml:space="preserve">戦略と構造の混在、定量性不足</w:t>
            </w:r>
          </w:p>
        </w:tc>
      </w:tr>
    </w:tbl>
    <w:p>
      <w:pPr>
        <w:pStyle w:val="BodyText"/>
      </w:pPr>
      <w:r>
        <w:rPr>
          <w:rFonts w:hint="eastAsia"/>
          <w:b/>
          <w:bCs/>
        </w:rPr>
        <w:t xml:space="preserve">平均CA確信度</w:t>
      </w:r>
      <w:r>
        <w:t xml:space="preserve">: 53% |</w:t>
      </w:r>
      <w:r>
        <w:t xml:space="preserve"> </w:t>
      </w:r>
      <w:r>
        <w:rPr>
          <w:rFonts w:hint="eastAsia"/>
          <w:b/>
          <w:bCs/>
        </w:rPr>
        <w:t xml:space="preserve">平均CAGR確信度</w:t>
      </w:r>
      <w:r>
        <w:t xml:space="preserve">: 53%</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主張-1-スイッチングコストニッチ領域ミッションクリティカルカスタマイズ"/>
    <w:p>
      <w:pPr>
        <w:pStyle w:val="Heading3"/>
      </w:pPr>
      <w:r>
        <w:rPr>
          <w:rFonts w:hint="eastAsia"/>
        </w:rPr>
        <w:t xml:space="preserve">主張</w:t>
      </w:r>
      <w:r>
        <w:t xml:space="preserve"> #1: </w:t>
      </w:r>
      <w:r>
        <w:rPr>
          <w:rFonts w:hint="eastAsia"/>
        </w:rPr>
        <w:t xml:space="preserve">スイッチングコスト（ニッチ領域×ミッションクリティカル×カスタマイズ）</w:t>
      </w:r>
    </w:p>
    <w:bookmarkStart w:id="11" w:name="ai評価-おおむね納得70-t8修正-churnrate非開示の注記追加"/>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ChurnRate非開示の注記追加]</w:t>
      </w:r>
    </w:p>
    <w:p>
      <w:pPr>
        <w:pStyle w:val="FirstParagraph"/>
      </w:pPr>
      <w:r>
        <w:rPr>
          <w:rFonts w:hint="eastAsia"/>
        </w:rPr>
        <w:t xml:space="preserve">AMETEKの製品が生む高いスイッチングコストは、3つの構造的要素の重なりから生じる。(1)ニッチ領域（市場規模USD150-400M）での高シェア（30-50%）、(2)ミッションクリティカル財（High</w:t>
      </w:r>
      <w:r>
        <w:t xml:space="preserve"> Cost of Failure: </w:t>
      </w:r>
      <w:r>
        <w:rPr>
          <w:rFonts w:hint="eastAsia"/>
        </w:rPr>
        <w:t xml:space="preserve">放射能検知器、潜水艦内コネクタ、高速鉄道fault</w:t>
      </w:r>
      <w:r>
        <w:t xml:space="preserve"> </w:t>
      </w:r>
      <w:r>
        <w:rPr>
          <w:rFonts w:hint="eastAsia"/>
        </w:rPr>
        <w:t xml:space="preserve">recorder等）、(3)顧客ニーズに合わせたカスタマイズ製品。この3要素が重なる結果、一度使用した顧客はスイッチするインセンティブが極めて低い。IR面談（2024/6）では</w:t>
      </w:r>
      <w:r>
        <w:t xml:space="preserve">Churn </w:t>
      </w:r>
      <w:r>
        <w:rPr>
          <w:rFonts w:hint="eastAsia"/>
        </w:rPr>
        <w:t xml:space="preserve">Rateはほぼゼロと言及されたが、これはIR面談の定性コメントであり数値は非開示</w:t>
      </w:r>
      <w:r>
        <w:t xml:space="preserve">。</w:t>
      </w:r>
    </w:p>
    <w:p>
      <w:pPr>
        <w:pStyle w:val="BodyText"/>
      </w:pPr>
      <w:r>
        <w:rPr>
          <w:rFonts w:hint="eastAsia"/>
          <w:b/>
          <w:bCs/>
        </w:rPr>
        <w:t xml:space="preserve">納得できる点</w:t>
      </w:r>
      <w:r>
        <w:t xml:space="preserve">: </w:t>
      </w:r>
      <w:r>
        <w:rPr>
          <w:rFonts w:hint="eastAsia"/>
        </w:rPr>
        <w:t xml:space="preserve">ミッションクリティカル性の具体例が豊富で説明力が高い。High</w:t>
      </w:r>
      <w:r>
        <w:t xml:space="preserve"> Cost of </w:t>
      </w:r>
      <w:r>
        <w:rPr>
          <w:rFonts w:hint="eastAsia"/>
        </w:rPr>
        <w:t xml:space="preserve">Failureのメカニズムは明確。ルール11の観点からニッチ市場構造とAMEのポジションの合致が一定程度認められる。</w:t>
      </w:r>
    </w:p>
    <w:p>
      <w:pPr>
        <w:pStyle w:val="BodyText"/>
      </w:pPr>
      <w:r>
        <w:rPr>
          <w:rFonts w:hint="eastAsia"/>
          <w:b/>
          <w:bCs/>
        </w:rPr>
        <w:t xml:space="preserve">懸念点</w:t>
      </w:r>
      <w:r>
        <w:t xml:space="preserve">: </w:t>
      </w:r>
      <w:r>
        <w:rPr>
          <w:rFonts w:hint="eastAsia"/>
        </w:rPr>
        <w:t xml:space="preserve">ChurnRate数値が非開示（IR面談の定性コメント）。各ニッチ領域における純粋競合の特定が不足（パターンG）。ニッチ市場のフラグメント度の定量分析が不足。</w:t>
      </w:r>
    </w:p>
    <w:p>
      <w:pPr>
        <w:pStyle w:val="BlockText"/>
      </w:pPr>
      <w:r>
        <w:rPr>
          <w:rFonts w:hint="eastAsia"/>
          <w:b/>
          <w:bCs/>
        </w:rPr>
        <w:t xml:space="preserve">[注1A]</w:t>
      </w:r>
      <w:r>
        <w:rPr>
          <w:b/>
          <w:bCs/>
        </w:rPr>
        <w:t xml:space="preserve"> </w:t>
      </w:r>
      <w:r>
        <w:rPr>
          <w:rFonts w:hint="eastAsia"/>
          <w:b/>
          <w:bCs/>
        </w:rPr>
        <w:t xml:space="preserve">T8批判</w:t>
      </w:r>
      <w:r>
        <w:rPr>
          <w:b/>
          <w:bCs/>
        </w:rPr>
        <w:t xml:space="preserve"> (minor): </w:t>
      </w:r>
      <w:r>
        <w:rPr>
          <w:rFonts w:hint="eastAsia"/>
          <w:b/>
          <w:bCs/>
        </w:rPr>
        <w:t xml:space="preserve">ChurnRateの開示データ不在</w:t>
      </w:r>
    </w:p>
    <w:p>
      <w:pPr>
        <w:pStyle w:val="BlockText"/>
      </w:pPr>
      <w:r>
        <w:t xml:space="preserve">「Churn </w:t>
      </w:r>
      <w:r>
        <w:rPr>
          <w:rFonts w:hint="eastAsia"/>
        </w:rPr>
        <w:t xml:space="preserve">Rateほぼゼロ」はIR面談の定性コメントであり、開示データで検証可能な事実ではない。KB3</w:t>
      </w:r>
      <w:r>
        <w:t xml:space="preserve"> </w:t>
      </w:r>
      <w:r>
        <w:rPr>
          <w:rFonts w:hint="eastAsia"/>
        </w:rPr>
        <w:t xml:space="preserve">COST顧客粘着力(CAGR90%)は「会員更新率・比率が適宜開示されており検証可能」が90%の根拠。AMEのChurnRateは開示されていないため、CAGR接続70%は「開示データが整えば上振れ余地、整わなければ現状維持」という位置づけで理解すべき。</w:t>
      </w:r>
    </w:p>
    <w:p>
      <w:pPr>
        <w:pStyle w:val="BlockText"/>
      </w:pPr>
      <w:r>
        <w:rPr>
          <w:rFonts w:hint="eastAsia"/>
          <w:b/>
          <w:bCs/>
        </w:rPr>
        <w:t xml:space="preserve">T8の判断</w:t>
      </w:r>
      <w:r>
        <w:t xml:space="preserve">: CA confidence </w:t>
      </w:r>
      <w:r>
        <w:rPr>
          <w:rFonts w:hint="eastAsia"/>
        </w:rPr>
        <w:t xml:space="preserve">70%は適切と判断する。CAGR接続70%に注記を追加。</w:t>
      </w:r>
    </w:p>
    <w:p>
      <w:pPr>
        <w:pStyle w:val="BlockText"/>
      </w:pPr>
      <w:r>
        <w:rPr>
          <w:rFonts w:hint="eastAsia"/>
          <w:b/>
          <w:bCs/>
        </w:rPr>
        <w:t xml:space="preserve">[注1B]</w:t>
      </w:r>
      <w:r>
        <w:rPr>
          <w:b/>
          <w:bCs/>
        </w:rPr>
        <w:t xml:space="preserve"> </w:t>
      </w:r>
      <w:r>
        <w:rPr>
          <w:rFonts w:hint="eastAsia"/>
          <w:b/>
          <w:bCs/>
        </w:rPr>
        <w:t xml:space="preserve">T8批判</w:t>
      </w:r>
      <w:r>
        <w:rPr>
          <w:b/>
          <w:bCs/>
        </w:rPr>
        <w:t xml:space="preserve"> (minor): </w:t>
      </w:r>
      <w:r>
        <w:rPr>
          <w:rFonts w:hint="eastAsia"/>
          <w:b/>
          <w:bCs/>
        </w:rPr>
        <w:t xml:space="preserve">ニッチ市場のフラグメント度の定量不足</w:t>
      </w:r>
    </w:p>
    <w:p>
      <w:pPr>
        <w:pStyle w:val="BlockText"/>
      </w:pPr>
      <w:r>
        <w:t xml:space="preserve">KB3 </w:t>
      </w:r>
      <w:r>
        <w:rPr>
          <w:rFonts w:hint="eastAsia"/>
        </w:rPr>
        <w:t xml:space="preserve">ORLY#2(90%)は市場構造の定量分析（フラグメント度、飽和度）が明確で90%の根拠。AMEのClaim#1(70%)ではニッチ計測機器市場の競合数・シェア集中度等の定量分析がない。フラグメント度の定量データが得られれば90%の可能性がある。</w:t>
      </w:r>
    </w:p>
    <w:p>
      <w:pPr>
        <w:pStyle w:val="BlockText"/>
      </w:pPr>
      <w:r>
        <w:rPr>
          <w:rFonts w:hint="eastAsia"/>
          <w:b/>
          <w:bCs/>
        </w:rPr>
        <w:t xml:space="preserve">T8の判断</w:t>
      </w:r>
      <w:r>
        <w:t xml:space="preserve">: CA confidence </w:t>
      </w:r>
      <w:r>
        <w:rPr>
          <w:rFonts w:hint="eastAsia"/>
        </w:rPr>
        <w:t xml:space="preserve">70%を維持。「ニッチ市場の競合数・シェア集中度データが整えば上振れ余地（90%の可能性）、現状は70%」。</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仕組み（3要素の重なり）を評価</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「スイッチングコスト」</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ニッチ内の個別競合比較不足</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説明力は十分、定量裏付けがWANT未充足</w:t>
            </w:r>
          </w:p>
        </w:tc>
      </w:tr>
      <w:tr>
        <w:tc>
          <w:tcPr/>
          <w:p>
            <w:pPr>
              <w:pStyle w:val="Compact"/>
            </w:pPr>
            <w:r>
              <w:rPr>
                <w:rFonts w:ascii="Times New Roman" w:hAnsi="Times New Roman" w:eastAsia="游明朝"/>
                <w:sz w:val="18"/>
              </w:rPr>
              <w:t xml:space="preserve">R5 </w:t>
            </w:r>
            <w:r>
              <w:rPr>
                <w:rFonts w:hint="eastAsia" w:ascii="Times New Roman" w:hAnsi="Times New Roman" w:eastAsia="游明朝"/>
                <w:sz w:val="18"/>
              </w:rPr>
              <w:t xml:space="preserve">CAGR直接性</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1-2ステップ</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核心的構造要素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純粋競合比較不足</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市場構造分析の定量性不足</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情報ソース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期初レポート+面談で補強</w:t>
            </w:r>
          </w:p>
        </w:tc>
      </w:tr>
    </w:tbl>
    <w:p>
      <w:pPr>
        <w:pStyle w:val="BodyText"/>
      </w:pPr>
      <w:r>
        <w:rPr>
          <w:rFonts w:hint="eastAsia"/>
          <w:b/>
          <w:bCs/>
        </w:rPr>
        <w:t xml:space="preserve">検出パターン</w:t>
      </w:r>
      <w:r>
        <w:t xml:space="preserve">: </w:t>
      </w:r>
      <w:r>
        <w:rPr>
          <w:rFonts w:hint="eastAsia"/>
        </w:rPr>
        <w:t xml:space="preserve">高評価</w:t>
      </w:r>
      <w:r>
        <w:t xml:space="preserve"> I(moderate), II(moderate), IV(moderate) | </w:t>
      </w:r>
      <w:r>
        <w:rPr>
          <w:rFonts w:hint="eastAsia"/>
        </w:rPr>
        <w:t xml:space="preserve">却下</w:t>
      </w:r>
      <w:r>
        <w:t xml:space="preserve"> G(partial)</w:t>
      </w:r>
    </w:p>
    <w:p>
      <w:pPr>
        <w:pStyle w:val="BodyText"/>
      </w:pPr>
      <w:r>
        <w:rPr>
          <w:rFonts w:hint="eastAsia"/>
          <w:b/>
          <w:bCs/>
        </w:rPr>
        <w:t xml:space="preserve">CAGR接続（70%）</w:t>
      </w:r>
      <w:r>
        <w:t xml:space="preserve">: </w:t>
      </w:r>
      <w:r>
        <w:rPr>
          <w:rFonts w:hint="eastAsia"/>
        </w:rPr>
        <w:t xml:space="preserve">スイッチングコスト→顧客維持→OG4%の基盤。ChurnRateの定量的開示が得られれば上振れ余地。得られなければ現状70%維持。</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1"/>
    <w:bookmarkEnd w:id="12"/>
    <w:bookmarkStart w:id="14" w:name="主張-2-ma実行能力と統合力規律あるmaプラットフォーム"/>
    <w:p>
      <w:pPr>
        <w:pStyle w:val="Heading3"/>
      </w:pPr>
      <w:r>
        <w:rPr>
          <w:rFonts w:hint="eastAsia"/>
        </w:rPr>
        <w:t xml:space="preserve">主張</w:t>
      </w:r>
      <w:r>
        <w:t xml:space="preserve"> #2: </w:t>
      </w:r>
      <w:r>
        <w:rPr>
          <w:rFonts w:hint="eastAsia"/>
        </w:rPr>
        <w:t xml:space="preserve">M&amp;A実行能力と統合力（規律あるM&amp;Aプラットフォーム）</w:t>
      </w:r>
    </w:p>
    <w:bookmarkStart w:id="13" w:name="ai評価-おおむね納得70-t8修正-大型化リスクの条件付きアノテーション追加"/>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大型化リスクの条件付きアノテーション追加]</w:t>
      </w:r>
    </w:p>
    <w:p>
      <w:pPr>
        <w:pStyle w:val="FirstParagraph"/>
      </w:pPr>
      <w:r>
        <w:rPr>
          <w:rFonts w:hint="eastAsia"/>
        </w:rPr>
        <w:t xml:space="preserve">AMETEKの11名M&amp;A専門チーム（deal</w:t>
      </w:r>
      <w:r>
        <w:t xml:space="preserve"> </w:t>
      </w:r>
      <w:r>
        <w:rPr>
          <w:rFonts w:hint="eastAsia"/>
        </w:rPr>
        <w:t xml:space="preserve">sourcing4+execution6+1）、明確な買収基準（3年ROIC10%+、IRR15%、EPS</w:t>
      </w:r>
      <w:r>
        <w:t xml:space="preserve"> </w:t>
      </w:r>
      <w:r>
        <w:rPr>
          <w:rFonts w:hint="eastAsia"/>
        </w:rPr>
        <w:t xml:space="preserve">Accretive）、2002年以降86件/USD8.4bn（年4件、平均USD100M）のトラックレコード、そして組織的に蓄積されたPMI</w:t>
      </w:r>
      <w:r>
        <w:t xml:space="preserve"> </w:t>
      </w:r>
      <w:r>
        <w:rPr>
          <w:rFonts w:hint="eastAsia"/>
        </w:rPr>
        <w:t xml:space="preserve">Playbook（コストシナジー・集中購買・チャネル統合）は、KB3</w:t>
      </w:r>
      <w:r>
        <w:t xml:space="preserve"> </w:t>
      </w:r>
      <w:r>
        <w:rPr>
          <w:rFonts w:hint="eastAsia"/>
        </w:rPr>
        <w:t xml:space="preserve">CHD#1（買収ターゲット選定能力:</w:t>
      </w:r>
      <w:r>
        <w:t xml:space="preserve"> </w:t>
      </w:r>
      <w:r>
        <w:rPr>
          <w:rFonts w:hint="eastAsia"/>
        </w:rPr>
        <w:t xml:space="preserve">70%）と高い類似性を持つ。ROIC20%超（goodwill除外ベース）の維持は能力の定量的裏付け。</w:t>
      </w:r>
    </w:p>
    <w:p>
      <w:pPr>
        <w:pStyle w:val="BodyText"/>
      </w:pPr>
      <w:r>
        <w:rPr>
          <w:rFonts w:hint="eastAsia"/>
          <w:b/>
          <w:bCs/>
        </w:rPr>
        <w:t xml:space="preserve">納得できる点</w:t>
      </w:r>
      <w:r>
        <w:t xml:space="preserve">: </w:t>
      </w:r>
      <w:r>
        <w:rPr>
          <w:rFonts w:hint="eastAsia"/>
        </w:rPr>
        <w:t xml:space="preserve">M&amp;A選定基準の明確性、チーム体制、トラックレコードが具体的。ルール10の観点から、買収規模USD50-200Mの範囲に留める規律が示唆される。</w:t>
      </w:r>
    </w:p>
    <w:p>
      <w:pPr>
        <w:pStyle w:val="BodyText"/>
      </w:pPr>
      <w:r>
        <w:rPr>
          <w:rFonts w:hint="eastAsia"/>
          <w:b/>
          <w:bCs/>
        </w:rPr>
        <w:t xml:space="preserve">懸念点</w:t>
      </w:r>
      <w:r>
        <w:t xml:space="preserve">: (1)</w:t>
      </w:r>
      <w:r>
        <w:rPr>
          <w:rFonts w:hint="eastAsia"/>
        </w:rPr>
        <w:t xml:space="preserve">大型化リスク：2024Q2</w:t>
      </w:r>
      <w:r>
        <w:t xml:space="preserve"> CEOコメント「big </w:t>
      </w:r>
      <w:r>
        <w:rPr>
          <w:rFonts w:hint="eastAsia"/>
        </w:rPr>
        <w:t xml:space="preserve">business(USD1bn+)を買うことになるだろう」はルール10の逆方向リスク。アナリストレポート自身が「USD1bn以上の買収は当社の買収歴からいって大きい。ビジネスモデルの持続性の観点からも注視」と警告</w:t>
      </w:r>
      <w:r>
        <w:rPr>
          <w:rFonts w:hint="eastAsia"/>
        </w:rPr>
        <w:t xml:space="preserve">。(2)IRR15%の実際の達成率が不明。(3)ITW・Roper等との純粋競合比較が全面的に欠如（パターンG）。</w:t>
      </w:r>
    </w:p>
    <w:p>
      <w:pPr>
        <w:pStyle w:val="BlockText"/>
      </w:pPr>
      <w:r>
        <w:rPr>
          <w:rFonts w:hint="eastAsia"/>
          <w:b/>
          <w:bCs/>
        </w:rPr>
        <w:t xml:space="preserve">[注2A]</w:t>
      </w:r>
      <w:r>
        <w:rPr>
          <w:b/>
          <w:bCs/>
        </w:rPr>
        <w:t xml:space="preserve"> </w:t>
      </w:r>
      <w:r>
        <w:rPr>
          <w:rFonts w:hint="eastAsia"/>
          <w:b/>
          <w:bCs/>
        </w:rPr>
        <w:t xml:space="preserve">T8批判</w:t>
      </w:r>
      <w:r>
        <w:rPr>
          <w:b/>
          <w:bCs/>
        </w:rPr>
        <w:t xml:space="preserve"> (critical): </w:t>
      </w:r>
      <w:r>
        <w:rPr>
          <w:rFonts w:hint="eastAsia"/>
          <w:b/>
          <w:bCs/>
        </w:rPr>
        <w:t xml:space="preserve">大型化リスクのCAGR</w:t>
      </w:r>
      <w:r>
        <w:rPr>
          <w:b/>
          <w:bCs/>
        </w:rPr>
        <w:t xml:space="preserve"> </w:t>
      </w:r>
      <w:r>
        <w:rPr>
          <w:rFonts w:hint="eastAsia"/>
          <w:b/>
          <w:bCs/>
        </w:rPr>
        <w:t xml:space="preserve">confidence未反映</w:t>
      </w:r>
    </w:p>
    <w:p>
      <w:pPr>
        <w:pStyle w:val="BlockText"/>
      </w:pPr>
      <w:r>
        <w:rPr>
          <w:rFonts w:hint="eastAsia"/>
        </w:rPr>
        <w:t xml:space="preserve">M&amp;A大型化リスク（CEOの「USD1bn+案件を買うことになるだろう」というコメント）がCAGR</w:t>
      </w:r>
      <w:r>
        <w:t xml:space="preserve"> confidence </w:t>
      </w:r>
      <w:r>
        <w:rPr>
          <w:rFonts w:hint="eastAsia"/>
        </w:rPr>
        <w:t xml:space="preserve">70%に十分反映されていない。KB1ルール10「断念例が能力の証明」の逆方向として、従来の買収規律（平均USD100M）が崩れる兆候は深刻。アナリストレポート(2024/8)自身が「ビジネスモデルの持続性の観点からも注視」と明記している。</w:t>
      </w:r>
    </w:p>
    <w:p>
      <w:pPr>
        <w:pStyle w:val="BlockText"/>
      </w:pPr>
      <w:r>
        <w:rPr>
          <w:rFonts w:hint="eastAsia"/>
          <w:b/>
          <w:bCs/>
        </w:rPr>
        <w:t xml:space="preserve">T8の判断</w:t>
      </w:r>
      <w:r>
        <w:t xml:space="preserve">: CAGR confidence </w:t>
      </w:r>
      <w:r>
        <w:rPr>
          <w:rFonts w:hint="eastAsia"/>
        </w:rPr>
        <w:t xml:space="preserve">70%を維持しつつ、以下の条件付きアノテーションを追加する:</w:t>
      </w:r>
      <w:r>
        <w:t xml:space="preserve"> </w:t>
      </w:r>
      <w:r>
        <w:t xml:space="preserve">-</w:t>
      </w:r>
      <w:r>
        <w:t xml:space="preserve"> </w:t>
      </w:r>
      <w:r>
        <w:rPr>
          <w:rFonts w:hint="eastAsia"/>
          <w:b/>
          <w:bCs/>
        </w:rPr>
        <w:t xml:space="preserve">現状維持（70%）</w:t>
      </w:r>
      <w:r>
        <w:t xml:space="preserve">: </w:t>
      </w:r>
      <w:r>
        <w:rPr>
          <w:rFonts w:hint="eastAsia"/>
        </w:rPr>
        <w:t xml:space="preserve">買収規模が従来のレンジ（USD50-200M）に留まる場合</w:t>
      </w:r>
      <w:r>
        <w:t xml:space="preserve"> </w:t>
      </w:r>
      <w:r>
        <w:t xml:space="preserve">-</w:t>
      </w:r>
      <w:r>
        <w:t xml:space="preserve"> </w:t>
      </w:r>
      <w:r>
        <w:rPr>
          <w:rFonts w:hint="eastAsia"/>
          <w:b/>
          <w:bCs/>
        </w:rPr>
        <w:t xml:space="preserve">リスク顕在化時（50%に低下）</w:t>
      </w:r>
      <w:r>
        <w:t xml:space="preserve">: </w:t>
      </w:r>
      <w:r>
        <w:rPr>
          <w:rFonts w:hint="eastAsia"/>
        </w:rPr>
        <w:t xml:space="preserve">USD1bn超の案件でROIC基準未達、統合困難、または競争優位性変化が確認された場合</w:t>
      </w:r>
    </w:p>
    <w:p>
      <w:pPr>
        <w:pStyle w:val="BlockText"/>
      </w:pPr>
      <w:r>
        <w:rPr>
          <w:rFonts w:hint="eastAsia"/>
          <w:b/>
          <w:bCs/>
        </w:rPr>
        <w:t xml:space="preserve">[注2B]</w:t>
      </w:r>
      <w:r>
        <w:rPr>
          <w:b/>
          <w:bCs/>
        </w:rPr>
        <w:t xml:space="preserve"> </w:t>
      </w:r>
      <w:r>
        <w:rPr>
          <w:rFonts w:hint="eastAsia"/>
          <w:b/>
          <w:bCs/>
        </w:rPr>
        <w:t xml:space="preserve">T8批判</w:t>
      </w:r>
      <w:r>
        <w:rPr>
          <w:b/>
          <w:bCs/>
        </w:rPr>
        <w:t xml:space="preserve"> (minor): </w:t>
      </w:r>
      <w:r>
        <w:rPr>
          <w:rFonts w:hint="eastAsia"/>
          <w:b/>
          <w:bCs/>
        </w:rPr>
        <w:t xml:space="preserve">IRR15%達成率の不明</w:t>
      </w:r>
    </w:p>
    <w:p>
      <w:pPr>
        <w:pStyle w:val="BlockText"/>
      </w:pPr>
      <w:r>
        <w:rPr>
          <w:rFonts w:hint="eastAsia"/>
        </w:rPr>
        <w:t xml:space="preserve">「IRR15%」の達成を選定能力の証拠として使用しているが、実際の達成率は不明。KB3</w:t>
      </w:r>
      <w:r>
        <w:t xml:space="preserve"> </w:t>
      </w:r>
      <w:r>
        <w:rPr>
          <w:rFonts w:hint="eastAsia"/>
        </w:rPr>
        <w:t xml:space="preserve">CHD#1では「バリュエーションや収益成長持続性による買収断念例」が70%の根拠であり、基準の存在と達成実績は区別すべき。</w:t>
      </w:r>
    </w:p>
    <w:p>
      <w:pPr>
        <w:pStyle w:val="BlockText"/>
      </w:pPr>
      <w:r>
        <w:rPr>
          <w:rFonts w:hint="eastAsia"/>
          <w:b/>
          <w:bCs/>
        </w:rPr>
        <w:t xml:space="preserve">T8の判断</w:t>
      </w:r>
      <w:r>
        <w:t xml:space="preserve">: CA confidence </w:t>
      </w:r>
      <w:r>
        <w:rPr>
          <w:rFonts w:hint="eastAsia"/>
        </w:rPr>
        <w:t xml:space="preserve">70%は適切と判断するが、「IRR15%基準の達成率は不明。明示的な断念例の定量情報があれば評価上昇の余地」を明記。</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選定能力・チーム体制・PMI</w:t>
            </w:r>
            <w:r>
              <w:rPr>
                <w:rFonts w:ascii="Times New Roman" w:hAnsi="Times New Roman" w:eastAsia="游明朝"/>
                <w:sz w:val="18"/>
              </w:rPr>
              <w:t xml:space="preserve"> Playbook</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「M&amp;A実行能力」「統合力」</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ITW等との比較なし</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定量裏付け豊富</w:t>
            </w:r>
          </w:p>
        </w:tc>
      </w:tr>
      <w:tr>
        <w:tc>
          <w:tcPr/>
          <w:p>
            <w:pPr>
              <w:pStyle w:val="Compact"/>
            </w:pPr>
            <w:r>
              <w:rPr>
                <w:rFonts w:ascii="Times New Roman" w:hAnsi="Times New Roman" w:eastAsia="游明朝"/>
                <w:sz w:val="18"/>
              </w:rPr>
              <w:t xml:space="preserve">R5 </w:t>
            </w:r>
            <w:r>
              <w:rPr>
                <w:rFonts w:hint="eastAsia" w:ascii="Times New Roman" w:hAnsi="Times New Roman" w:eastAsia="游明朝"/>
                <w:sz w:val="18"/>
              </w:rPr>
              <w:t xml:space="preserve">CAGR直接性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M&amp;A→外部成長+4%:</w:t>
            </w:r>
            <w:r>
              <w:rPr>
                <w:rFonts w:ascii="Times New Roman" w:hAnsi="Times New Roman" w:eastAsia="游明朝"/>
                <w:sz w:val="18"/>
              </w:rPr>
              <w:t xml:space="preserve"> 1ステップ</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構造的vs補完的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ビジネスモデルの核心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類似コングロマリットとの比較なし</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Mixed</w:t>
            </w:r>
          </w:p>
        </w:tc>
        <w:tc>
          <w:tcPr/>
          <w:p>
            <w:pPr>
              <w:pStyle w:val="Compact"/>
            </w:pPr>
            <w:r>
              <w:rPr>
                <w:rFonts w:hint="eastAsia" w:ascii="Times New Roman" w:hAnsi="Times New Roman" w:eastAsia="游明朝"/>
                <w:sz w:val="18"/>
              </w:rPr>
              <w:t xml:space="preserve">正方向（基準による規律）あり、逆方向（大型化）リスク</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ニッチのフラグメント構造はM&amp;A機会を支える</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情報ソース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期初+面談+Q2決算</w:t>
            </w:r>
          </w:p>
        </w:tc>
      </w:tr>
    </w:tbl>
    <w:p>
      <w:pPr>
        <w:pStyle w:val="BodyText"/>
      </w:pPr>
      <w:r>
        <w:rPr>
          <w:rFonts w:hint="eastAsia"/>
          <w:b/>
          <w:bCs/>
        </w:rPr>
        <w:t xml:space="preserve">検出パターン</w:t>
      </w:r>
      <w:r>
        <w:t xml:space="preserve">: </w:t>
      </w:r>
      <w:r>
        <w:rPr>
          <w:rFonts w:hint="eastAsia"/>
        </w:rPr>
        <w:t xml:space="preserve">高評価</w:t>
      </w:r>
      <w:r>
        <w:t xml:space="preserve"> I(strong), II(moderate), III(strong) | </w:t>
      </w:r>
      <w:r>
        <w:rPr>
          <w:rFonts w:hint="eastAsia"/>
        </w:rPr>
        <w:t xml:space="preserve">却下</w:t>
      </w:r>
      <w:r>
        <w:t xml:space="preserve"> G(moderate)</w:t>
      </w:r>
    </w:p>
    <w:p>
      <w:pPr>
        <w:pStyle w:val="BodyText"/>
      </w:pPr>
      <w:r>
        <w:rPr>
          <w:rFonts w:hint="eastAsia"/>
          <w:b/>
          <w:bCs/>
        </w:rPr>
        <w:t xml:space="preserve">CAGR接続（70%、条件付き）</w:t>
      </w:r>
      <w:r>
        <w:t xml:space="preserve">: </w:t>
      </w:r>
      <w:r>
        <w:rPr>
          <w:rFonts w:hint="eastAsia"/>
        </w:rPr>
        <w:t xml:space="preserve">M&amp;A寄与+4%は過去実績と整合。ただし大型化リスクが顕在化した場合は50%に低下。アナリスト自身が「注視」と記載しており、次回四半期以降のM&amp;A動向がCAGR前提の重要なモニタリングポイント。</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3"/>
    <w:bookmarkEnd w:id="14"/>
    <w:bookmarkStart w:id="16" w:name="主張-3-コストシナジーとローコスト生産体制"/>
    <w:p>
      <w:pPr>
        <w:pStyle w:val="Heading3"/>
      </w:pPr>
      <w:r>
        <w:rPr>
          <w:rFonts w:hint="eastAsia"/>
        </w:rPr>
        <w:t xml:space="preserve">主張</w:t>
      </w:r>
      <w:r>
        <w:t xml:space="preserve"> #3: </w:t>
      </w:r>
      <w:r>
        <w:rPr>
          <w:rFonts w:hint="eastAsia"/>
        </w:rPr>
        <w:t xml:space="preserve">コストシナジーとローコスト生産体制</w:t>
      </w:r>
    </w:p>
    <w:bookmarkStart w:id="15"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集中購買（Corporate</w:t>
      </w:r>
      <w:r>
        <w:t xml:space="preserve"> Supply Chain </w:t>
      </w:r>
      <w:r>
        <w:rPr>
          <w:rFonts w:hint="eastAsia"/>
        </w:rPr>
        <w:t xml:space="preserve">Teamが全社ベース）とグローバルローコスト拠点（上海・メキシコ・セルビア・マレーシア・チェコ）によるコスト競争力は、M&amp;Aプラットフォーム（Claim#2）の補完的要素。India</w:t>
      </w:r>
      <w:r>
        <w:t xml:space="preserve"> Engineering </w:t>
      </w:r>
      <w:r>
        <w:rPr>
          <w:rFonts w:hint="eastAsia"/>
        </w:rPr>
        <w:t xml:space="preserve">Center（250名R&amp;D、24/365で35BUサポート）のR&amp;D効率化も含む。</w:t>
      </w:r>
    </w:p>
    <w:p>
      <w:pPr>
        <w:pStyle w:val="BodyText"/>
      </w:pPr>
      <w:r>
        <w:rPr>
          <w:rFonts w:hint="eastAsia"/>
          <w:b/>
          <w:bCs/>
        </w:rPr>
        <w:t xml:space="preserve">納得できる点</w:t>
      </w:r>
      <w:r>
        <w:t xml:space="preserve">: </w:t>
      </w:r>
      <w:r>
        <w:rPr>
          <w:rFonts w:hint="eastAsia"/>
        </w:rPr>
        <w:t xml:space="preserve">集中購買の全社スケールメリットは構造的。Capex/売上高2%の低さは資本効率の証左。</w:t>
      </w:r>
    </w:p>
    <w:p>
      <w:pPr>
        <w:pStyle w:val="BodyText"/>
      </w:pPr>
      <w:r>
        <w:rPr>
          <w:rFonts w:hint="eastAsia"/>
          <w:b/>
          <w:bCs/>
        </w:rPr>
        <w:t xml:space="preserve">懸念点</w:t>
      </w:r>
      <w:r>
        <w:t xml:space="preserve">: </w:t>
      </w:r>
      <w:r>
        <w:rPr>
          <w:rFonts w:hint="eastAsia"/>
        </w:rPr>
        <w:t xml:space="preserve">ローコスト拠点は多くのグローバル製造業が展開（パターンB:</w:t>
      </w:r>
      <w:r>
        <w:t xml:space="preserve"> </w:t>
      </w:r>
      <w:r>
        <w:rPr>
          <w:rFonts w:hint="eastAsia"/>
        </w:rPr>
        <w:t xml:space="preserve">業界共通）。Claim#2のM&amp;A実行能力との重複。コストシナジーの定量効果が不明。</w:t>
      </w:r>
    </w:p>
    <w:p>
      <w:pPr>
        <w:pStyle w:val="BodyText"/>
      </w:pPr>
      <w:r>
        <w:rPr>
          <w:rFonts w:hint="eastAsia"/>
          <w:b/>
          <w:bCs/>
        </w:rPr>
        <w:t xml:space="preserve">ルール適用マトリクス</w:t>
      </w:r>
      <w:r>
        <w:t xml:space="preserve">: R1:Pass, R2:Pass, R3:Partial, R4:Partial, R5:Partial, R6:Partial, R7:Fail, R12:Pass</w:t>
      </w:r>
    </w:p>
    <w:p>
      <w:pPr>
        <w:pStyle w:val="BodyText"/>
      </w:pPr>
      <w:r>
        <w:rPr>
          <w:rFonts w:hint="eastAsia"/>
          <w:b/>
          <w:bCs/>
        </w:rPr>
        <w:t xml:space="preserve">検出パターン</w:t>
      </w:r>
      <w:r>
        <w:t xml:space="preserve">: </w:t>
      </w:r>
      <w:r>
        <w:rPr>
          <w:rFonts w:hint="eastAsia"/>
        </w:rPr>
        <w:t xml:space="preserve">却下</w:t>
      </w:r>
      <w:r>
        <w:t xml:space="preserve"> B(minor), G(minor)</w:t>
      </w:r>
    </w:p>
    <w:p>
      <w:pPr>
        <w:pStyle w:val="BodyText"/>
      </w:pPr>
      <w:r>
        <w:rPr>
          <w:rFonts w:hint="eastAsia"/>
          <w:b/>
          <w:bCs/>
        </w:rPr>
        <w:t xml:space="preserve">CAGR接続（50%）</w:t>
      </w:r>
      <w:r>
        <w:t xml:space="preserve">: </w:t>
      </w:r>
      <w:r>
        <w:rPr>
          <w:rFonts w:hint="eastAsia"/>
        </w:rPr>
        <w:t xml:space="preserve">コストシナジー→OPM改善30bp/年。限界利益率32.5%の前提根拠が薄い。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5"/>
    <w:bookmarkEnd w:id="16"/>
    <w:bookmarkStart w:id="18" w:name="主張-4-直販体制による顧客接点とクロスセルループ"/>
    <w:p>
      <w:pPr>
        <w:pStyle w:val="Heading3"/>
      </w:pPr>
      <w:r>
        <w:rPr>
          <w:rFonts w:hint="eastAsia"/>
        </w:rPr>
        <w:t xml:space="preserve">主張</w:t>
      </w:r>
      <w:r>
        <w:t xml:space="preserve"> #4: </w:t>
      </w:r>
      <w:r>
        <w:rPr>
          <w:rFonts w:hint="eastAsia"/>
        </w:rPr>
        <w:t xml:space="preserve">直販体制による顧客接点とクロスセルループ</w:t>
      </w:r>
    </w:p>
    <w:bookmarkStart w:id="17" w:name="ai評価-まあ納得50-t8修正-パターンc警告を明記"/>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パターンC警告を明記]</w:t>
      </w:r>
    </w:p>
    <w:p>
      <w:pPr>
        <w:pStyle w:val="FirstParagraph"/>
      </w:pPr>
      <w:r>
        <w:rPr>
          <w:rFonts w:hint="eastAsia"/>
        </w:rPr>
        <w:t xml:space="preserve">直販80%の体制が「顧客ニーズ把握→買収リスト選定→クロスセル→OPM改善」のフィードバックループを形成。カスタマイズ製品の提供には直接やりとりが不可欠。</w:t>
      </w:r>
    </w:p>
    <w:p>
      <w:pPr>
        <w:pStyle w:val="BodyText"/>
      </w:pPr>
      <w:r>
        <w:rPr>
          <w:rFonts w:hint="eastAsia"/>
          <w:b/>
          <w:bCs/>
        </w:rPr>
        <w:t xml:space="preserve">納得できる点</w:t>
      </w:r>
      <w:r>
        <w:t xml:space="preserve">: </w:t>
      </w:r>
      <w:r>
        <w:rPr>
          <w:rFonts w:hint="eastAsia"/>
        </w:rPr>
        <w:t xml:space="preserve">直販比率80%は複数時点で確認（2022/10期初、2024/6面談）。フィードバックループの論理的整合性はある。</w:t>
      </w:r>
    </w:p>
    <w:p>
      <w:pPr>
        <w:pStyle w:val="BodyText"/>
      </w:pPr>
      <w:r>
        <w:rPr>
          <w:rFonts w:hint="eastAsia"/>
          <w:b/>
          <w:bCs/>
        </w:rPr>
        <w:t xml:space="preserve">懸念点</w:t>
      </w:r>
      <w:r>
        <w:t xml:space="preserve">: </w:t>
      </w:r>
      <w:r>
        <w:rPr>
          <w:rFonts w:hint="eastAsia"/>
        </w:rPr>
        <w:t xml:space="preserve">4ステップの因果チェーンはパターンC（因果飛躍）のリスク。B2B製造業で直販8割は珍しくない（ルール3:</w:t>
      </w:r>
      <w:r>
        <w:t xml:space="preserve"> </w:t>
      </w:r>
      <w:r>
        <w:rPr>
          <w:rFonts w:hint="eastAsia"/>
        </w:rPr>
        <w:t xml:space="preserve">部分的）。各ステップの定量効果が不明。</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4ステップ因果チェーンのパターンC該当</w:t>
      </w:r>
    </w:p>
    <w:p>
      <w:pPr>
        <w:pStyle w:val="BlockText"/>
      </w:pPr>
      <w:r>
        <w:rPr>
          <w:rFonts w:hint="eastAsia"/>
        </w:rPr>
        <w:t xml:space="preserve">直販→顧客ニーズ→M&amp;Aリスト→クロスセル→OPM改善は4ステップの因果チェーンであり、KB2パターンC（因果関係の飛躍）に該当。KB3</w:t>
      </w:r>
      <w:r>
        <w:t xml:space="preserve"> </w:t>
      </w:r>
      <w:r>
        <w:rPr>
          <w:rFonts w:hint="eastAsia"/>
        </w:rPr>
        <w:t xml:space="preserve">COST思いやり経営CAGR(20%)は「退職率低下→営業レバレッジは飛躍しすぎ」と判定された。AMEの直販ループもM&amp;Aリスト選定への直接寄与がある分やや高いが、構造的には類似の警告が適用される。</w:t>
      </w:r>
    </w:p>
    <w:p>
      <w:pPr>
        <w:pStyle w:val="BlockText"/>
      </w:pPr>
      <w:r>
        <w:rPr>
          <w:rFonts w:hint="eastAsia"/>
          <w:b/>
          <w:bCs/>
        </w:rPr>
        <w:t xml:space="preserve">T8の判断</w:t>
      </w:r>
      <w:r>
        <w:t xml:space="preserve">: CA confidence 50%、CAGR confidence </w:t>
      </w:r>
      <w:r>
        <w:rPr>
          <w:rFonts w:hint="eastAsia"/>
        </w:rPr>
        <w:t xml:space="preserve">50%は適切。「4ステップの因果チェーンはパターンC該当であり、各ステップの定量的裏付けが得られるまでは50%を上限とする」。</w:t>
      </w:r>
    </w:p>
    <w:p>
      <w:pPr>
        <w:pStyle w:val="FirstParagraph"/>
      </w:pPr>
      <w:r>
        <w:rPr>
          <w:rFonts w:hint="eastAsia"/>
          <w:b/>
          <w:bCs/>
        </w:rPr>
        <w:t xml:space="preserve">ルール適用マトリクス</w:t>
      </w:r>
      <w:r>
        <w:t xml:space="preserve">: R1:Pass, R2:Pass, R3:Partial, R4:Partial, R5:Partial, R6:Partial, R7:Fail, R12:Pass</w:t>
      </w:r>
    </w:p>
    <w:p>
      <w:pPr>
        <w:pStyle w:val="BodyText"/>
      </w:pPr>
      <w:r>
        <w:rPr>
          <w:rFonts w:hint="eastAsia"/>
          <w:b/>
          <w:bCs/>
        </w:rPr>
        <w:t xml:space="preserve">検出パターン</w:t>
      </w:r>
      <w:r>
        <w:t xml:space="preserve">: </w:t>
      </w:r>
      <w:r>
        <w:rPr>
          <w:rFonts w:hint="eastAsia"/>
        </w:rPr>
        <w:t xml:space="preserve">高評価</w:t>
      </w:r>
      <w:r>
        <w:t xml:space="preserve"> III(moderate) | </w:t>
      </w:r>
      <w:r>
        <w:rPr>
          <w:rFonts w:hint="eastAsia"/>
        </w:rPr>
        <w:t xml:space="preserve">却下</w:t>
      </w:r>
      <w:r>
        <w:t xml:space="preserve"> C(moderate), G(moderate)</w:t>
      </w:r>
    </w:p>
    <w:p>
      <w:pPr>
        <w:pStyle w:val="BodyText"/>
      </w:pPr>
      <w:r>
        <w:rPr>
          <w:rFonts w:hint="eastAsia"/>
          <w:b/>
          <w:bCs/>
        </w:rPr>
        <w:t xml:space="preserve">CAGR接続（50%）</w:t>
      </w:r>
      <w:r>
        <w:t xml:space="preserve">: </w:t>
      </w:r>
      <w:r>
        <w:rPr>
          <w:rFonts w:hint="eastAsia"/>
        </w:rPr>
        <w:t xml:space="preserve">4ステップの因果チェーン（パターンC該当）。各ステップの定量的裏付けが得られるまでは50%を上限とする。</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7"/>
    <w:bookmarkEnd w:id="18"/>
    <w:bookmarkStart w:id="20" w:name="主張-5-分散型組織bu自律経営とメリットベース報酬"/>
    <w:p>
      <w:pPr>
        <w:pStyle w:val="Heading3"/>
      </w:pPr>
      <w:r>
        <w:rPr>
          <w:rFonts w:hint="eastAsia"/>
        </w:rPr>
        <w:t xml:space="preserve">主張</w:t>
      </w:r>
      <w:r>
        <w:t xml:space="preserve"> #5: </w:t>
      </w:r>
      <w:r>
        <w:rPr>
          <w:rFonts w:hint="eastAsia"/>
        </w:rPr>
        <w:t xml:space="preserve">分散型組織（BU自律経営とメリットベース報酬）</w:t>
      </w:r>
    </w:p>
    <w:bookmarkStart w:id="19" w:name="ai評価-まあ納得50-t8修正-itw類似の差別化根拠を明記"/>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ITW類似の差別化根拠を明記]</w:t>
      </w:r>
    </w:p>
    <w:p>
      <w:pPr>
        <w:pStyle w:val="FirstParagraph"/>
      </w:pPr>
      <w:r>
        <w:rPr>
          <w:rFonts w:hint="eastAsia"/>
        </w:rPr>
        <w:t xml:space="preserve">42のBU（各USD200M程度）への権限委譲、メリットベースの報酬体制、AMETEK大学による文化浸透。PMIの実行主体としても機能。</w:t>
      </w:r>
    </w:p>
    <w:p>
      <w:pPr>
        <w:pStyle w:val="BodyText"/>
      </w:pPr>
      <w:r>
        <w:rPr>
          <w:rFonts w:hint="eastAsia"/>
          <w:b/>
          <w:bCs/>
        </w:rPr>
        <w:t xml:space="preserve">納得できる点</w:t>
      </w:r>
      <w:r>
        <w:t xml:space="preserve">: </w:t>
      </w:r>
      <w:r>
        <w:rPr>
          <w:rFonts w:hint="eastAsia"/>
        </w:rPr>
        <w:t xml:space="preserve">BU自律経営の仕組みとメリットベース報酬は能力として評価できる。M&amp;Aプラットフォームの基盤として構造的。</w:t>
      </w:r>
    </w:p>
    <w:p>
      <w:pPr>
        <w:pStyle w:val="BodyText"/>
      </w:pPr>
      <w:r>
        <w:rPr>
          <w:rFonts w:hint="eastAsia"/>
          <w:b/>
          <w:bCs/>
        </w:rPr>
        <w:t xml:space="preserve">懸念点</w:t>
      </w:r>
      <w:r>
        <w:t xml:space="preserve">: </w:t>
      </w:r>
      <w:r>
        <w:rPr>
          <w:rFonts w:hint="eastAsia"/>
        </w:rPr>
        <w:t xml:space="preserve">アナリストレポート自身が「ITWに類似」と記載（パターンB:</w:t>
      </w:r>
      <w:r>
        <w:t xml:space="preserve"> </w:t>
      </w:r>
      <w:r>
        <w:rPr>
          <w:rFonts w:hint="eastAsia"/>
        </w:rPr>
        <w:t xml:space="preserve">業界共通性のリスク、ルール3）。ITW、Danaher、Fortive等との具体的差別化が示されていない（パターンG）。</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ITW類似と差別化根拠の欠如</w:t>
      </w:r>
    </w:p>
    <w:p>
      <w:pPr>
        <w:pStyle w:val="BlockText"/>
      </w:pPr>
      <w:r>
        <w:rPr>
          <w:rFonts w:hint="eastAsia"/>
        </w:rPr>
        <w:t xml:space="preserve">アナリストレポート自身が「ITWに類似（80/20戦略で有名なコングロマリット企業）」と記載。KB3</w:t>
      </w:r>
      <w:r>
        <w:t xml:space="preserve"> </w:t>
      </w:r>
      <w:r>
        <w:rPr>
          <w:rFonts w:hint="eastAsia"/>
        </w:rPr>
        <w:t xml:space="preserve">LLY#6(30%)の「メガファーマなら誰でも持っている」に類似するリスクがある。AMEの差別化根拠は「計測機器×ニッチTier2」という事業特性への特化であるが、この根拠はITW（幅広いコングロマリット）との事業領域の違いに依拠しており、組織運営そのものの差別化ではない。</w:t>
      </w:r>
    </w:p>
    <w:p>
      <w:pPr>
        <w:pStyle w:val="BlockText"/>
      </w:pPr>
      <w:r>
        <w:rPr>
          <w:rFonts w:hint="eastAsia"/>
          <w:b/>
          <w:bCs/>
        </w:rPr>
        <w:t xml:space="preserve">T8の判断</w:t>
      </w:r>
      <w:r>
        <w:t xml:space="preserve">: CA confidence </w:t>
      </w:r>
      <w:r>
        <w:rPr>
          <w:rFonts w:hint="eastAsia"/>
        </w:rPr>
        <w:t xml:space="preserve">50%を維持。ただし「ITW類似の指摘に対する差別化根拠は事業特性の違い（ニッチ計測機器</w:t>
      </w:r>
      <w:r>
        <w:t xml:space="preserve"> vs </w:t>
      </w:r>
      <w:r>
        <w:rPr>
          <w:rFonts w:hint="eastAsia"/>
        </w:rPr>
        <w:t xml:space="preserve">幅広いコングロマリット）に限られ、組織運営そのものの差別化は未確認。ITWとの詳細比較データがあれば評価は上下する可能性あり」。</w:t>
      </w:r>
    </w:p>
    <w:p>
      <w:pPr>
        <w:pStyle w:val="FirstParagraph"/>
      </w:pPr>
      <w:r>
        <w:rPr>
          <w:rFonts w:hint="eastAsia"/>
          <w:b/>
          <w:bCs/>
        </w:rPr>
        <w:t xml:space="preserve">ルール適用マトリクス</w:t>
      </w:r>
      <w:r>
        <w:t xml:space="preserve">: R1:Pass, R2:Pass, R3:Partial, R4:Partial, R5:Partial, R6:Pass, R7:Fail, R12:Pass</w:t>
      </w:r>
    </w:p>
    <w:p>
      <w:pPr>
        <w:pStyle w:val="BodyText"/>
      </w:pPr>
      <w:r>
        <w:rPr>
          <w:rFonts w:hint="eastAsia"/>
          <w:b/>
          <w:bCs/>
        </w:rPr>
        <w:t xml:space="preserve">検出パターン</w:t>
      </w:r>
      <w:r>
        <w:t xml:space="preserve">: </w:t>
      </w:r>
      <w:r>
        <w:rPr>
          <w:rFonts w:hint="eastAsia"/>
        </w:rPr>
        <w:t xml:space="preserve">高評価</w:t>
      </w:r>
      <w:r>
        <w:t xml:space="preserve"> III(moderate) | </w:t>
      </w:r>
      <w:r>
        <w:rPr>
          <w:rFonts w:hint="eastAsia"/>
        </w:rPr>
        <w:t xml:space="preserve">却下</w:t>
      </w:r>
      <w:r>
        <w:t xml:space="preserve"> B(moderate), G(moderate)</w:t>
      </w:r>
    </w:p>
    <w:p>
      <w:pPr>
        <w:pStyle w:val="BodyText"/>
      </w:pPr>
      <w:r>
        <w:rPr>
          <w:rFonts w:hint="eastAsia"/>
          <w:b/>
          <w:bCs/>
        </w:rPr>
        <w:t xml:space="preserve">CAGR接続（50%）</w:t>
      </w:r>
      <w:r>
        <w:t xml:space="preserve">: </w:t>
      </w:r>
      <w:r>
        <w:rPr>
          <w:rFonts w:hint="eastAsia"/>
        </w:rPr>
        <w:t xml:space="preserve">分散型組織→BU自律的成長→OG4%の一部サポート。間接的接続。</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9"/>
    <w:bookmarkEnd w:id="20"/>
    <w:bookmarkStart w:id="22" w:name="主張-6-pricing-powerニッチトップミッションクリティカル"/>
    <w:p>
      <w:pPr>
        <w:pStyle w:val="Heading3"/>
      </w:pPr>
      <w:r>
        <w:rPr>
          <w:rFonts w:hint="eastAsia"/>
        </w:rPr>
        <w:t xml:space="preserve">主張</w:t>
      </w:r>
      <w:r>
        <w:t xml:space="preserve"> #6: Pricing </w:t>
      </w:r>
      <w:r>
        <w:rPr>
          <w:rFonts w:hint="eastAsia"/>
        </w:rPr>
        <w:t xml:space="preserve">Power（ニッチトップ×ミッションクリティカル）</w:t>
      </w:r>
    </w:p>
    <w:bookmarkStart w:id="21" w:name="ai評価-あまり納得しない30-t8修正-スプレッド縮小の両面評価を追記"/>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w:t>
      </w:r>
      <w:r>
        <w:rPr>
          <w:rFonts w:hint="eastAsia"/>
        </w:rPr>
        <w:t xml:space="preserve">スプレッド縮小の両面評価を追記]</w:t>
      </w:r>
    </w:p>
    <w:p>
      <w:pPr>
        <w:pStyle w:val="FirstParagraph"/>
      </w:pPr>
      <w:r>
        <w:rPr>
          <w:rFonts w:hint="eastAsia"/>
        </w:rPr>
        <w:t xml:space="preserve">Price-Costスプレッド50-100bpの維持。ただしスプレッドは100bp(FY2021)→50bp(FY2024)と縮小トレンド。</w:t>
      </w:r>
    </w:p>
    <w:p>
      <w:pPr>
        <w:pStyle w:val="BodyText"/>
      </w:pPr>
      <w:r>
        <w:rPr>
          <w:rFonts w:hint="eastAsia"/>
          <w:b/>
          <w:bCs/>
        </w:rPr>
        <w:t xml:space="preserve">納得できる点</w:t>
      </w:r>
      <w:r>
        <w:t xml:space="preserve">: </w:t>
      </w:r>
      <w:r>
        <w:rPr>
          <w:rFonts w:hint="eastAsia"/>
        </w:rPr>
        <w:t xml:space="preserve">スプレッド数値が開示されている（ルール4:</w:t>
      </w:r>
      <w:r>
        <w:t xml:space="preserve"> </w:t>
      </w:r>
      <w:r>
        <w:rPr>
          <w:rFonts w:hint="eastAsia"/>
        </w:rPr>
        <w:t xml:space="preserve">定量裏付けあり）。</w:t>
      </w:r>
    </w:p>
    <w:p>
      <w:pPr>
        <w:pStyle w:val="BodyText"/>
      </w:pPr>
      <w:r>
        <w:rPr>
          <w:rFonts w:hint="eastAsia"/>
          <w:b/>
          <w:bCs/>
        </w:rPr>
        <w:t xml:space="preserve">懸念点</w:t>
      </w:r>
      <w:r>
        <w:t xml:space="preserve">: Pricing </w:t>
      </w:r>
      <w:r>
        <w:rPr>
          <w:rFonts w:hint="eastAsia"/>
        </w:rPr>
        <w:t xml:space="preserve">PowerはClaim#1（スイッチングコスト）とClaim#7（ニッチ参入障壁）の結果的側面であり、独立した優位性としての成立性が弱い（ルール1:</w:t>
      </w:r>
      <w:r>
        <w:t xml:space="preserve"> </w:t>
      </w:r>
      <w:r>
        <w:rPr>
          <w:rFonts w:hint="eastAsia"/>
        </w:rPr>
        <w:t xml:space="preserve">結果vs能力、ルール6:</w:t>
      </w:r>
      <w:r>
        <w:t xml:space="preserve"> </w:t>
      </w:r>
      <w:r>
        <w:rPr>
          <w:rFonts w:hint="eastAsia"/>
        </w:rPr>
        <w:t xml:space="preserve">補完的要素）。</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スプレッド縮小の構造的意味の評価不足</w:t>
      </w:r>
    </w:p>
    <w:p>
      <w:pPr>
        <w:pStyle w:val="BlockText"/>
      </w:pPr>
      <w:r>
        <w:rPr>
          <w:rFonts w:hint="eastAsia"/>
        </w:rPr>
        <w:t xml:space="preserve">Price-Costスプレッドの縮小（FY2021の100bp→FY2024の50bp）について、以下の両面の可能性を評価すべき:</w:t>
      </w:r>
      <w:r>
        <w:t xml:space="preserve"> </w:t>
      </w:r>
      <w:r>
        <w:t xml:space="preserve">-</w:t>
      </w:r>
      <w:r>
        <w:t xml:space="preserve"> </w:t>
      </w:r>
      <w:r>
        <w:rPr>
          <w:b/>
          <w:bCs/>
        </w:rPr>
        <w:t xml:space="preserve">(1) </w:t>
      </w:r>
      <w:r>
        <w:rPr>
          <w:rFonts w:hint="eastAsia"/>
          <w:b/>
          <w:bCs/>
        </w:rPr>
        <w:t xml:space="preserve">インフレ正常化による循環的縮小</w:t>
      </w:r>
      <w:r>
        <w:t xml:space="preserve">: </w:t>
      </w:r>
      <w:r>
        <w:rPr>
          <w:rFonts w:hint="eastAsia"/>
        </w:rPr>
        <w:t xml:space="preserve">FY2021の100bpはインフレ環境（Pricing6%,</w:t>
      </w:r>
      <w:r>
        <w:t xml:space="preserve"> </w:t>
      </w:r>
      <w:r>
        <w:rPr>
          <w:rFonts w:hint="eastAsia"/>
        </w:rPr>
        <w:t xml:space="preserve">Cost5%）の特殊要因。FY2024の50bp（Pricing3%,</w:t>
      </w:r>
      <w:r>
        <w:t xml:space="preserve"> </w:t>
      </w:r>
      <w:r>
        <w:rPr>
          <w:rFonts w:hint="eastAsia"/>
        </w:rPr>
        <w:t xml:space="preserve">CostInflation2.5%）は正常水準への回帰</w:t>
      </w:r>
      <w:r>
        <w:t xml:space="preserve"> </w:t>
      </w:r>
      <w:r>
        <w:t xml:space="preserve">-</w:t>
      </w:r>
      <w:r>
        <w:t xml:space="preserve"> </w:t>
      </w:r>
      <w:r>
        <w:rPr>
          <w:b/>
          <w:bCs/>
        </w:rPr>
        <w:t xml:space="preserve">(2) </w:t>
      </w:r>
      <w:r>
        <w:rPr>
          <w:rFonts w:hint="eastAsia"/>
          <w:b/>
          <w:bCs/>
        </w:rPr>
        <w:t xml:space="preserve">構造的Pricing</w:t>
      </w:r>
      <w:r>
        <w:rPr>
          <w:b/>
          <w:bCs/>
        </w:rPr>
        <w:t xml:space="preserve"> </w:t>
      </w:r>
      <w:r>
        <w:rPr>
          <w:rFonts w:hint="eastAsia"/>
          <w:b/>
          <w:bCs/>
        </w:rPr>
        <w:t xml:space="preserve">Power弱体化</w:t>
      </w:r>
      <w:r>
        <w:t xml:space="preserve">: ニッチトップとしてのPricing </w:t>
      </w:r>
      <w:r>
        <w:rPr>
          <w:rFonts w:hint="eastAsia"/>
        </w:rPr>
        <w:t xml:space="preserve">Powerが維持されているなら、なぜスプレッドが半減したのかの説明が必要。スプレッド50bpが「通常の50-100bp」の下限である点は留意</w:t>
      </w:r>
    </w:p>
    <w:p>
      <w:pPr>
        <w:pStyle w:val="BlockText"/>
      </w:pPr>
      <w:r>
        <w:rPr>
          <w:rFonts w:hint="eastAsia"/>
          <w:b/>
          <w:bCs/>
        </w:rPr>
        <w:t xml:space="preserve">T8の判断</w:t>
      </w:r>
      <w:r>
        <w:t xml:space="preserve">: CA confidence </w:t>
      </w:r>
      <w:r>
        <w:rPr>
          <w:rFonts w:hint="eastAsia"/>
        </w:rPr>
        <w:t xml:space="preserve">30%は適切。スプレッド縮小は循環的要因の可能性が高いが、構造的弱体化の可能性を完全に排除できない。</w:t>
      </w:r>
    </w:p>
    <w:p>
      <w:pPr>
        <w:pStyle w:val="FirstParagraph"/>
      </w:pPr>
      <w:r>
        <w:rPr>
          <w:rFonts w:hint="eastAsia"/>
          <w:b/>
          <w:bCs/>
        </w:rPr>
        <w:t xml:space="preserve">ルール適用マトリクス</w:t>
      </w:r>
      <w:r>
        <w:t xml:space="preserve">: R1:Partial, R2:Pass, R3:Partial, R4:Pass, R5:Partial, R6:Partial, R7:Fail, R12:Pass</w:t>
      </w:r>
    </w:p>
    <w:p>
      <w:pPr>
        <w:pStyle w:val="BodyText"/>
      </w:pPr>
      <w:r>
        <w:rPr>
          <w:rFonts w:hint="eastAsia"/>
          <w:b/>
          <w:bCs/>
        </w:rPr>
        <w:t xml:space="preserve">検出パターン</w:t>
      </w:r>
      <w:r>
        <w:t xml:space="preserve">: </w:t>
      </w:r>
      <w:r>
        <w:rPr>
          <w:rFonts w:hint="eastAsia"/>
        </w:rPr>
        <w:t xml:space="preserve">却下</w:t>
      </w:r>
      <w:r>
        <w:t xml:space="preserve"> G(minor)</w:t>
      </w:r>
    </w:p>
    <w:p>
      <w:pPr>
        <w:pStyle w:val="BodyText"/>
      </w:pPr>
      <w:r>
        <w:rPr>
          <w:rFonts w:hint="eastAsia"/>
          <w:b/>
          <w:bCs/>
        </w:rPr>
        <w:t xml:space="preserve">CAGR接続（30%）</w:t>
      </w:r>
      <w:r>
        <w:t xml:space="preserve">: </w:t>
      </w:r>
      <w:r>
        <w:rPr>
          <w:rFonts w:hint="eastAsia"/>
        </w:rPr>
        <w:t xml:space="preserve">Pricing→CAGR寄与はAME固有ではない。事業環境依存。</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1"/>
    <w:bookmarkEnd w:id="22"/>
    <w:bookmarkStart w:id="24" w:name="主張-7-ニッチトップ戦略による参入障壁ニッチ市場構造の活用"/>
    <w:p>
      <w:pPr>
        <w:pStyle w:val="Heading3"/>
      </w:pPr>
      <w:r>
        <w:rPr>
          <w:rFonts w:hint="eastAsia"/>
        </w:rPr>
        <w:t xml:space="preserve">主張</w:t>
      </w:r>
      <w:r>
        <w:t xml:space="preserve"> #7: </w:t>
      </w:r>
      <w:r>
        <w:rPr>
          <w:rFonts w:hint="eastAsia"/>
        </w:rPr>
        <w:t xml:space="preserve">ニッチトップ戦略による参入障壁（ニッチ市場構造の活用）</w:t>
      </w:r>
    </w:p>
    <w:bookmarkStart w:id="23" w:name="ai評価-まあ納得50-1"/>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USD150-400Mの小規模ニッチ市場に特化、各市場でシェア30-50%。大手参入リスクと内製化リスクが低いポジション。Tier2サプライヤーとしてTier1企業への納入。</w:t>
      </w:r>
    </w:p>
    <w:p>
      <w:pPr>
        <w:pStyle w:val="BodyText"/>
      </w:pPr>
      <w:r>
        <w:rPr>
          <w:rFonts w:hint="eastAsia"/>
          <w:b/>
          <w:bCs/>
        </w:rPr>
        <w:t xml:space="preserve">納得できる点</w:t>
      </w:r>
      <w:r>
        <w:t xml:space="preserve">: </w:t>
      </w:r>
      <w:r>
        <w:rPr>
          <w:rFonts w:hint="eastAsia"/>
        </w:rPr>
        <w:t xml:space="preserve">ニッチ市場構造と企業ポジションの方向性は正しい（ルール11の部分適合）。市場規模の数値（USD150-400M）あり。</w:t>
      </w:r>
    </w:p>
    <w:p>
      <w:pPr>
        <w:pStyle w:val="BodyText"/>
      </w:pPr>
      <w:r>
        <w:rPr>
          <w:rFonts w:hint="eastAsia"/>
          <w:b/>
          <w:bCs/>
        </w:rPr>
        <w:t xml:space="preserve">懸念点</w:t>
      </w:r>
      <w:r>
        <w:t xml:space="preserve">: </w:t>
      </w:r>
      <w:r>
        <w:rPr>
          <w:rFonts w:hint="eastAsia"/>
        </w:rPr>
        <w:t xml:space="preserve">「ニッチ特化」は戦略的決断であり優位性は「市場構造上の参入障壁」（ルール8:</w:t>
      </w:r>
      <w:r>
        <w:t xml:space="preserve"> </w:t>
      </w:r>
      <w:r>
        <w:rPr>
          <w:rFonts w:hint="eastAsia"/>
        </w:rPr>
        <w:t xml:space="preserve">戦略と構造の区別）。シェア30-50%は結果的側面（パターンA:</w:t>
      </w:r>
      <w:r>
        <w:t xml:space="preserve"> </w:t>
      </w:r>
      <w:r>
        <w:rPr>
          <w:rFonts w:hint="eastAsia"/>
        </w:rPr>
        <w:t xml:space="preserve">軽度）。市場構造分析の定量性がORLY#2(90%)に及ばない。Claim#1との部分的重複。</w:t>
      </w:r>
    </w:p>
    <w:p>
      <w:pPr>
        <w:pStyle w:val="BodyText"/>
      </w:pPr>
      <w:r>
        <w:rPr>
          <w:rFonts w:hint="eastAsia"/>
          <w:b/>
          <w:bCs/>
        </w:rPr>
        <w:t xml:space="preserve">ルール適用マトリクス</w:t>
      </w:r>
      <w:r>
        <w:t xml:space="preserve">: R1:Partial, R2:Pass, R3:Partial, R4:Partial, R5:Pass, R6:Pass, R7:Fail, R8:Partial, R11:Partial, R12:Pass</w:t>
      </w:r>
    </w:p>
    <w:p>
      <w:pPr>
        <w:pStyle w:val="BodyText"/>
      </w:pPr>
      <w:r>
        <w:rPr>
          <w:rFonts w:hint="eastAsia"/>
          <w:b/>
          <w:bCs/>
        </w:rPr>
        <w:t xml:space="preserve">検出パターン</w:t>
      </w:r>
      <w:r>
        <w:t xml:space="preserve">: </w:t>
      </w:r>
      <w:r>
        <w:rPr>
          <w:rFonts w:hint="eastAsia"/>
        </w:rPr>
        <w:t xml:space="preserve">高評価</w:t>
      </w:r>
      <w:r>
        <w:t xml:space="preserve"> IV(weak) | </w:t>
      </w:r>
      <w:r>
        <w:rPr>
          <w:rFonts w:hint="eastAsia"/>
        </w:rPr>
        <w:t xml:space="preserve">却下</w:t>
      </w:r>
      <w:r>
        <w:t xml:space="preserve"> A(minor), F(minor), G(minor)</w:t>
      </w:r>
    </w:p>
    <w:p>
      <w:pPr>
        <w:pStyle w:val="BodyText"/>
      </w:pPr>
      <w:r>
        <w:rPr>
          <w:rFonts w:hint="eastAsia"/>
          <w:b/>
          <w:bCs/>
        </w:rPr>
        <w:t xml:space="preserve">CAGR接続（50%）</w:t>
      </w:r>
      <w:r>
        <w:t xml:space="preserve">: </w:t>
      </w:r>
      <w:r>
        <w:rPr>
          <w:rFonts w:hint="eastAsia"/>
        </w:rPr>
        <w:t xml:space="preserve">参入障壁→安定OG基盤。ニッチ市場の成熟度がCAGR上振れを制約。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#1 </w:t>
      </w:r>
      <w:r>
        <w:rPr>
          <w:rStyle w:val="VerbatimChar"/>
          <w:rFonts w:hint="eastAsia"/>
        </w:rPr>
        <w:t xml:space="preserve">スイッチングコスト（70%）</w:t>
      </w:r>
      <w:r>
        <w:rPr>
          <w:rStyle w:val="VerbatimChar"/>
        </w:rPr>
        <w:t xml:space="preserve"> ←→ #2 </w:t>
      </w:r>
      <w:r>
        <w:rPr>
          <w:rStyle w:val="VerbatimChar"/>
          <w:rFonts w:hint="eastAsia"/>
        </w:rPr>
        <w:t xml:space="preserve">M&amp;A実行能力（70%、条件付き）</w:t>
      </w:r>
      <w:r>
        <w:br/>
      </w:r>
      <w:r>
        <w:rPr>
          <w:rStyle w:val="VerbatimChar"/>
        </w:rPr>
        <w:t xml:space="preserve">        ↑                              ↑</w:t>
      </w:r>
      <w:r>
        <w:br/>
      </w:r>
      <w:r>
        <w:rPr>
          <w:rStyle w:val="VerbatimChar"/>
        </w:rPr>
        <w:t xml:space="preserve">  ミッションクリティカル×        </w:t>
      </w:r>
      <w:r>
        <w:rPr>
          <w:rStyle w:val="VerbatimChar"/>
          <w:rFonts w:hint="eastAsia"/>
        </w:rPr>
        <w:t xml:space="preserve">規律あるM&amp;A基準×</w:t>
      </w:r>
      <w:r>
        <w:br/>
      </w:r>
      <w:r>
        <w:rPr>
          <w:rStyle w:val="VerbatimChar"/>
        </w:rPr>
        <w:t xml:space="preserve">  カスタマイズ×ニッチ            PMI Playbook</w:t>
      </w:r>
      <w:r>
        <w:br/>
      </w:r>
      <w:r>
        <w:rPr>
          <w:rStyle w:val="VerbatimChar"/>
        </w:rPr>
        <w:t xml:space="preserve">                                       ↑</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大型化リスク顕在化時は</w:t>
      </w:r>
      <w:r>
        <w:br/>
      </w:r>
      <w:r>
        <w:rPr>
          <w:rStyle w:val="VerbatimChar"/>
        </w:rPr>
        <w:t xml:space="preserve">                              CAGR confidence </w:t>
      </w:r>
      <w:r>
        <w:rPr>
          <w:rStyle w:val="VerbatimChar"/>
          <w:rFonts w:hint="eastAsia"/>
        </w:rPr>
        <w:t xml:space="preserve">50%に低下</w:t>
      </w:r>
      <w:r>
        <w:br/>
      </w:r>
      <w:r>
        <w:br/>
      </w:r>
      <w:r>
        <w:rPr>
          <w:rStyle w:val="VerbatimChar"/>
          <w:rFonts w:hint="eastAsia"/>
        </w:rPr>
        <w:t xml:space="preserve">【支持的要素】</w:t>
      </w:r>
      <w:r>
        <w:br/>
      </w:r>
      <w:r>
        <w:rPr>
          <w:rStyle w:val="VerbatimChar"/>
        </w:rPr>
        <w:t xml:space="preserve">  #3 </w:t>
      </w:r>
      <w:r>
        <w:rPr>
          <w:rStyle w:val="VerbatimChar"/>
          <w:rFonts w:hint="eastAsia"/>
        </w:rPr>
        <w:t xml:space="preserve">コストシナジー（50%）</w:t>
      </w:r>
      <w:r>
        <w:rPr>
          <w:rStyle w:val="VerbatimChar"/>
        </w:rPr>
        <w:t xml:space="preserve"> → </w:t>
      </w:r>
      <w:r>
        <w:rPr>
          <w:rStyle w:val="VerbatimChar"/>
          <w:rFonts w:hint="eastAsia"/>
        </w:rPr>
        <w:t xml:space="preserve">#2の補完</w:t>
      </w:r>
      <w:r>
        <w:br/>
      </w:r>
      <w:r>
        <w:rPr>
          <w:rStyle w:val="VerbatimChar"/>
        </w:rPr>
        <w:t xml:space="preserve">  #4 </w:t>
      </w:r>
      <w:r>
        <w:rPr>
          <w:rStyle w:val="VerbatimChar"/>
          <w:rFonts w:hint="eastAsia"/>
        </w:rPr>
        <w:t xml:space="preserve">直販体制（50%）</w:t>
      </w:r>
      <w:r>
        <w:rPr>
          <w:rStyle w:val="VerbatimChar"/>
        </w:rPr>
        <w:t xml:space="preserve"> → </w:t>
      </w:r>
      <w:r>
        <w:rPr>
          <w:rStyle w:val="VerbatimChar"/>
          <w:rFonts w:hint="eastAsia"/>
        </w:rPr>
        <w:t xml:space="preserve">#1,#2の補完</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パターンC警告</w:t>
      </w:r>
      <w:r>
        <w:br/>
      </w:r>
      <w:r>
        <w:rPr>
          <w:rStyle w:val="VerbatimChar"/>
        </w:rPr>
        <w:t xml:space="preserve">  #5 </w:t>
      </w:r>
      <w:r>
        <w:rPr>
          <w:rStyle w:val="VerbatimChar"/>
          <w:rFonts w:hint="eastAsia"/>
        </w:rPr>
        <w:t xml:space="preserve">分散型組織（50%）</w:t>
      </w:r>
      <w:r>
        <w:rPr>
          <w:rStyle w:val="VerbatimChar"/>
        </w:rPr>
        <w:t xml:space="preserve"> → </w:t>
      </w:r>
      <w:r>
        <w:rPr>
          <w:rStyle w:val="VerbatimChar"/>
          <w:rFonts w:hint="eastAsia"/>
        </w:rPr>
        <w:t xml:space="preserve">#2の基盤</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ITW類似の差別化明記</w:t>
      </w:r>
      <w:r>
        <w:br/>
      </w:r>
      <w:r>
        <w:br/>
      </w:r>
      <w:r>
        <w:rPr>
          <w:rStyle w:val="VerbatimChar"/>
          <w:rFonts w:hint="eastAsia"/>
        </w:rPr>
        <w:t xml:space="preserve">【派生的要素】</w:t>
      </w:r>
      <w:r>
        <w:br/>
      </w:r>
      <w:r>
        <w:rPr>
          <w:rStyle w:val="VerbatimChar"/>
        </w:rPr>
        <w:t xml:space="preserve">  #6 Pricing </w:t>
      </w:r>
      <w:r>
        <w:rPr>
          <w:rStyle w:val="VerbatimChar"/>
          <w:rFonts w:hint="eastAsia"/>
        </w:rPr>
        <w:t xml:space="preserve">Power（30%）</w:t>
      </w:r>
      <w:r>
        <w:rPr>
          <w:rStyle w:val="VerbatimChar"/>
        </w:rPr>
        <w:t xml:space="preserve"> → </w:t>
      </w:r>
      <w:r>
        <w:rPr>
          <w:rStyle w:val="VerbatimChar"/>
          <w:rFonts w:hint="eastAsia"/>
        </w:rPr>
        <w:t xml:space="preserve">#1の結果</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スプレッド縮小の両面評価</w:t>
      </w:r>
      <w:r>
        <w:br/>
      </w:r>
      <w:r>
        <w:rPr>
          <w:rStyle w:val="VerbatimChar"/>
        </w:rPr>
        <w:t xml:space="preserve">  #7 </w:t>
      </w:r>
      <w:r>
        <w:rPr>
          <w:rStyle w:val="VerbatimChar"/>
          <w:rFonts w:hint="eastAsia"/>
        </w:rPr>
        <w:t xml:space="preserve">参入障壁（50%）</w:t>
      </w:r>
      <w:r>
        <w:rPr>
          <w:rStyle w:val="VerbatimChar"/>
        </w:rPr>
        <w:t xml:space="preserve"> → </w:t>
      </w:r>
      <w:r>
        <w:rPr>
          <w:rStyle w:val="VerbatimChar"/>
          <w:rFonts w:hint="eastAsia"/>
        </w:rPr>
        <w:t xml:space="preserve">#1と部分重複</w:t>
      </w:r>
    </w:p>
    <w:bookmarkEnd w:id="26"/>
    <w:bookmarkStart w:id="27" w:name="強み"/>
    <w:p>
      <w:pPr>
        <w:pStyle w:val="Heading3"/>
      </w:pPr>
      <w:r>
        <w:rPr>
          <w:rFonts w:hint="eastAsia"/>
        </w:rPr>
        <w:t xml:space="preserve">強み</w:t>
      </w:r>
    </w:p>
    <w:p>
      <w:pPr>
        <w:pStyle w:val="Compact"/>
        <w:numPr>
          <w:ilvl w:val="0"/>
          <w:numId w:val="1001"/>
        </w:numPr>
      </w:pPr>
      <w:r>
        <w:rPr>
          <w:rFonts w:hint="eastAsia"/>
          <w:b/>
          <w:bCs/>
        </w:rPr>
        <w:t xml:space="preserve">Claim#1とClaim#2の相互補強</w:t>
      </w:r>
      <w:r>
        <w:t xml:space="preserve">: </w:t>
      </w:r>
      <w:r>
        <w:rPr>
          <w:rFonts w:hint="eastAsia"/>
        </w:rPr>
        <w:t xml:space="preserve">スイッチングコスト（顧客側の粘着性）とM&amp;A実行能力（供給側の成長力）が相互に補強する構造。M&amp;Aで獲得した事業がスイッチングコストを持ち、そのスイッチングコストが安定収益を生みM&amp;Aの原資となる好循環。</w:t>
      </w:r>
    </w:p>
    <w:p>
      <w:pPr>
        <w:pStyle w:val="Compact"/>
        <w:numPr>
          <w:ilvl w:val="0"/>
          <w:numId w:val="1001"/>
        </w:numPr>
      </w:pPr>
      <w:r>
        <w:rPr>
          <w:rFonts w:hint="eastAsia"/>
          <w:b/>
          <w:bCs/>
        </w:rPr>
        <w:t xml:space="preserve">定量的裏付けの豊富さ</w:t>
      </w:r>
      <w:r>
        <w:t xml:space="preserve">: </w:t>
      </w:r>
      <w:r>
        <w:rPr>
          <w:rFonts w:hint="eastAsia"/>
        </w:rPr>
        <w:t xml:space="preserve">M&amp;Aトラックレコード（86件/USD8.4bn）、ROIC20%超、買収基準（ROIC/IRR/EPS）、直販比率80%等の具体的数値が多数。</w:t>
      </w:r>
    </w:p>
    <w:p>
      <w:pPr>
        <w:pStyle w:val="Compact"/>
        <w:numPr>
          <w:ilvl w:val="0"/>
          <w:numId w:val="1001"/>
        </w:numPr>
      </w:pPr>
      <w:r>
        <w:rPr>
          <w:b/>
          <w:bCs/>
        </w:rPr>
        <w:t xml:space="preserve">FY2025 </w:t>
      </w:r>
      <w:r>
        <w:rPr>
          <w:rFonts w:hint="eastAsia"/>
          <w:b/>
          <w:bCs/>
        </w:rPr>
        <w:t xml:space="preserve">10-KのXBRLデータで財務数値を直接確認</w:t>
      </w:r>
      <w:r>
        <w:t xml:space="preserve">: </w:t>
      </w:r>
      <w:r>
        <w:rPr>
          <w:rFonts w:hint="eastAsia"/>
        </w:rPr>
        <w:t xml:space="preserve">売上高$7.4bn、OPM25.8%、EPS$6.40等がSEC</w:t>
      </w:r>
      <w:r>
        <w:t xml:space="preserve"> </w:t>
      </w:r>
      <w:r>
        <w:rPr>
          <w:rFonts w:hint="eastAsia"/>
        </w:rPr>
        <w:t xml:space="preserve">EDGARで検証済み。</w:t>
      </w:r>
    </w:p>
    <w:bookmarkEnd w:id="27"/>
    <w:bookmarkStart w:id="28"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純粋競合比較の全面的欠如（パターンG）</w:t>
      </w:r>
      <w:r>
        <w:t xml:space="preserve">: </w:t>
      </w:r>
      <w:r>
        <w:rPr>
          <w:rFonts w:hint="eastAsia"/>
        </w:rPr>
        <w:t xml:space="preserve">全7主張中5主張でITW・Roper・Fortive等との比較が不足。AMEのビジネスモデル特性（多ニッチ分散）による構造的制約だが、KB3で重視されるルール7が不満足。</w:t>
      </w:r>
    </w:p>
    <w:p>
      <w:pPr>
        <w:pStyle w:val="Compact"/>
        <w:numPr>
          <w:ilvl w:val="0"/>
          <w:numId w:val="1002"/>
        </w:numPr>
      </w:pPr>
      <w:r>
        <w:rPr>
          <w:rFonts w:hint="eastAsia"/>
          <w:b/>
          <w:bCs/>
        </w:rPr>
        <w:t xml:space="preserve">大型化リスク（Claim#2）[T8追加]</w:t>
      </w:r>
      <w:r>
        <w:t xml:space="preserve">: 2024Q2 </w:t>
      </w:r>
      <w:r>
        <w:rPr>
          <w:rFonts w:hint="eastAsia"/>
        </w:rPr>
        <w:t xml:space="preserve">CEOのUSD1bn+案件への言及は、従来の規律あるM&amp;A（平均USD100M）からの逸脱リスク。ルール10の逆方向。CAGR</w:t>
      </w:r>
      <w:r>
        <w:t xml:space="preserve"> confidence </w:t>
      </w:r>
      <w:r>
        <w:rPr>
          <w:rFonts w:hint="eastAsia"/>
        </w:rPr>
        <w:t xml:space="preserve">70%は条件付き（大型化リスク顕在化時は50%に低下）。</w:t>
      </w:r>
    </w:p>
    <w:p>
      <w:pPr>
        <w:pStyle w:val="Compact"/>
        <w:numPr>
          <w:ilvl w:val="0"/>
          <w:numId w:val="1002"/>
        </w:numPr>
      </w:pPr>
      <w:r>
        <w:rPr>
          <w:rFonts w:hint="eastAsia"/>
          <w:b/>
          <w:bCs/>
        </w:rPr>
        <w:t xml:space="preserve">ChurnRateの非開示（Claim#1）</w:t>
      </w:r>
      <w:r>
        <w:t xml:space="preserve">: </w:t>
      </w:r>
      <w:r>
        <w:rPr>
          <w:rFonts w:hint="eastAsia"/>
        </w:rPr>
        <w:t xml:space="preserve">スイッチングコストの核心的証拠がIR面談の定性コメントに依拠。</w:t>
      </w:r>
    </w:p>
    <w:p>
      <w:pPr>
        <w:pStyle w:val="Compact"/>
        <w:numPr>
          <w:ilvl w:val="0"/>
          <w:numId w:val="1002"/>
        </w:numPr>
      </w:pPr>
      <w:r>
        <w:rPr>
          <w:rFonts w:hint="eastAsia"/>
          <w:b/>
          <w:bCs/>
        </w:rPr>
        <w:t xml:space="preserve">ITW類似リスク（Claim#5）[T8追加]</w:t>
      </w:r>
      <w:r>
        <w:t xml:space="preserve">: </w:t>
      </w:r>
      <w:r>
        <w:rPr>
          <w:rFonts w:hint="eastAsia"/>
        </w:rPr>
        <w:t xml:space="preserve">分散型組織の差別化根拠が事業領域の違いに限られ、組織運営そのものの差別化は未確認。</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純粋競合比較の全面的欠如（ルール7・パターンG）</w:t>
      </w:r>
      <w:r>
        <w:t xml:space="preserve">: </w:t>
      </w:r>
      <w:r>
        <w:rPr>
          <w:rFonts w:hint="eastAsia"/>
        </w:rPr>
        <w:t xml:space="preserve">全7主張中5主張でITW・Roper</w:t>
      </w:r>
      <w:r>
        <w:t xml:space="preserve"> </w:t>
      </w:r>
      <w:r>
        <w:rPr>
          <w:rFonts w:hint="eastAsia"/>
        </w:rPr>
        <w:t xml:space="preserve">Technologies・Fortive等との純粋競合比較が欠如。AMEのビジネスモデル特性（多数のニッチ領域で異なるプレイヤーと競合）により純粋競合の特定が構造的に困難だが、「M&amp;A型コングロマリット」というカテゴリでの比較（ITWとのM&amp;A後ROIC比較、Fortiveとの分散型組織比較等）が全体評価を改善する余地あり。</w:t>
      </w:r>
    </w:p>
    <w:p>
      <w:pPr>
        <w:numPr>
          <w:ilvl w:val="0"/>
          <w:numId w:val="1003"/>
        </w:numPr>
      </w:pPr>
      <w:r>
        <w:rPr>
          <w:rFonts w:hint="eastAsia"/>
          <w:b/>
          <w:bCs/>
        </w:rPr>
        <w:t xml:space="preserve">ルール10（ネガティブケース）の逆方向リスクへの対処不足</w:t>
      </w:r>
      <w:r>
        <w:t xml:space="preserve">: </w:t>
      </w:r>
      <w:r>
        <w:rPr>
          <w:rFonts w:hint="eastAsia"/>
        </w:rPr>
        <w:t xml:space="preserve">Claim#2では買収基準による規律（正方向）を適切に評価しているが、大型化傾向（逆方向）のCAGR前提への反映が不十分だった。T8で条件付きアノテーション（大型化リスク顕在化時は50%低下）を追加して対処。ルール10は双方向で機能する点を今後の評価でも意識すべき。</w:t>
      </w:r>
    </w:p>
    <w:bookmarkEnd w:id="29"/>
    <w:bookmarkStart w:id="30"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5"/>
        <w:gridCol w:w="2731"/>
        <w:gridCol w:w="2184"/>
        <w:gridCol w:w="163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AME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最近似KB3</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類似点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差異</w:t>
            </w:r>
          </w:p>
        </w:tc>
      </w:tr>
      <w:tr>
        <w:tc>
          <w:tcPr/>
          <w:p>
            <w:pPr>
              <w:pStyle w:val="Compact"/>
            </w:pPr>
            <w:r>
              <w:rPr>
                <w:rFonts w:hint="eastAsia" w:ascii="Times New Roman" w:hAnsi="Times New Roman" w:eastAsia="游明朝"/>
                <w:sz w:val="18"/>
              </w:rPr>
              <w:t xml:space="preserve">全体(avg53%)</w:t>
            </w:r>
          </w:p>
        </w:tc>
        <w:tc>
          <w:tcPr/>
          <w:p>
            <w:pPr>
              <w:pStyle w:val="Compact"/>
            </w:pPr>
            <w:r>
              <w:rPr>
                <w:rFonts w:ascii="Times New Roman" w:hAnsi="Times New Roman" w:eastAsia="游明朝"/>
                <w:sz w:val="18"/>
              </w:rPr>
              <w:t xml:space="preserve">CHD(avg50%)</w:t>
            </w:r>
          </w:p>
        </w:tc>
        <w:tc>
          <w:tcPr/>
          <w:p>
            <w:pPr>
              <w:pStyle w:val="Compact"/>
            </w:pPr>
            <w:r>
              <w:rPr>
                <w:rFonts w:hint="eastAsia" w:ascii="Times New Roman" w:hAnsi="Times New Roman" w:eastAsia="游明朝"/>
                <w:sz w:val="18"/>
              </w:rPr>
              <w:t xml:space="preserve">M&amp;A型ビジネスモデル、能力vs結果の区別</w:t>
            </w:r>
          </w:p>
        </w:tc>
        <w:tc>
          <w:tcPr/>
          <w:p>
            <w:pPr>
              <w:pStyle w:val="Compact"/>
            </w:pPr>
            <w:r>
              <w:rPr>
                <w:rFonts w:hint="eastAsia" w:ascii="Times New Roman" w:hAnsi="Times New Roman" w:eastAsia="游明朝"/>
                <w:sz w:val="18"/>
              </w:rPr>
              <w:t xml:space="preserve">CHDは日用品、AMEは計測機器。M&amp;A規模の違い</w:t>
            </w:r>
          </w:p>
        </w:tc>
      </w:tr>
      <w:tr>
        <w:tc>
          <w:tcPr/>
          <w:p>
            <w:pPr>
              <w:pStyle w:val="Compact"/>
            </w:pPr>
            <w:r>
              <w:rPr>
                <w:rFonts w:ascii="Times New Roman" w:hAnsi="Times New Roman" w:eastAsia="游明朝"/>
                <w:sz w:val="18"/>
              </w:rPr>
              <w:t xml:space="preserve">#1(70%)</w:t>
            </w:r>
          </w:p>
        </w:tc>
        <w:tc>
          <w:tcPr/>
          <w:p>
            <w:pPr>
              <w:pStyle w:val="Compact"/>
            </w:pPr>
            <w:r>
              <w:rPr>
                <w:rFonts w:ascii="Times New Roman" w:hAnsi="Times New Roman" w:eastAsia="游明朝"/>
                <w:sz w:val="18"/>
              </w:rPr>
              <w:t xml:space="preserve">ORLY#1(70%)</w:t>
            </w:r>
          </w:p>
        </w:tc>
        <w:tc>
          <w:tcPr/>
          <w:p>
            <w:pPr>
              <w:pStyle w:val="Compact"/>
            </w:pPr>
            <w:r>
              <w:rPr>
                <w:rFonts w:hint="eastAsia" w:ascii="Times New Roman" w:hAnsi="Times New Roman" w:eastAsia="游明朝"/>
                <w:sz w:val="18"/>
              </w:rPr>
              <w:t xml:space="preserve">スイッチングコスト構造</w:t>
            </w:r>
          </w:p>
        </w:tc>
        <w:tc>
          <w:tcPr/>
          <w:p>
            <w:pPr>
              <w:pStyle w:val="Compact"/>
            </w:pPr>
            <w:r>
              <w:rPr>
                <w:rFonts w:hint="eastAsia" w:ascii="Times New Roman" w:hAnsi="Times New Roman" w:eastAsia="游明朝"/>
                <w:sz w:val="18"/>
              </w:rPr>
              <w:t xml:space="preserve">ORLYはAZO対比の具体比較あり</w:t>
            </w:r>
          </w:p>
        </w:tc>
      </w:tr>
      <w:tr>
        <w:tc>
          <w:tcPr/>
          <w:p>
            <w:pPr>
              <w:pStyle w:val="Compact"/>
            </w:pPr>
            <w:r>
              <w:rPr>
                <w:rFonts w:ascii="Times New Roman" w:hAnsi="Times New Roman" w:eastAsia="游明朝"/>
                <w:sz w:val="18"/>
              </w:rPr>
              <w:t xml:space="preserve">#2(70%)</w:t>
            </w:r>
          </w:p>
        </w:tc>
        <w:tc>
          <w:tcPr/>
          <w:p>
            <w:pPr>
              <w:pStyle w:val="Compact"/>
            </w:pPr>
            <w:r>
              <w:rPr>
                <w:rFonts w:ascii="Times New Roman" w:hAnsi="Times New Roman" w:eastAsia="游明朝"/>
                <w:sz w:val="18"/>
              </w:rPr>
              <w:t xml:space="preserve">CHD#1(70%)</w:t>
            </w:r>
          </w:p>
        </w:tc>
        <w:tc>
          <w:tcPr/>
          <w:p>
            <w:pPr>
              <w:pStyle w:val="Compact"/>
            </w:pPr>
            <w:r>
              <w:rPr>
                <w:rFonts w:hint="eastAsia" w:ascii="Times New Roman" w:hAnsi="Times New Roman" w:eastAsia="游明朝"/>
                <w:sz w:val="18"/>
              </w:rPr>
              <w:t xml:space="preserve">M&amp;A選定能力の基準明示</w:t>
            </w:r>
          </w:p>
        </w:tc>
        <w:tc>
          <w:tcPr/>
          <w:p>
            <w:pPr>
              <w:pStyle w:val="Compact"/>
            </w:pPr>
            <w:r>
              <w:rPr>
                <w:rFonts w:hint="eastAsia" w:ascii="Times New Roman" w:hAnsi="Times New Roman" w:eastAsia="游明朝"/>
                <w:sz w:val="18"/>
              </w:rPr>
              <w:t xml:space="preserve">CHDは断念例の記述あり</w:t>
            </w:r>
          </w:p>
        </w:tc>
      </w:tr>
      <w:tr>
        <w:tc>
          <w:tcPr/>
          <w:p>
            <w:pPr>
              <w:pStyle w:val="Compact"/>
            </w:pPr>
            <w:r>
              <w:rPr>
                <w:rFonts w:ascii="Times New Roman" w:hAnsi="Times New Roman" w:eastAsia="游明朝"/>
                <w:sz w:val="18"/>
              </w:rPr>
              <w:t xml:space="preserve">#5(50%)</w:t>
            </w:r>
          </w:p>
        </w:tc>
        <w:tc>
          <w:tcPr/>
          <w:p>
            <w:pPr>
              <w:pStyle w:val="Compact"/>
            </w:pPr>
            <w:r>
              <w:rPr>
                <w:rFonts w:ascii="Times New Roman" w:hAnsi="Times New Roman" w:eastAsia="游明朝"/>
                <w:sz w:val="18"/>
              </w:rPr>
              <w:t xml:space="preserve">CHD#3(50%)</w:t>
            </w:r>
          </w:p>
        </w:tc>
        <w:tc>
          <w:tcPr/>
          <w:p>
            <w:pPr>
              <w:pStyle w:val="Compact"/>
            </w:pPr>
            <w:r>
              <w:rPr>
                <w:rFonts w:hint="eastAsia" w:ascii="Times New Roman" w:hAnsi="Times New Roman" w:eastAsia="游明朝"/>
                <w:sz w:val="18"/>
              </w:rPr>
              <w:t xml:space="preserve">組織管理能力</w:t>
            </w:r>
          </w:p>
        </w:tc>
        <w:tc>
          <w:tcPr/>
          <w:p>
            <w:pPr>
              <w:pStyle w:val="Compact"/>
            </w:pPr>
            <w:r>
              <w:rPr>
                <w:rFonts w:hint="eastAsia" w:ascii="Times New Roman" w:hAnsi="Times New Roman" w:eastAsia="游明朝"/>
                <w:sz w:val="18"/>
              </w:rPr>
              <w:t xml:space="preserve">ITW類似リスクはCHDにはない</w:t>
            </w:r>
          </w:p>
        </w:tc>
      </w:tr>
      <w:tr>
        <w:tc>
          <w:tcPr/>
          <w:p>
            <w:pPr>
              <w:pStyle w:val="Compact"/>
            </w:pPr>
            <w:r>
              <w:rPr>
                <w:rFonts w:ascii="Times New Roman" w:hAnsi="Times New Roman" w:eastAsia="游明朝"/>
                <w:sz w:val="18"/>
              </w:rPr>
              <w:t xml:space="preserve">#6(30%)</w:t>
            </w:r>
          </w:p>
        </w:tc>
        <w:tc>
          <w:tcPr/>
          <w:p>
            <w:pPr>
              <w:pStyle w:val="Compact"/>
            </w:pPr>
            <w:r>
              <w:rPr>
                <w:rFonts w:ascii="Times New Roman" w:hAnsi="Times New Roman" w:eastAsia="游明朝"/>
                <w:sz w:val="18"/>
              </w:rPr>
              <w:t xml:space="preserve">COST#6(20%)</w:t>
            </w:r>
          </w:p>
        </w:tc>
        <w:tc>
          <w:tcPr/>
          <w:p>
            <w:pPr>
              <w:pStyle w:val="Compact"/>
            </w:pPr>
            <w:r>
              <w:rPr>
                <w:rFonts w:hint="eastAsia" w:ascii="Times New Roman" w:hAnsi="Times New Roman" w:eastAsia="游明朝"/>
                <w:sz w:val="18"/>
              </w:rPr>
              <w:t xml:space="preserve">補完的要素</w:t>
            </w:r>
          </w:p>
        </w:tc>
        <w:tc>
          <w:tcPr/>
          <w:p>
            <w:pPr>
              <w:pStyle w:val="Compact"/>
            </w:pPr>
            <w:r>
              <w:rPr>
                <w:rFonts w:hint="eastAsia" w:ascii="Times New Roman" w:hAnsi="Times New Roman" w:eastAsia="游明朝"/>
                <w:sz w:val="18"/>
              </w:rPr>
              <w:t xml:space="preserve">AMEはスプレッド数値あり</w:t>
            </w:r>
          </w:p>
        </w:tc>
      </w:tr>
    </w:tbl>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スイッチングコスト"/>
    <w:p>
      <w:pPr>
        <w:pStyle w:val="Heading4"/>
      </w:pPr>
      <w:r>
        <w:t xml:space="preserve">#1 スイッチングコスト</w:t>
      </w:r>
    </w:p>
    <w:p>
      <w:pPr>
        <w:pStyle w:val="FirstParagraph"/>
      </w:pPr>
      <w:r>
        <w:rPr>
          <w:rFonts w:hint="eastAsia"/>
          <w:b/>
          <w:bCs/>
        </w:rPr>
        <w:t xml:space="preserve">AI評価（T8修正後）</w:t>
      </w:r>
      <w:r>
        <w:t xml:space="preserve">: </w:t>
      </w:r>
      <w:r>
        <w:rPr>
          <w:rFonts w:hint="eastAsia"/>
        </w:rPr>
        <w:t xml:space="preserve">70%（ChurnRate非開示の注記追加）</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ma実行能力"/>
    <w:p>
      <w:pPr>
        <w:pStyle w:val="Heading4"/>
      </w:pPr>
      <w:r>
        <w:t xml:space="preserve">#2 </w:t>
      </w:r>
      <w:r>
        <w:rPr>
          <w:rFonts w:hint="eastAsia"/>
        </w:rPr>
        <w:t xml:space="preserve">M&amp;A実行能力</w:t>
      </w:r>
    </w:p>
    <w:p>
      <w:pPr>
        <w:pStyle w:val="FirstParagraph"/>
      </w:pPr>
      <w:r>
        <w:rPr>
          <w:rFonts w:hint="eastAsia"/>
          <w:b/>
          <w:bCs/>
        </w:rPr>
        <w:t xml:space="preserve">AI評価（T8修正後）</w:t>
      </w:r>
      <w:r>
        <w:t xml:space="preserve">: </w:t>
      </w:r>
      <w:r>
        <w:rPr>
          <w:rFonts w:hint="eastAsia"/>
        </w:rPr>
        <w:t xml:space="preserve">70%（大型化リスク条件付き）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コストシナジー"/>
    <w:p>
      <w:pPr>
        <w:pStyle w:val="Heading4"/>
      </w:pPr>
      <w:r>
        <w:t xml:space="preserve">#3 コストシナジー</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直販体制"/>
    <w:p>
      <w:pPr>
        <w:pStyle w:val="Heading4"/>
      </w:pPr>
      <w:r>
        <w:t xml:space="preserve">#4 </w:t>
      </w:r>
      <w:r>
        <w:rPr>
          <w:rFonts w:hint="eastAsia"/>
        </w:rPr>
        <w:t xml:space="preserve">直販体制</w:t>
      </w:r>
    </w:p>
    <w:p>
      <w:pPr>
        <w:pStyle w:val="FirstParagraph"/>
      </w:pPr>
      <w:r>
        <w:rPr>
          <w:rFonts w:hint="eastAsia"/>
          <w:b/>
          <w:bCs/>
        </w:rPr>
        <w:t xml:space="preserve">AI評価（T8修正後）</w:t>
      </w:r>
      <w:r>
        <w:t xml:space="preserve">: </w:t>
      </w:r>
      <w:r>
        <w:rPr>
          <w:rFonts w:hint="eastAsia"/>
        </w:rPr>
        <w:t xml:space="preserve">50%（パターンC警告明記）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分散型組織"/>
    <w:p>
      <w:pPr>
        <w:pStyle w:val="Heading4"/>
      </w:pPr>
      <w:r>
        <w:t xml:space="preserve">#5 </w:t>
      </w:r>
      <w:r>
        <w:rPr>
          <w:rFonts w:hint="eastAsia"/>
        </w:rPr>
        <w:t xml:space="preserve">分散型組織</w:t>
      </w:r>
    </w:p>
    <w:p>
      <w:pPr>
        <w:pStyle w:val="FirstParagraph"/>
      </w:pPr>
      <w:r>
        <w:rPr>
          <w:rFonts w:hint="eastAsia"/>
          <w:b/>
          <w:bCs/>
        </w:rPr>
        <w:t xml:space="preserve">AI評価（T8修正後）</w:t>
      </w:r>
      <w:r>
        <w:t xml:space="preserve">: </w:t>
      </w:r>
      <w:r>
        <w:rPr>
          <w:rFonts w:hint="eastAsia"/>
        </w:rPr>
        <w:t xml:space="preserve">50%（ITW類似の差別化明記）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pricing-power"/>
    <w:p>
      <w:pPr>
        <w:pStyle w:val="Heading4"/>
      </w:pPr>
      <w:r>
        <w:t xml:space="preserve">#6 Pricing Power</w:t>
      </w:r>
    </w:p>
    <w:p>
      <w:pPr>
        <w:pStyle w:val="FirstParagraph"/>
      </w:pPr>
      <w:r>
        <w:rPr>
          <w:rFonts w:hint="eastAsia"/>
          <w:b/>
          <w:bCs/>
        </w:rPr>
        <w:t xml:space="preserve">AI評価（T8修正後）</w:t>
      </w:r>
      <w:r>
        <w:t xml:space="preserve">: </w:t>
      </w:r>
      <w:r>
        <w:rPr>
          <w:rFonts w:hint="eastAsia"/>
        </w:rPr>
        <w:t xml:space="preserve">30%（スプレッド縮小の両面評価）</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ニッチ参入障壁"/>
    <w:p>
      <w:pPr>
        <w:pStyle w:val="Heading4"/>
      </w:pPr>
      <w:r>
        <w:t xml:space="preserve">#7 </w:t>
      </w:r>
      <w:r>
        <w:rPr>
          <w:rFonts w:hint="eastAsia"/>
        </w:rPr>
        <w:t xml:space="preserve">ニッチ参入障壁</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Compact"/>
        <w:numPr>
          <w:ilvl w:val="0"/>
          <w:numId w:val="1005"/>
        </w:numPr>
      </w:pPr>
      <w:r>
        <w:rPr>
          <w:rFonts w:hint="eastAsia"/>
        </w:rPr>
        <w:t xml:space="preserve">主張の追加/削除の提案:</w:t>
      </w:r>
      <w:r>
        <w:t xml:space="preserve"> ___</w:t>
      </w:r>
    </w:p>
    <w:p>
      <w:pPr>
        <w:pStyle w:val="Compact"/>
        <w:numPr>
          <w:ilvl w:val="0"/>
          <w:numId w:val="1005"/>
        </w:numPr>
      </w:pPr>
      <w:r>
        <w:rPr>
          <w:rFonts w:hint="eastAsia"/>
        </w:rPr>
        <w:t xml:space="preserve">確信度の修正理由:</w:t>
      </w:r>
      <w:r>
        <w:t xml:space="preserve"> ___</w:t>
      </w:r>
    </w:p>
    <w:p>
      <w:pPr>
        <w:pStyle w:val="Compact"/>
        <w:numPr>
          <w:ilvl w:val="0"/>
          <w:numId w:val="1005"/>
        </w:numPr>
      </w:pPr>
      <w:r>
        <w:rPr>
          <w:rFonts w:hint="eastAsia"/>
        </w:rPr>
        <w:t xml:space="preserve">CAGR接続の修正理由:</w:t>
      </w:r>
      <w:r>
        <w:t xml:space="preserve"> ___</w:t>
      </w:r>
    </w:p>
    <w:p>
      <w:pPr>
        <w:pStyle w:val="Compact"/>
        <w:numPr>
          <w:ilvl w:val="0"/>
          <w:numId w:val="1005"/>
        </w:numPr>
      </w:pPr>
      <w:r>
        <w:rPr>
          <w:rFonts w:hint="eastAsia"/>
        </w:rPr>
        <w:t xml:space="preserve">ITW/Roper/Fortiveとの差別化に関する見解:</w:t>
      </w:r>
      <w:r>
        <w:t xml:space="preserve"> ___</w:t>
      </w:r>
    </w:p>
    <w:p>
      <w:pPr>
        <w:pStyle w:val="Compact"/>
        <w:numPr>
          <w:ilvl w:val="0"/>
          <w:numId w:val="1005"/>
        </w:numPr>
      </w:pPr>
      <w:r>
        <w:rPr>
          <w:rFonts w:hint="eastAsia"/>
        </w:rPr>
        <w:t xml:space="preserve">大型化リスク（USD1bn+案件）の評価:</w:t>
      </w:r>
      <w:r>
        <w:t xml:space="preserve"> ___</w:t>
      </w:r>
    </w:p>
    <w:p>
      <w:pPr>
        <w:pStyle w:val="Compact"/>
        <w:numPr>
          <w:ilvl w:val="0"/>
          <w:numId w:val="1005"/>
        </w:numPr>
      </w:pPr>
      <w:r>
        <w:rPr>
          <w:rFonts w:hint="eastAsia"/>
        </w:rPr>
        <w:t xml:space="preserve">ChurnRateの定量的情報はあるか:</w:t>
      </w:r>
      <w:r>
        <w:t xml:space="preserve"> ___</w:t>
      </w:r>
    </w:p>
    <w:p>
      <w:pPr>
        <w:pStyle w:val="Compact"/>
        <w:numPr>
          <w:ilvl w:val="0"/>
          <w:numId w:val="1005"/>
        </w:numPr>
      </w:pPr>
      <w:r>
        <w:rPr>
          <w:rFonts w:hint="eastAsia"/>
        </w:rPr>
        <w:t xml:space="preserve">その他のコメント:</w:t>
      </w:r>
      <w:r>
        <w:t xml:space="preserve"> ___</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ChurnRate非開示の注記追加。「開示データが整えば上振れ余地」</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ニッチ市場フラグメント度の定量不足を明記。「データが整えば90%の可能性」</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大型化リスクの条件付きアノテーション追加。「現状70%、リスク顕在化時50%低下」</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IRR15%達成率不明を明記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4ステップ因果チェーンのパターンC該当を明示。「50%を上限」</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ITW類似の差別化根拠（事業特性の違い）を明記。組織運営そのものの差別化は未確認</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スプレッド縮小（100bp→50bp）の両面評価を追記</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2026-02-27T01:55:54Z</dcterms:created>
  <dcterms:modified xsi:type="dcterms:W3CDTF">2026-02-27T01:55:54Z</dcterms:modified>
</cp:coreProperties>
</file>

<file path=docProps/custom.xml><?xml version="1.0" encoding="utf-8"?>
<Properties xmlns="http://schemas.openxmlformats.org/officeDocument/2006/custom-properties" xmlns:vt="http://schemas.openxmlformats.org/officeDocument/2006/docPropsVTypes"/>
</file>