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comoodys-corporation競争優位性評価レポート最終版"/>
    <w:p>
      <w:pPr>
        <w:pStyle w:val="Heading1"/>
      </w:pPr>
      <w:r>
        <w:rPr>
          <w:rFonts w:hint="eastAsia"/>
        </w:rPr>
        <w:t xml:space="preserve">MCO（Moody’s</w:t>
      </w:r>
      <w:r>
        <w:t xml:space="preserve"> </w:t>
      </w:r>
      <w:r>
        <w:rPr>
          <w:rFonts w:hint="eastAsia"/>
        </w:rPr>
        <w:t xml:space="preserve">Corporation）競争優位性評価レポート（最終版）</w:t>
      </w:r>
    </w:p>
    <w:p>
      <w:pPr>
        <w:pStyle w:val="BlockText"/>
      </w:pPr>
      <w:r>
        <w:rPr>
          <w:b/>
          <w:bCs/>
        </w:rPr>
        <w:t xml:space="preserve">リサーチID</w:t>
      </w:r>
      <w:r>
        <w:t xml:space="preserve">: CA_eval_20260226-2059_MCO</w:t>
      </w:r>
      <w:r>
        <w:t xml:space="preserve"> </w:t>
      </w:r>
      <w:r>
        <w:rPr>
          <w:rFonts w:hint="eastAsia"/>
          <w:b/>
          <w:bCs/>
        </w:rPr>
        <w:t xml:space="preserve">作成日</w:t>
      </w:r>
      <w:r>
        <w:t xml:space="preserve">: 2026-02-26</w:t>
      </w:r>
      <w:r>
        <w:t xml:space="preserve"> </w:t>
      </w:r>
      <w:r>
        <w:rPr>
          <w:b/>
          <w:bCs/>
        </w:rPr>
        <w:t xml:space="preserve">バージョン</w:t>
      </w:r>
      <w:r>
        <w:t xml:space="preserve">: </w:t>
      </w:r>
      <w:r>
        <w:rPr>
          <w:rFonts w:hint="eastAsia"/>
        </w:rPr>
        <w:t xml:space="preserve">revised_v1（T8</w:t>
      </w:r>
      <w:r>
        <w:t xml:space="preserve"> </w:t>
      </w:r>
      <w:r>
        <w:rPr>
          <w:rFonts w:hint="eastAsia"/>
        </w:rPr>
        <w:t xml:space="preserve">AI批判プロセス適用済み）</w:t>
      </w:r>
      <w:r>
        <w:t xml:space="preserve"> </w:t>
      </w:r>
      <w:r>
        <w:rPr>
          <w:rFonts w:hint="eastAsia"/>
          <w:b/>
          <w:bCs/>
        </w:rPr>
        <w:t xml:space="preserve">評価者</w:t>
      </w:r>
      <w:r>
        <w:t xml:space="preserve">: ca-eval </w:t>
      </w:r>
      <w:r>
        <w:rPr>
          <w:rFonts w:hint="eastAsia"/>
        </w:rPr>
        <w:t xml:space="preserve">ワークフロー（Lead直接実行）</w:t>
      </w:r>
      <w:r>
        <w:t xml:space="preserve"> </w:t>
      </w:r>
      <w:r>
        <w:rPr>
          <w:b/>
          <w:bCs/>
        </w:rPr>
        <w:t xml:space="preserve">データソース</w:t>
      </w:r>
      <w:r>
        <w:t xml:space="preserve">: </w:t>
      </w:r>
      <w:r>
        <w:rPr>
          <w:rFonts w:hint="eastAsia"/>
        </w:rPr>
        <w:t xml:space="preserve">アナリストレポート（analyst/raw/MCO</w:t>
      </w:r>
      <w:r>
        <w:t xml:space="preserve"> </w:t>
      </w:r>
      <w:r>
        <w:rPr>
          <w:rFonts w:hint="eastAsia"/>
        </w:rPr>
        <w:t xml:space="preserve">US.md）</w:t>
      </w:r>
      <w:r>
        <w:t xml:space="preserve"> </w:t>
      </w:r>
      <w:r>
        <w:rPr>
          <w:b/>
          <w:bCs/>
        </w:rPr>
        <w:t xml:space="preserve">KBバージョン</w:t>
      </w:r>
      <w:r>
        <w:t xml:space="preserve">: dogma </w:t>
      </w:r>
      <w:r>
        <w:rPr>
          <w:rFonts w:hint="eastAsia"/>
        </w:rPr>
        <w:t xml:space="preserve">v1.0（2026-02-26更新）</w:t>
      </w:r>
      <w:r>
        <w:t xml:space="preserve"> </w:t>
      </w:r>
      <w:r>
        <w:rPr>
          <w:rFonts w:hint="eastAsia"/>
          <w:b/>
          <w:bCs/>
        </w:rPr>
        <w:t xml:space="preserve">T8適用</w:t>
      </w:r>
      <w:r>
        <w:t xml:space="preserve">: </w:t>
      </w:r>
      <w:r>
        <w:rPr>
          <w:rFonts w:hint="eastAsia"/>
        </w:rPr>
        <w:t xml:space="preserve">critique.json（critical</w:t>
      </w:r>
      <w:r>
        <w:t xml:space="preserve"> x </w:t>
      </w:r>
      <w:r>
        <w:rPr>
          <w:rFonts w:hint="eastAsia"/>
        </w:rPr>
        <w:t xml:space="preserve">1件、minor</w:t>
      </w:r>
      <w:r>
        <w:t xml:space="preserve"> x </w:t>
      </w:r>
      <w:r>
        <w:rPr>
          <w:rFonts w:hint="eastAsia"/>
        </w:rPr>
        <w:t xml:space="preserve">5件）の指摘を反映済み</w:t>
      </w:r>
    </w:p>
    <w:p>
      <w:r>
        <w:pict>
          <v:rect style="width:0;height:1.5pt" o:hralign="center" o:hrstd="t" o:hr="t"/>
        </w:pict>
      </w:r>
    </w:p>
    <w:bookmarkStart w:id="10" w:name="銘柄概要"/>
    <w:p>
      <w:pPr>
        <w:pStyle w:val="Heading2"/>
      </w:pPr>
      <w:r>
        <w:t xml:space="preserve">1. </w:t>
      </w:r>
      <w:r>
        <w:rPr>
          <w:rFonts w:hint="eastAsia"/>
        </w:rPr>
        <w:t xml:space="preserve">銘柄概要</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項目</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ascii="Times New Roman" w:hAnsi="Times New Roman" w:eastAsia="游明朝"/>
                <w:sz w:val="18"/>
              </w:rPr>
              <w:t xml:space="preserve">ティッカー</w:t>
            </w:r>
          </w:p>
        </w:tc>
        <w:tc>
          <w:tcPr/>
          <w:p>
            <w:pPr>
              <w:pStyle w:val="Compact"/>
            </w:pPr>
            <w:r>
              <w:rPr>
                <w:rFonts w:ascii="Times New Roman" w:hAnsi="Times New Roman" w:eastAsia="游明朝"/>
                <w:sz w:val="18"/>
              </w:rPr>
              <w:t xml:space="preserve">MCO</w:t>
            </w:r>
          </w:p>
        </w:tc>
      </w:tr>
      <w:tr>
        <w:tc>
          <w:tcPr/>
          <w:p>
            <w:pPr>
              <w:pStyle w:val="Compact"/>
            </w:pPr>
            <w:r>
              <w:rPr>
                <w:rFonts w:hint="eastAsia" w:ascii="Times New Roman" w:hAnsi="Times New Roman" w:eastAsia="游明朝"/>
                <w:sz w:val="18"/>
              </w:rPr>
              <w:t xml:space="preserve">企業名</w:t>
            </w:r>
          </w:p>
        </w:tc>
        <w:tc>
          <w:tcPr/>
          <w:p>
            <w:pPr>
              <w:pStyle w:val="Compact"/>
            </w:pPr>
            <w:r>
              <w:rPr>
                <w:rFonts w:ascii="Times New Roman" w:hAnsi="Times New Roman" w:eastAsia="游明朝"/>
                <w:sz w:val="18"/>
              </w:rPr>
              <w:t xml:space="preserve">Moody’s Corporation</w:t>
            </w:r>
          </w:p>
        </w:tc>
      </w:tr>
      <w:tr>
        <w:tc>
          <w:tcPr/>
          <w:p>
            <w:pPr>
              <w:pStyle w:val="Compact"/>
            </w:pPr>
            <w:r>
              <w:rPr>
                <w:rFonts w:ascii="Times New Roman" w:hAnsi="Times New Roman" w:eastAsia="游明朝"/>
                <w:sz w:val="18"/>
              </w:rPr>
              <w:t xml:space="preserve">セクター</w:t>
            </w:r>
          </w:p>
        </w:tc>
        <w:tc>
          <w:tcPr/>
          <w:p>
            <w:pPr>
              <w:pStyle w:val="Compact"/>
            </w:pPr>
            <w:r>
              <w:rPr>
                <w:rFonts w:ascii="Times New Roman" w:hAnsi="Times New Roman" w:eastAsia="游明朝"/>
                <w:sz w:val="18"/>
              </w:rPr>
              <w:t xml:space="preserve">Financials / Financial Data &amp; Analytics</w:t>
            </w:r>
          </w:p>
        </w:tc>
      </w:tr>
      <w:tr>
        <w:tc>
          <w:tcPr/>
          <w:p>
            <w:pPr>
              <w:pStyle w:val="Compact"/>
            </w:pPr>
            <w:r>
              <w:rPr>
                <w:rFonts w:hint="eastAsia" w:ascii="Times New Roman" w:hAnsi="Times New Roman" w:eastAsia="游明朝"/>
                <w:sz w:val="18"/>
              </w:rPr>
              <w:t xml:space="preserve">事業構成</w:t>
            </w:r>
          </w:p>
        </w:tc>
        <w:tc>
          <w:tcPr/>
          <w:p>
            <w:pPr>
              <w:pStyle w:val="Compact"/>
            </w:pPr>
            <w:r>
              <w:rPr>
                <w:rFonts w:hint="eastAsia" w:ascii="Times New Roman" w:hAnsi="Times New Roman" w:eastAsia="游明朝"/>
                <w:sz w:val="18"/>
              </w:rPr>
              <w:t xml:space="preserve">MIS（格付け）50%</w:t>
            </w:r>
            <w:r>
              <w:rPr>
                <w:rFonts w:ascii="Times New Roman" w:hAnsi="Times New Roman" w:eastAsia="游明朝"/>
                <w:sz w:val="18"/>
              </w:rPr>
              <w:t xml:space="preserve"> / </w:t>
            </w:r>
            <w:r>
              <w:rPr>
                <w:rFonts w:hint="eastAsia" w:ascii="Times New Roman" w:hAnsi="Times New Roman" w:eastAsia="游明朝"/>
                <w:sz w:val="18"/>
              </w:rPr>
              <w:t xml:space="preserve">MA（データ分析）50%</w:t>
            </w:r>
          </w:p>
        </w:tc>
      </w:tr>
      <w:tr>
        <w:tc>
          <w:tcPr/>
          <w:p>
            <w:pPr>
              <w:pStyle w:val="Compact"/>
            </w:pPr>
            <w:r>
              <w:rPr>
                <w:rFonts w:hint="eastAsia" w:ascii="Times New Roman" w:hAnsi="Times New Roman" w:eastAsia="游明朝"/>
                <w:sz w:val="18"/>
              </w:rPr>
              <w:t xml:space="preserve">投資判断</w:t>
            </w:r>
          </w:p>
        </w:tc>
        <w:tc>
          <w:tcPr/>
          <w:p>
            <w:pPr>
              <w:pStyle w:val="Compact"/>
            </w:pPr>
            <w:r>
              <w:rPr>
                <w:rFonts w:hint="eastAsia" w:ascii="Times New Roman" w:hAnsi="Times New Roman" w:eastAsia="游明朝"/>
                <w:sz w:val="18"/>
              </w:rPr>
              <w:t xml:space="preserve">BUY（2022年11月新規、継続中）</w:t>
            </w:r>
          </w:p>
        </w:tc>
      </w:tr>
      <w:tr>
        <w:tc>
          <w:tcPr/>
          <w:p>
            <w:pPr>
              <w:pStyle w:val="Compact"/>
            </w:pPr>
            <w:r>
              <w:rPr>
                <w:rFonts w:hint="eastAsia" w:ascii="Times New Roman" w:hAnsi="Times New Roman" w:eastAsia="游明朝"/>
                <w:sz w:val="18"/>
              </w:rPr>
              <w:t xml:space="preserve">CAGR推定</w:t>
            </w:r>
          </w:p>
        </w:tc>
        <w:tc>
          <w:tcPr/>
          <w:p>
            <w:pPr>
              <w:pStyle w:val="Compact"/>
            </w:pPr>
            <w:r>
              <w:rPr>
                <w:rFonts w:ascii="Times New Roman" w:hAnsi="Times New Roman" w:eastAsia="游明朝"/>
                <w:sz w:val="18"/>
              </w:rPr>
              <w:t xml:space="preserve">EPS </w:t>
            </w:r>
            <w:r>
              <w:rPr>
                <w:rFonts w:hint="eastAsia" w:ascii="Times New Roman" w:hAnsi="Times New Roman" w:eastAsia="游明朝"/>
                <w:sz w:val="18"/>
              </w:rPr>
              <w:t xml:space="preserve">+9.5%（売上+6%）（2025年8月修正）</w:t>
            </w:r>
          </w:p>
        </w:tc>
      </w:tr>
    </w:tbl>
    <w:bookmarkStart w:id="9" w:name="cagr分解"/>
    <w:p>
      <w:pPr>
        <w:pStyle w:val="Heading3"/>
      </w:pPr>
      <w:r>
        <w:rPr>
          <w:rFonts w:hint="eastAsia"/>
        </w:rPr>
        <w:t xml:space="preserve">CAGR分解</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パラメータ</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推定値</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主な根拠</w:t>
            </w:r>
          </w:p>
        </w:tc>
      </w:tr>
      <w:tr>
        <w:tc>
          <w:tcPr/>
          <w:p>
            <w:pPr>
              <w:pStyle w:val="Compact"/>
            </w:pPr>
            <w:r>
              <w:rPr>
                <w:rFonts w:hint="eastAsia" w:ascii="Times New Roman" w:hAnsi="Times New Roman" w:eastAsia="游明朝"/>
                <w:sz w:val="18"/>
              </w:rPr>
              <w:t xml:space="preserve">MIS成長</w:t>
            </w:r>
          </w:p>
        </w:tc>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実質GDP+2.5%</w:t>
            </w:r>
            <w:r>
              <w:rPr>
                <w:rFonts w:ascii="Times New Roman" w:hAnsi="Times New Roman" w:eastAsia="游明朝"/>
                <w:sz w:val="18"/>
              </w:rPr>
              <w:t xml:space="preserve"> + </w:t>
            </w:r>
            <w:r>
              <w:rPr>
                <w:rFonts w:hint="eastAsia" w:ascii="Times New Roman" w:hAnsi="Times New Roman" w:eastAsia="游明朝"/>
                <w:sz w:val="18"/>
              </w:rPr>
              <w:t xml:space="preserve">価格効果+2.5%</w:t>
            </w:r>
            <w:r>
              <w:rPr>
                <w:rFonts w:ascii="Times New Roman" w:hAnsi="Times New Roman" w:eastAsia="游明朝"/>
                <w:sz w:val="18"/>
              </w:rPr>
              <w:t xml:space="preserve"> + </w:t>
            </w:r>
            <w:r>
              <w:rPr>
                <w:rFonts w:hint="eastAsia" w:ascii="Times New Roman" w:hAnsi="Times New Roman" w:eastAsia="游明朝"/>
                <w:sz w:val="18"/>
              </w:rPr>
              <w:t xml:space="preserve">新興国/PC+1%</w:t>
            </w:r>
          </w:p>
        </w:tc>
      </w:tr>
      <w:tr>
        <w:tc>
          <w:tcPr/>
          <w:p>
            <w:pPr>
              <w:pStyle w:val="Compact"/>
            </w:pPr>
            <w:r>
              <w:rPr>
                <w:rFonts w:hint="eastAsia" w:ascii="Times New Roman" w:hAnsi="Times New Roman" w:eastAsia="游明朝"/>
                <w:sz w:val="18"/>
              </w:rPr>
              <w:t xml:space="preserve">MA成長</w:t>
            </w:r>
          </w:p>
        </w:tc>
        <w:tc>
          <w:tcPr/>
          <w:p>
            <w:pPr>
              <w:pStyle w:val="Compact"/>
            </w:pPr>
            <w:r>
              <w:rPr>
                <w:rFonts w:ascii="Times New Roman" w:hAnsi="Times New Roman" w:eastAsia="游明朝"/>
                <w:sz w:val="18"/>
              </w:rPr>
              <w:t xml:space="preserve">+6.5%</w:t>
            </w:r>
          </w:p>
        </w:tc>
        <w:tc>
          <w:tcPr/>
          <w:p>
            <w:pPr>
              <w:pStyle w:val="Compact"/>
            </w:pPr>
            <w:r>
              <w:rPr>
                <w:rFonts w:hint="eastAsia" w:ascii="Times New Roman" w:hAnsi="Times New Roman" w:eastAsia="游明朝"/>
                <w:sz w:val="18"/>
              </w:rPr>
              <w:t xml:space="preserve">ARR+HSD、維持率93%、クロスセル拡大</w:t>
            </w:r>
          </w:p>
        </w:tc>
      </w:tr>
      <w:tr>
        <w:tc>
          <w:tcPr/>
          <w:p>
            <w:pPr>
              <w:pStyle w:val="Compact"/>
            </w:pPr>
            <w:r>
              <w:rPr>
                <w:rFonts w:hint="eastAsia" w:ascii="Times New Roman" w:hAnsi="Times New Roman" w:eastAsia="游明朝"/>
                <w:sz w:val="18"/>
              </w:rPr>
              <w:t xml:space="preserve">マージン改善</w:t>
            </w:r>
          </w:p>
        </w:tc>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MA事業のOPM改善（30%→35%目標）</w:t>
            </w:r>
          </w:p>
        </w:tc>
      </w:tr>
      <w:tr>
        <w:tc>
          <w:tcPr/>
          <w:p>
            <w:pPr>
              <w:pStyle w:val="Compact"/>
            </w:pPr>
            <w:r>
              <w:rPr>
                <w:rFonts w:hint="eastAsia" w:ascii="Times New Roman" w:hAnsi="Times New Roman" w:eastAsia="游明朝"/>
                <w:sz w:val="18"/>
              </w:rPr>
              <w:t xml:space="preserve">自社株買い</w:t>
            </w:r>
          </w:p>
        </w:tc>
        <w:tc>
          <w:tcPr/>
          <w:p>
            <w:pPr>
              <w:pStyle w:val="Compact"/>
            </w:pPr>
            <w:r>
              <w:rPr>
                <w:rFonts w:ascii="Times New Roman" w:hAnsi="Times New Roman" w:eastAsia="游明朝"/>
                <w:sz w:val="18"/>
              </w:rPr>
              <w:t xml:space="preserve">+1.5%</w:t>
            </w:r>
          </w:p>
        </w:tc>
        <w:tc>
          <w:tcPr/>
          <w:p>
            <w:pPr>
              <w:pStyle w:val="Compact"/>
            </w:pPr>
            <w:r>
              <w:rPr>
                <w:rFonts w:hint="eastAsia" w:ascii="Times New Roman" w:hAnsi="Times New Roman" w:eastAsia="游明朝"/>
                <w:sz w:val="18"/>
              </w:rPr>
              <w:t xml:space="preserve">FCF利回り3%（従前+2%から引き下げ）</w:t>
            </w:r>
          </w:p>
        </w:tc>
      </w:tr>
      <w:tr>
        <w:tc>
          <w:tcPr/>
          <w:p>
            <w:pPr>
              <w:pStyle w:val="Compact"/>
            </w:pPr>
            <w:r>
              <w:rPr>
                <w:rFonts w:hint="eastAsia" w:ascii="Times New Roman" w:hAnsi="Times New Roman" w:eastAsia="游明朝"/>
                <w:sz w:val="18"/>
              </w:rPr>
              <w:t xml:space="preserve">外部成長</w:t>
            </w:r>
          </w:p>
        </w:tc>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小型M&amp;A</w:t>
            </w:r>
          </w:p>
        </w:tc>
      </w:tr>
    </w:tbl>
    <w:p>
      <w:r>
        <w:pict>
          <v:rect style="width:0;height:1.5pt" o:hralign="center" o:hrstd="t" o:hr="t"/>
        </w:pict>
      </w:r>
    </w:p>
    <w:bookmarkEnd w:id="9"/>
    <w:bookmarkEnd w:id="10"/>
    <w:bookmarkStart w:id="11" w:name="競争優位性評価サマリー"/>
    <w:p>
      <w:pPr>
        <w:pStyle w:val="Heading2"/>
      </w:pPr>
      <w:r>
        <w:t xml:space="preserve">2. </w:t>
      </w:r>
      <w:r>
        <w:rPr>
          <w:rFonts w:hint="eastAsia"/>
        </w:rPr>
        <w:t xml:space="preserve">競争優位性評価サマリー</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1080"/>
        <w:gridCol w:w="1440"/>
        <w:gridCol w:w="1620"/>
        <w:gridCol w:w="1620"/>
        <w:gridCol w:w="162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主張</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CA評価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CAGR接続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主な根拠</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主な課題</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格付け事業の寡占構造による構造的参入障壁</w:t>
            </w:r>
          </w:p>
        </w:tc>
        <w:tc>
          <w:tcPr/>
          <w:p>
            <w:pPr>
              <w:pStyle w:val="Compact"/>
            </w:pPr>
            <w:r>
              <w:rPr>
                <w:rFonts w:hint="eastAsia" w:ascii="Times New Roman" w:hAnsi="Times New Roman" w:eastAsia="游明朝"/>
                <w:b/>
                <w:bCs/>
                <w:sz w:val="18"/>
              </w:rPr>
              <w:t xml:space="preserve">90%（かなり納得）</w:t>
            </w:r>
            <w:r>
              <w:rPr>
                <w:rFonts w:ascii="Times New Roman" w:hAnsi="Times New Roman" w:eastAsia="游明朝"/>
                <w:sz w:val="18"/>
              </w:rPr>
              <w:t xml:space="preserve"> </w:t>
            </w:r>
            <w:r>
              <w:rPr>
                <w:rFonts w:hint="eastAsia" w:ascii="Times New Roman" w:hAnsi="Times New Roman" w:eastAsia="游明朝"/>
                <w:sz w:val="18"/>
              </w:rPr>
              <w:t xml:space="preserve">[T8注記:</w:t>
            </w:r>
            <w:r>
              <w:rPr>
                <w:rFonts w:ascii="Times New Roman" w:hAnsi="Times New Roman" w:eastAsia="游明朝"/>
                <w:sz w:val="18"/>
              </w:rPr>
              <w:t xml:space="preserve"> </w:t>
            </w:r>
            <w:r>
              <w:rPr>
                <w:rFonts w:hint="eastAsia" w:ascii="Times New Roman" w:hAnsi="Times New Roman" w:eastAsia="游明朝"/>
                <w:sz w:val="18"/>
              </w:rPr>
              <w:t xml:space="preserve">業界構造の恩恵</w:t>
            </w:r>
            <w:r>
              <w:rPr>
                <w:rFonts w:ascii="Times New Roman" w:hAnsi="Times New Roman" w:eastAsia="游明朝"/>
                <w:sz w:val="18"/>
              </w:rPr>
              <w:t xml:space="preserve"> vs </w:t>
            </w:r>
            <w:r>
              <w:rPr>
                <w:rFonts w:hint="eastAsia" w:ascii="Times New Roman" w:hAnsi="Times New Roman" w:eastAsia="游明朝"/>
                <w:sz w:val="18"/>
              </w:rPr>
              <w:t xml:space="preserve">MCO固有能力の区別を明記]</w:t>
            </w:r>
          </w:p>
        </w:tc>
        <w:tc>
          <w:tcPr/>
          <w:p>
            <w:pPr>
              <w:pStyle w:val="Compact"/>
            </w:pPr>
            <w:r>
              <w:rPr>
                <w:rFonts w:ascii="Times New Roman" w:hAnsi="Times New Roman" w:eastAsia="游明朝"/>
                <w:sz w:val="18"/>
              </w:rPr>
              <w:t xml:space="preserve">90%</w:t>
            </w:r>
          </w:p>
        </w:tc>
        <w:tc>
          <w:tcPr/>
          <w:p>
            <w:pPr>
              <w:pStyle w:val="Compact"/>
            </w:pPr>
            <w:r>
              <w:rPr>
                <w:rFonts w:hint="eastAsia" w:ascii="Times New Roman" w:hAnsi="Times New Roman" w:eastAsia="游明朝"/>
                <w:sz w:val="18"/>
              </w:rPr>
              <w:t xml:space="preserve">ルール11合致、シェア20年安定、2社取得慣行</w:t>
            </w:r>
          </w:p>
        </w:tc>
        <w:tc>
          <w:tcPr/>
          <w:p>
            <w:pPr>
              <w:pStyle w:val="Compact"/>
            </w:pPr>
            <w:r>
              <w:rPr>
                <w:rFonts w:hint="eastAsia" w:ascii="Times New Roman" w:hAnsi="Times New Roman" w:eastAsia="游明朝"/>
                <w:sz w:val="18"/>
              </w:rPr>
              <w:t xml:space="preserve">SPGI同等性（ルール7</w:t>
            </w:r>
            <w:r>
              <w:rPr>
                <w:rFonts w:ascii="Times New Roman" w:hAnsi="Times New Roman" w:eastAsia="游明朝"/>
                <w:sz w:val="18"/>
              </w:rPr>
              <w:t xml:space="preserve"> </w:t>
            </w:r>
            <w:r>
              <w:rPr>
                <w:rFonts w:hint="eastAsia" w:ascii="Times New Roman" w:hAnsi="Times New Roman" w:eastAsia="游明朝"/>
                <w:sz w:val="18"/>
              </w:rPr>
              <w:t xml:space="preserve">PARTIAL）</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格付け事業のプライシングパワー</w:t>
            </w:r>
          </w:p>
        </w:tc>
        <w:tc>
          <w:tcPr/>
          <w:p>
            <w:pPr>
              <w:pStyle w:val="Compact"/>
            </w:pPr>
            <w:r>
              <w:rPr>
                <w:rFonts w:hint="eastAsia" w:ascii="Times New Roman" w:hAnsi="Times New Roman" w:eastAsia="游明朝"/>
                <w:b/>
                <w:bCs/>
                <w:sz w:val="18"/>
              </w:rPr>
              <w:t xml:space="preserve">70%（おおむね納得）</w:t>
            </w:r>
          </w:p>
        </w:tc>
        <w:tc>
          <w:tcPr/>
          <w:p>
            <w:pPr>
              <w:pStyle w:val="Compact"/>
            </w:pPr>
            <w:r>
              <w:rPr>
                <w:rFonts w:ascii="Times New Roman" w:hAnsi="Times New Roman" w:eastAsia="游明朝"/>
                <w:sz w:val="18"/>
              </w:rPr>
              <w:t xml:space="preserve">90%</w:t>
            </w:r>
          </w:p>
        </w:tc>
        <w:tc>
          <w:tcPr/>
          <w:p>
            <w:pPr>
              <w:pStyle w:val="Compact"/>
            </w:pPr>
            <w:r>
              <w:rPr>
                <w:rFonts w:hint="eastAsia" w:ascii="Times New Roman" w:hAnsi="Times New Roman" w:eastAsia="游明朝"/>
                <w:sz w:val="18"/>
              </w:rPr>
              <w:t xml:space="preserve">定量データ豊富（+2-3%/年、CS推定+4-5%）</w:t>
            </w:r>
          </w:p>
        </w:tc>
        <w:tc>
          <w:tcPr/>
          <w:p>
            <w:pPr>
              <w:pStyle w:val="Compact"/>
            </w:pPr>
            <w:r>
              <w:rPr>
                <w:rFonts w:hint="eastAsia" w:ascii="Times New Roman" w:hAnsi="Times New Roman" w:eastAsia="游明朝"/>
                <w:sz w:val="18"/>
              </w:rPr>
              <w:t xml:space="preserve">claim#1の派生、SPGI同等</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格付け評価の経路依存性によるスイッチングコスト</w:t>
            </w:r>
          </w:p>
        </w:tc>
        <w:tc>
          <w:tcPr/>
          <w:p>
            <w:pPr>
              <w:pStyle w:val="Compact"/>
            </w:pPr>
            <w:r>
              <w:rPr>
                <w:rFonts w:hint="eastAsia" w:ascii="Times New Roman" w:hAnsi="Times New Roman" w:eastAsia="游明朝"/>
                <w:b/>
                <w:bCs/>
                <w:sz w:val="18"/>
              </w:rPr>
              <w:t xml:space="preserve">70%（おおむね納得）</w:t>
            </w:r>
            <w:r>
              <w:rPr>
                <w:rFonts w:ascii="Times New Roman" w:hAnsi="Times New Roman" w:eastAsia="游明朝"/>
                <w:sz w:val="18"/>
              </w:rPr>
              <w:t xml:space="preserve"> </w:t>
            </w:r>
            <w:r>
              <w:rPr>
                <w:rFonts w:hint="eastAsia" w:ascii="Times New Roman" w:hAnsi="Times New Roman" w:eastAsia="游明朝"/>
                <w:sz w:val="18"/>
              </w:rPr>
              <w:t xml:space="preserve">[T8注記:</w:t>
            </w:r>
            <w:r>
              <w:rPr>
                <w:rFonts w:ascii="Times New Roman" w:hAnsi="Times New Roman" w:eastAsia="游明朝"/>
                <w:sz w:val="18"/>
              </w:rPr>
              <w:t xml:space="preserve"> </w:t>
            </w:r>
            <w:r>
              <w:rPr>
                <w:rFonts w:hint="eastAsia" w:ascii="Times New Roman" w:hAnsi="Times New Roman" w:eastAsia="游明朝"/>
                <w:sz w:val="18"/>
              </w:rPr>
              <w:t xml:space="preserve">claim#1とのダブルカウントリスク明記]</w:t>
            </w:r>
          </w:p>
        </w:tc>
        <w:tc>
          <w:tcPr/>
          <w:p>
            <w:pPr>
              <w:pStyle w:val="Compact"/>
            </w:pPr>
            <w:r>
              <w:rPr>
                <w:rFonts w:ascii="Times New Roman" w:hAnsi="Times New Roman" w:eastAsia="游明朝"/>
                <w:sz w:val="18"/>
              </w:rPr>
              <w:t xml:space="preserve">70%</w:t>
            </w:r>
          </w:p>
        </w:tc>
        <w:tc>
          <w:tcPr/>
          <w:p>
            <w:pPr>
              <w:pStyle w:val="Compact"/>
            </w:pPr>
            <w:r>
              <w:rPr>
                <w:rFonts w:hint="eastAsia" w:ascii="Times New Roman" w:hAnsi="Times New Roman" w:eastAsia="游明朝"/>
                <w:sz w:val="18"/>
              </w:rPr>
              <w:t xml:space="preserve">経路依存性、維持率93%</w:t>
            </w:r>
          </w:p>
        </w:tc>
        <w:tc>
          <w:tcPr/>
          <w:p>
            <w:pPr>
              <w:pStyle w:val="Compact"/>
            </w:pPr>
            <w:r>
              <w:rPr>
                <w:rFonts w:hint="eastAsia" w:ascii="Times New Roman" w:hAnsi="Times New Roman" w:eastAsia="游明朝"/>
                <w:sz w:val="18"/>
              </w:rPr>
              <w:t xml:space="preserve">claim#1と重複大、MIS側定量化不足</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MA事業のデータ蓄積とクロスセル拡大力</w:t>
            </w:r>
          </w:p>
        </w:tc>
        <w:tc>
          <w:tcPr/>
          <w:p>
            <w:pPr>
              <w:pStyle w:val="Compact"/>
            </w:pPr>
            <w:r>
              <w:rPr>
                <w:rFonts w:hint="eastAsia" w:ascii="Times New Roman" w:hAnsi="Times New Roman" w:eastAsia="游明朝"/>
                <w:b/>
                <w:bCs/>
                <w:sz w:val="18"/>
              </w:rPr>
              <w:t xml:space="preserve">50%（まあ納得）</w:t>
            </w:r>
            <w:r>
              <w:rPr>
                <w:rFonts w:ascii="Times New Roman" w:hAnsi="Times New Roman" w:eastAsia="游明朝"/>
                <w:sz w:val="18"/>
              </w:rPr>
              <w:t xml:space="preserve"> </w:t>
            </w:r>
            <w:r>
              <w:rPr>
                <w:rFonts w:hint="eastAsia" w:ascii="Times New Roman" w:hAnsi="Times New Roman" w:eastAsia="游明朝"/>
                <w:sz w:val="18"/>
              </w:rPr>
              <w:t xml:space="preserve">[T8注記:</w:t>
            </w:r>
            <w:r>
              <w:rPr>
                <w:rFonts w:ascii="Times New Roman" w:hAnsi="Times New Roman" w:eastAsia="游明朝"/>
                <w:sz w:val="18"/>
              </w:rPr>
              <w:t xml:space="preserve"> </w:t>
            </w:r>
            <w:r>
              <w:rPr>
                <w:rFonts w:hint="eastAsia" w:ascii="Times New Roman" w:hAnsi="Times New Roman" w:eastAsia="游明朝"/>
                <w:sz w:val="18"/>
              </w:rPr>
              <w:t xml:space="preserve">因果チェーンリスク明記]</w:t>
            </w:r>
          </w:p>
        </w:tc>
        <w:tc>
          <w:tcPr/>
          <w:p>
            <w:pPr>
              <w:pStyle w:val="Compact"/>
            </w:pPr>
            <w:r>
              <w:rPr>
                <w:rFonts w:ascii="Times New Roman" w:hAnsi="Times New Roman" w:eastAsia="游明朝"/>
                <w:sz w:val="18"/>
              </w:rPr>
              <w:t xml:space="preserve">70%</w:t>
            </w:r>
          </w:p>
        </w:tc>
        <w:tc>
          <w:tcPr/>
          <w:p>
            <w:pPr>
              <w:pStyle w:val="Compact"/>
            </w:pPr>
            <w:r>
              <w:rPr>
                <w:rFonts w:hint="eastAsia" w:ascii="Times New Roman" w:hAnsi="Times New Roman" w:eastAsia="游明朝"/>
                <w:sz w:val="18"/>
              </w:rPr>
              <w:t xml:space="preserve">KYCクロスセル2割、ARR</w:t>
            </w:r>
            <w:r>
              <w:rPr>
                <w:rFonts w:ascii="Times New Roman" w:hAnsi="Times New Roman" w:eastAsia="游明朝"/>
                <w:sz w:val="18"/>
              </w:rPr>
              <w:t xml:space="preserve"> $3.3B</w:t>
            </w:r>
          </w:p>
        </w:tc>
        <w:tc>
          <w:tcPr/>
          <w:p>
            <w:pPr>
              <w:pStyle w:val="Compact"/>
            </w:pPr>
            <w:r>
              <w:rPr>
                <w:rFonts w:hint="eastAsia" w:ascii="Times New Roman" w:hAnsi="Times New Roman" w:eastAsia="游明朝"/>
                <w:sz w:val="18"/>
              </w:rPr>
              <w:t xml:space="preserve">アナリスト自身が「課題」と認識</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PC市場成長による格付け需要拡大機会</w:t>
            </w:r>
          </w:p>
        </w:tc>
        <w:tc>
          <w:tcPr/>
          <w:p>
            <w:pPr>
              <w:pStyle w:val="Compact"/>
            </w:pPr>
            <w:r>
              <w:rPr>
                <w:rFonts w:hint="eastAsia" w:ascii="Times New Roman" w:hAnsi="Times New Roman" w:eastAsia="游明朝"/>
                <w:b/>
                <w:bCs/>
                <w:sz w:val="18"/>
              </w:rPr>
              <w:t xml:space="preserve">50%（まあ納得）</w:t>
            </w:r>
            <w:r>
              <w:rPr>
                <w:rFonts w:ascii="Times New Roman" w:hAnsi="Times New Roman" w:eastAsia="游明朝"/>
                <w:sz w:val="18"/>
              </w:rPr>
              <w:t xml:space="preserve"> </w:t>
            </w:r>
            <w:r>
              <w:rPr>
                <w:rFonts w:hint="eastAsia" w:ascii="Times New Roman" w:hAnsi="Times New Roman" w:eastAsia="游明朝"/>
                <w:sz w:val="18"/>
              </w:rPr>
              <w:t xml:space="preserve">[T8注記:</w:t>
            </w:r>
            <w:r>
              <w:rPr>
                <w:rFonts w:ascii="Times New Roman" w:hAnsi="Times New Roman" w:eastAsia="游明朝"/>
                <w:sz w:val="18"/>
              </w:rPr>
              <w:t xml:space="preserve"> </w:t>
            </w:r>
            <w:r>
              <w:rPr>
                <w:rFonts w:hint="eastAsia" w:ascii="Times New Roman" w:hAnsi="Times New Roman" w:eastAsia="游明朝"/>
                <w:sz w:val="18"/>
              </w:rPr>
              <w:t xml:space="preserve">アナリストCAGR見送りとの整合性明記]</w:t>
            </w:r>
          </w:p>
        </w:tc>
        <w:tc>
          <w:tcPr/>
          <w:p>
            <w:pPr>
              <w:pStyle w:val="Compact"/>
            </w:pPr>
            <w:r>
              <w:rPr>
                <w:rFonts w:ascii="Times New Roman" w:hAnsi="Times New Roman" w:eastAsia="游明朝"/>
                <w:sz w:val="18"/>
              </w:rPr>
              <w:t xml:space="preserve">50%</w:t>
            </w:r>
          </w:p>
        </w:tc>
        <w:tc>
          <w:tcPr/>
          <w:p>
            <w:pPr>
              <w:pStyle w:val="Compact"/>
            </w:pPr>
            <w:r>
              <w:rPr>
                <w:rFonts w:ascii="Times New Roman" w:hAnsi="Times New Roman" w:eastAsia="游明朝"/>
                <w:sz w:val="18"/>
              </w:rPr>
              <w:t xml:space="preserve">TAM </w:t>
            </w:r>
            <w:r>
              <w:rPr>
                <w:rFonts w:hint="eastAsia" w:ascii="Times New Roman" w:hAnsi="Times New Roman" w:eastAsia="游明朝"/>
                <w:sz w:val="18"/>
              </w:rPr>
              <w:t xml:space="preserve">$3T、ルール10（DL限界分析）高評価</w:t>
            </w:r>
          </w:p>
        </w:tc>
        <w:tc>
          <w:tcPr/>
          <w:p>
            <w:pPr>
              <w:pStyle w:val="Compact"/>
            </w:pPr>
            <w:r>
              <w:rPr>
                <w:rFonts w:hint="eastAsia" w:ascii="Times New Roman" w:hAnsi="Times New Roman" w:eastAsia="游明朝"/>
                <w:sz w:val="18"/>
              </w:rPr>
              <w:t xml:space="preserve">市場機会であり優位性ではない</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格付けブランドのデファクト標準としての認知</w:t>
            </w:r>
          </w:p>
        </w:tc>
        <w:tc>
          <w:tcPr/>
          <w:p>
            <w:pPr>
              <w:pStyle w:val="Compact"/>
            </w:pPr>
            <w:r>
              <w:rPr>
                <w:rFonts w:hint="eastAsia" w:ascii="Times New Roman" w:hAnsi="Times New Roman" w:eastAsia="游明朝"/>
                <w:b/>
                <w:bCs/>
                <w:sz w:val="18"/>
              </w:rPr>
              <w:t xml:space="preserve">30%（あまり納得しない）</w:t>
            </w:r>
            <w:r>
              <w:rPr>
                <w:rFonts w:ascii="Times New Roman" w:hAnsi="Times New Roman" w:eastAsia="游明朝"/>
                <w:sz w:val="18"/>
              </w:rPr>
              <w:t xml:space="preserve"> </w:t>
            </w:r>
            <w:r>
              <w:rPr>
                <w:rFonts w:hint="eastAsia" w:ascii="Times New Roman" w:hAnsi="Times New Roman" w:eastAsia="游明朝"/>
                <w:sz w:val="18"/>
              </w:rPr>
              <w:t xml:space="preserve">[T8修正:</w:t>
            </w:r>
            <w:r>
              <w:rPr>
                <w:rFonts w:ascii="Times New Roman" w:hAnsi="Times New Roman" w:eastAsia="游明朝"/>
                <w:sz w:val="18"/>
              </w:rPr>
              <w:t xml:space="preserve"> 50% -&gt; 30%]</w:t>
            </w:r>
          </w:p>
        </w:tc>
        <w:tc>
          <w:tcPr/>
          <w:p>
            <w:pPr>
              <w:pStyle w:val="Compact"/>
            </w:pPr>
            <w:r>
              <w:rPr>
                <w:rFonts w:ascii="Times New Roman" w:hAnsi="Times New Roman" w:eastAsia="游明朝"/>
                <w:sz w:val="18"/>
              </w:rPr>
              <w:t xml:space="preserve">50%</w:t>
            </w:r>
          </w:p>
        </w:tc>
        <w:tc>
          <w:tcPr/>
          <w:p>
            <w:pPr>
              <w:pStyle w:val="Compact"/>
            </w:pPr>
            <w:r>
              <w:rPr>
                <w:rFonts w:hint="eastAsia" w:ascii="Times New Roman" w:hAnsi="Times New Roman" w:eastAsia="游明朝"/>
                <w:sz w:val="18"/>
              </w:rPr>
              <w:t xml:space="preserve">dogma類型2言及、100年の歴史</w:t>
            </w:r>
          </w:p>
        </w:tc>
        <w:tc>
          <w:tcPr/>
          <w:p>
            <w:pPr>
              <w:pStyle w:val="Compact"/>
            </w:pPr>
            <w:r>
              <w:rPr>
                <w:rFonts w:hint="eastAsia" w:ascii="Times New Roman" w:hAnsi="Times New Roman" w:eastAsia="游明朝"/>
                <w:sz w:val="18"/>
              </w:rPr>
              <w:t xml:space="preserve">claim#1-3と3重ダブルカウント</w:t>
            </w:r>
          </w:p>
        </w:tc>
      </w:tr>
      <w:tr>
        <w:tc>
          <w:tcPr/>
          <w:p>
            <w:pPr>
              <w:pStyle w:val="Compact"/>
            </w:pPr>
            <w:r>
              <w:rPr>
                <w:rFonts w:ascii="Times New Roman" w:hAnsi="Times New Roman" w:eastAsia="游明朝"/>
                <w:sz w:val="18"/>
              </w:rPr>
              <w:t xml:space="preserve">7</w:t>
            </w:r>
          </w:p>
        </w:tc>
        <w:tc>
          <w:tcPr/>
          <w:p>
            <w:pPr>
              <w:pStyle w:val="Compact"/>
            </w:pPr>
            <w:r>
              <w:rPr>
                <w:rFonts w:hint="eastAsia" w:ascii="Times New Roman" w:hAnsi="Times New Roman" w:eastAsia="游明朝"/>
                <w:sz w:val="18"/>
              </w:rPr>
              <w:t xml:space="preserve">借換え需要の構造的成長と起債サイクルの恩恵</w:t>
            </w:r>
          </w:p>
        </w:tc>
        <w:tc>
          <w:tcPr/>
          <w:p>
            <w:pPr>
              <w:pStyle w:val="Compact"/>
            </w:pPr>
            <w:r>
              <w:rPr>
                <w:rFonts w:hint="eastAsia" w:ascii="Times New Roman" w:hAnsi="Times New Roman" w:eastAsia="游明朝"/>
                <w:b/>
                <w:bCs/>
                <w:sz w:val="18"/>
              </w:rPr>
              <w:t xml:space="preserve">30%（あまり納得しない）</w:t>
            </w:r>
            <w:r>
              <w:rPr>
                <w:rFonts w:ascii="Times New Roman" w:hAnsi="Times New Roman" w:eastAsia="游明朝"/>
                <w:sz w:val="18"/>
              </w:rPr>
              <w:t xml:space="preserve"> </w:t>
            </w:r>
            <w:r>
              <w:rPr>
                <w:rFonts w:hint="eastAsia" w:ascii="Times New Roman" w:hAnsi="Times New Roman" w:eastAsia="游明朝"/>
                <w:sz w:val="18"/>
              </w:rPr>
              <w:t xml:space="preserve">[T8注記:</w:t>
            </w:r>
            <w:r>
              <w:rPr>
                <w:rFonts w:ascii="Times New Roman" w:hAnsi="Times New Roman" w:eastAsia="游明朝"/>
                <w:sz w:val="18"/>
              </w:rPr>
              <w:t xml:space="preserve"> </w:t>
            </w:r>
            <w:r>
              <w:rPr>
                <w:rFonts w:hint="eastAsia" w:ascii="Times New Roman" w:hAnsi="Times New Roman" w:eastAsia="游明朝"/>
                <w:sz w:val="18"/>
              </w:rPr>
              <w:t xml:space="preserve">CA/CAGR乖離の根拠明記]</w:t>
            </w:r>
          </w:p>
        </w:tc>
        <w:tc>
          <w:tcPr/>
          <w:p>
            <w:pPr>
              <w:pStyle w:val="Compact"/>
            </w:pPr>
            <w:r>
              <w:rPr>
                <w:rFonts w:ascii="Times New Roman" w:hAnsi="Times New Roman" w:eastAsia="游明朝"/>
                <w:sz w:val="18"/>
              </w:rPr>
              <w:t xml:space="preserve">70%</w:t>
            </w:r>
          </w:p>
        </w:tc>
        <w:tc>
          <w:tcPr/>
          <w:p>
            <w:pPr>
              <w:pStyle w:val="Compact"/>
            </w:pPr>
            <w:r>
              <w:rPr>
                <w:rFonts w:hint="eastAsia" w:ascii="Times New Roman" w:hAnsi="Times New Roman" w:eastAsia="游明朝"/>
                <w:sz w:val="18"/>
              </w:rPr>
              <w:t xml:space="preserve">$5T、HY+19%の定量データ</w:t>
            </w:r>
          </w:p>
        </w:tc>
        <w:tc>
          <w:tcPr/>
          <w:p>
            <w:pPr>
              <w:pStyle w:val="Compact"/>
            </w:pPr>
            <w:r>
              <w:rPr>
                <w:rFonts w:hint="eastAsia" w:ascii="Times New Roman" w:hAnsi="Times New Roman" w:eastAsia="游明朝"/>
                <w:sz w:val="18"/>
              </w:rPr>
              <w:t xml:space="preserve">外部環境、SPGI同等（ルール7</w:t>
            </w:r>
            <w:r>
              <w:rPr>
                <w:rFonts w:ascii="Times New Roman" w:hAnsi="Times New Roman" w:eastAsia="游明朝"/>
                <w:sz w:val="18"/>
              </w:rPr>
              <w:t xml:space="preserve"> </w:t>
            </w:r>
            <w:r>
              <w:rPr>
                <w:rFonts w:hint="eastAsia" w:ascii="Times New Roman" w:hAnsi="Times New Roman" w:eastAsia="游明朝"/>
                <w:sz w:val="18"/>
              </w:rPr>
              <w:t xml:space="preserve">FAIL）</w:t>
            </w:r>
          </w:p>
        </w:tc>
      </w:tr>
    </w:tbl>
    <w:p>
      <w:pPr>
        <w:pStyle w:val="BodyText"/>
      </w:pPr>
      <w:r>
        <w:rPr>
          <w:rFonts w:hint="eastAsia"/>
          <w:b/>
          <w:bCs/>
        </w:rPr>
        <w:t xml:space="preserve">平均CA確信度</w:t>
      </w:r>
      <w:r>
        <w:t xml:space="preserve">: </w:t>
      </w:r>
      <w:r>
        <w:rPr>
          <w:rFonts w:hint="eastAsia"/>
        </w:rPr>
        <w:t xml:space="preserve">56%（T8修正後。修正前:</w:t>
      </w:r>
      <w:r>
        <w:t xml:space="preserve"> </w:t>
      </w:r>
      <w:r>
        <w:rPr>
          <w:rFonts w:hint="eastAsia"/>
        </w:rPr>
        <w:t xml:space="preserve">59%）</w:t>
      </w:r>
      <w:r>
        <w:t xml:space="preserve"> |</w:t>
      </w:r>
      <w:r>
        <w:t xml:space="preserve"> </w:t>
      </w:r>
      <w:r>
        <w:rPr>
          <w:rFonts w:hint="eastAsia"/>
          <w:b/>
          <w:bCs/>
        </w:rPr>
        <w:t xml:space="preserve">平均CAGR確信度</w:t>
      </w:r>
      <w:r>
        <w:t xml:space="preserve">: 71%</w:t>
      </w:r>
    </w:p>
    <w:p>
      <w:pPr>
        <w:pStyle w:val="BodyText"/>
      </w:pPr>
      <w:r>
        <w:t xml:space="preserve">※ </w:t>
      </w:r>
      <w:r>
        <w:rPr>
          <w:rFonts w:hint="eastAsia"/>
        </w:rPr>
        <w:t xml:space="preserve">T8修正で</w:t>
      </w:r>
      <w:r>
        <w:t xml:space="preserve"> confidence </w:t>
      </w:r>
      <w:r>
        <w:rPr>
          <w:rFonts w:hint="eastAsia"/>
        </w:rPr>
        <w:t xml:space="preserve">が変更された主張は</w:t>
      </w:r>
      <w:r>
        <w:t xml:space="preserve"> </w:t>
      </w:r>
      <w:r>
        <w:rPr>
          <w:rStyle w:val="VerbatimChar"/>
          <w:rFonts w:hint="eastAsia"/>
        </w:rPr>
        <w:t xml:space="preserve">[T8修正]</w:t>
      </w:r>
      <w:r>
        <w:t xml:space="preserve"> </w:t>
      </w:r>
      <w:r>
        <w:rPr>
          <w:rFonts w:hint="eastAsia"/>
        </w:rPr>
        <w:t xml:space="preserve">を付記</w:t>
      </w:r>
    </w:p>
    <w:p>
      <w:r>
        <w:pict>
          <v:rect style="width:0;height:1.5pt" o:hralign="center" o:hrstd="t" o:hr="t"/>
        </w:pict>
      </w:r>
    </w:p>
    <w:bookmarkEnd w:id="11"/>
    <w:bookmarkStart w:id="26" w:name="主張別詳細評価"/>
    <w:p>
      <w:pPr>
        <w:pStyle w:val="Heading2"/>
      </w:pPr>
      <w:r>
        <w:t xml:space="preserve">3. </w:t>
      </w:r>
      <w:r>
        <w:rPr>
          <w:rFonts w:hint="eastAsia"/>
        </w:rPr>
        <w:t xml:space="preserve">主張別詳細評価</w:t>
      </w:r>
    </w:p>
    <w:p>
      <w:r>
        <w:pict>
          <v:rect style="width:0;height:1.5pt" o:hralign="center" o:hrstd="t" o:hr="t"/>
        </w:pict>
      </w:r>
    </w:p>
    <w:bookmarkStart w:id="13" w:name="主張-1-格付け事業の寡占構造による構造的参入障壁"/>
    <w:p>
      <w:pPr>
        <w:pStyle w:val="Heading3"/>
      </w:pPr>
      <w:r>
        <w:rPr>
          <w:rFonts w:hint="eastAsia"/>
        </w:rPr>
        <w:t xml:space="preserve">主張</w:t>
      </w:r>
      <w:r>
        <w:t xml:space="preserve"> #1: </w:t>
      </w:r>
      <w:r>
        <w:rPr>
          <w:rFonts w:hint="eastAsia"/>
        </w:rPr>
        <w:t xml:space="preserve">格付け事業の寡占構造による構造的参入障壁</w:t>
      </w:r>
    </w:p>
    <w:bookmarkStart w:id="12" w:name="Xe02f8ed71ad396ee8961062d06ea00a6fd3439c"/>
    <w:p>
      <w:pPr>
        <w:pStyle w:val="Heading4"/>
      </w:pPr>
      <w:r>
        <w:rPr>
          <w:rFonts w:hint="eastAsia"/>
        </w:rPr>
        <w:t xml:space="preserve">AI評価:</w:t>
      </w:r>
      <w:r>
        <w:t xml:space="preserve"> </w:t>
      </w:r>
      <w:r>
        <w:rPr>
          <w:rFonts w:hint="eastAsia"/>
        </w:rPr>
        <w:t xml:space="preserve">かなり納得（90%）</w:t>
      </w:r>
      <w:r>
        <w:t xml:space="preserve"> </w:t>
      </w:r>
      <w:r>
        <w:rPr>
          <w:rFonts w:hint="eastAsia"/>
        </w:rPr>
        <w:t xml:space="preserve">[T8注記:</w:t>
      </w:r>
      <w:r>
        <w:t xml:space="preserve"> </w:t>
      </w:r>
      <w:r>
        <w:rPr>
          <w:rFonts w:hint="eastAsia"/>
        </w:rPr>
        <w:t xml:space="preserve">業界構造の恩恵であることを明記。MCO固有能力との区別が必要]</w:t>
      </w:r>
    </w:p>
    <w:p>
      <w:pPr>
        <w:pStyle w:val="FirstParagraph"/>
      </w:pPr>
      <w:r>
        <w:rPr>
          <w:rFonts w:hint="eastAsia"/>
        </w:rPr>
        <w:t xml:space="preserve">格付け市場はMCOとSPGIで約8割を占め、過去20年ほぼシェア変動なし。信用付与業態のトラックレコード重視性と2社取得慣行が構造的参入障壁を形成している。</w:t>
      </w:r>
      <w:r>
        <w:rPr>
          <w:rFonts w:hint="eastAsia"/>
        </w:rPr>
        <w:t xml:space="preserve">これは教科書的な構造的優位性であり、ルール11（業界構造×企業ポジションの合致）を最も明確に満たす</w:t>
      </w:r>
      <w:r>
        <w:rPr>
          <w:rFonts w:hint="eastAsia"/>
        </w:rPr>
        <w:t xml:space="preserve">。KB3のORLY#2（フラグメント市場×規模=90%）が業界構造合致の基準だが、MCOの寡占構造×参入障壁はそれと同等以上に強固である。</w:t>
      </w:r>
    </w:p>
    <w:p>
      <w:pPr>
        <w:pStyle w:val="BodyText"/>
      </w:pPr>
      <w:r>
        <w:rPr>
          <w:rFonts w:hint="eastAsia"/>
        </w:rPr>
        <w:t xml:space="preserve">ただし、この優位性は「MCO固有の能力」というよりは「格付け業界の構造的特性がMCOに恩恵をもたらしている」という位置づけが正確</w:t>
      </w:r>
      <w:r>
        <w:rPr>
          <w:rFonts w:hint="eastAsia"/>
        </w:rPr>
        <w:t xml:space="preserve">である。SPGI対比でのMCO選好理由は格付け事業ウェイト（50%</w:t>
      </w:r>
      <w:r>
        <w:t xml:space="preserve"> vs </w:t>
      </w:r>
      <w:r>
        <w:rPr>
          <w:rFonts w:hint="eastAsia"/>
        </w:rPr>
        <w:t xml:space="preserve">30%弱）という財務構成比に限定される。</w:t>
      </w:r>
    </w:p>
    <w:p>
      <w:pPr>
        <w:pStyle w:val="BodyText"/>
      </w:pPr>
      <w:r>
        <w:rPr>
          <w:rFonts w:hint="eastAsia"/>
          <w:b/>
          <w:bCs/>
        </w:rPr>
        <w:t xml:space="preserve">納得できる点</w:t>
      </w:r>
      <w:r>
        <w:t xml:space="preserve">: </w:t>
      </w:r>
      <w:r>
        <w:rPr>
          <w:rFonts w:hint="eastAsia"/>
        </w:rPr>
        <w:t xml:space="preserve">シェア比率（MCO/SPGI各40%、Fitch20%弱）が定量的に示され、20年の安定性が実証済み。2社取得慣行というメカニズムが明確。</w:t>
      </w:r>
    </w:p>
    <w:p>
      <w:pPr>
        <w:pStyle w:val="BodyText"/>
      </w:pPr>
      <w:r>
        <w:rPr>
          <w:rFonts w:hint="eastAsia"/>
          <w:b/>
          <w:bCs/>
        </w:rPr>
        <w:t xml:space="preserve">懸念点</w:t>
      </w:r>
      <w:r>
        <w:t xml:space="preserve">: </w:t>
      </w:r>
      <w:r>
        <w:rPr>
          <w:rFonts w:hint="eastAsia"/>
        </w:rPr>
        <w:t xml:space="preserve">SPGIとの格付けの質での差別化は限定的。MCO選好理由は格付け事業ウェイトの高さ（50%</w:t>
      </w:r>
      <w:r>
        <w:t xml:space="preserve"> vs </w:t>
      </w:r>
      <w:r>
        <w:rPr>
          <w:rFonts w:hint="eastAsia"/>
        </w:rPr>
        <w:t xml:space="preserve">30%弱）であり、格付け事業自体でのMCO固有の優位性は見えにくい。</w:t>
      </w:r>
    </w:p>
    <w:p>
      <w:pPr>
        <w:pStyle w:val="BlockText"/>
      </w:pPr>
      <w:r>
        <w:rPr>
          <w:rFonts w:hint="eastAsia"/>
          <w:b/>
          <w:bCs/>
        </w:rPr>
        <w:t xml:space="preserve">[注1]</w:t>
      </w:r>
      <w:r>
        <w:rPr>
          <w:b/>
          <w:bCs/>
        </w:rPr>
        <w:t xml:space="preserve"> </w:t>
      </w:r>
      <w:r>
        <w:rPr>
          <w:rFonts w:hint="eastAsia"/>
          <w:b/>
          <w:bCs/>
        </w:rPr>
        <w:t xml:space="preserve">T8批判</w:t>
      </w:r>
      <w:r>
        <w:rPr>
          <w:b/>
          <w:bCs/>
        </w:rPr>
        <w:t xml:space="preserve"> (critical): </w:t>
      </w:r>
      <w:r>
        <w:rPr>
          <w:rFonts w:hint="eastAsia"/>
          <w:b/>
          <w:bCs/>
        </w:rPr>
        <w:t xml:space="preserve">業界構造の恩恵</w:t>
      </w:r>
      <w:r>
        <w:rPr>
          <w:b/>
          <w:bCs/>
        </w:rPr>
        <w:t xml:space="preserve"> vs </w:t>
      </w:r>
      <w:r>
        <w:rPr>
          <w:rFonts w:hint="eastAsia"/>
          <w:b/>
          <w:bCs/>
        </w:rPr>
        <w:t xml:space="preserve">MCO固有能力の区別</w:t>
      </w:r>
    </w:p>
    <w:p>
      <w:pPr>
        <w:pStyle w:val="BlockText"/>
      </w:pPr>
      <w:r>
        <w:t xml:space="preserve">KB3 </w:t>
      </w:r>
      <w:r>
        <w:rPr>
          <w:rFonts w:hint="eastAsia"/>
        </w:rPr>
        <w:t xml:space="preserve">ORLY#2（90%）では「規模・密度・ネットワーク」というORLY固有の競争能力が90%の根拠であったが、MCOの寡占構造はMCO固有の能力ではなく業界構造そのものである。SPGIも全く同等にこの構造の恩恵を受けている。ルール7がPARTIALであるにもかかわらず90%を維持することの妥当性について検討した。</w:t>
      </w:r>
    </w:p>
    <w:p>
      <w:pPr>
        <w:pStyle w:val="BlockText"/>
      </w:pPr>
      <w:r>
        <w:rPr>
          <w:rFonts w:hint="eastAsia"/>
          <w:b/>
          <w:bCs/>
        </w:rPr>
        <w:t xml:space="preserve">T8の判断</w:t>
      </w:r>
      <w:r>
        <w:t xml:space="preserve">: </w:t>
      </w:r>
      <w:r>
        <w:rPr>
          <w:rFonts w:hint="eastAsia"/>
        </w:rPr>
        <w:t xml:space="preserve">90%を維持する。根拠：(1)</w:t>
      </w:r>
      <w:r>
        <w:t xml:space="preserve"> </w:t>
      </w:r>
      <w:r>
        <w:rPr>
          <w:rFonts w:hint="eastAsia"/>
        </w:rPr>
        <w:t xml:space="preserve">20年のシェア安定性はORLY以上に堅固、(2)</w:t>
      </w:r>
      <w:r>
        <w:t xml:space="preserve"> </w:t>
      </w:r>
      <w:r>
        <w:rPr>
          <w:rFonts w:hint="eastAsia"/>
        </w:rPr>
        <w:t xml:space="preserve">2社取得慣行は格付け業界固有で他に類例なし、(3)</w:t>
      </w:r>
      <w:r>
        <w:t xml:space="preserve"> </w:t>
      </w:r>
      <w:r>
        <w:rPr>
          <w:rFonts w:hint="eastAsia"/>
        </w:rPr>
        <w:t xml:space="preserve">Fitchに対する明確な差別化は存在。ただし「MCO固有の優位性」ではなく「業界構造の恩恵をMCOが享受」という位置づけを明記し、SPGI対比でのMCO選好理由が事業構成比に限定される点を注記する。</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ascii="Times New Roman" w:hAnsi="Times New Roman" w:eastAsia="游明朝"/>
                <w:sz w:val="18"/>
              </w:rPr>
              <w:t xml:space="preserve">1. </w:t>
            </w:r>
            <w:r>
              <w:rPr>
                <w:rFonts w:hint="eastAsia" w:ascii="Times New Roman" w:hAnsi="Times New Roman" w:eastAsia="游明朝"/>
                <w:sz w:val="18"/>
              </w:rPr>
              <w:t xml:space="preserve">能力</w:t>
            </w:r>
            <w:r>
              <w:rPr>
                <w:rFonts w:ascii="Times New Roman" w:hAnsi="Times New Roman" w:eastAsia="游明朝"/>
                <w:sz w:val="18"/>
              </w:rPr>
              <w:t xml:space="preserve"> vs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寡占構造・参入障壁は能力/仕組み</w:t>
            </w:r>
          </w:p>
        </w:tc>
      </w:tr>
      <w:tr>
        <w:tc>
          <w:tcPr/>
          <w:p>
            <w:pPr>
              <w:pStyle w:val="Compact"/>
            </w:pPr>
            <w:r>
              <w:rPr>
                <w:rFonts w:ascii="Times New Roman" w:hAnsi="Times New Roman" w:eastAsia="游明朝"/>
                <w:sz w:val="18"/>
              </w:rPr>
              <w:t xml:space="preserve">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「寡占構造」「参入障壁」</w:t>
            </w:r>
          </w:p>
        </w:tc>
      </w:tr>
      <w:tr>
        <w:tc>
          <w:tcPr/>
          <w:p>
            <w:pPr>
              <w:pStyle w:val="Compact"/>
            </w:pPr>
            <w:r>
              <w:rPr>
                <w:rFonts w:ascii="Times New Roman" w:hAnsi="Times New Roman" w:eastAsia="游明朝"/>
                <w:sz w:val="18"/>
              </w:rPr>
              <w:t xml:space="preserve">4. </w:t>
            </w:r>
            <w:r>
              <w:rPr>
                <w:rFonts w:hint="eastAsia" w:ascii="Times New Roman" w:hAnsi="Times New Roman" w:eastAsia="游明朝"/>
                <w:sz w:val="18"/>
              </w:rPr>
              <w:t xml:space="preserve">定量的裏付け</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シェア比率、20年安定性</w:t>
            </w:r>
          </w:p>
        </w:tc>
      </w:tr>
      <w:tr>
        <w:tc>
          <w:tcPr/>
          <w:p>
            <w:pPr>
              <w:pStyle w:val="Compact"/>
            </w:pPr>
            <w:r>
              <w:rPr>
                <w:rFonts w:ascii="Times New Roman" w:hAnsi="Times New Roman" w:eastAsia="游明朝"/>
                <w:sz w:val="18"/>
              </w:rPr>
              <w:t xml:space="preserve">6. </w:t>
            </w:r>
            <w:r>
              <w:rPr>
                <w:rFonts w:hint="eastAsia" w:ascii="Times New Roman" w:hAnsi="Times New Roman" w:eastAsia="游明朝"/>
                <w:sz w:val="18"/>
              </w:rPr>
              <w:t xml:space="preserve">構造的</w:t>
            </w:r>
            <w:r>
              <w:rPr>
                <w:rFonts w:ascii="Times New Roman" w:hAnsi="Times New Roman" w:eastAsia="游明朝"/>
                <w:sz w:val="18"/>
              </w:rPr>
              <w:t xml:space="preserve"> vs </w:t>
            </w:r>
            <w:r>
              <w:rPr>
                <w:rFonts w:hint="eastAsia" w:ascii="Times New Roman" w:hAnsi="Times New Roman" w:eastAsia="游明朝"/>
                <w:sz w:val="18"/>
              </w:rPr>
              <w:t xml:space="preserve">補完的</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核心的構造要素</w:t>
            </w:r>
          </w:p>
        </w:tc>
      </w:tr>
      <w:tr>
        <w:tc>
          <w:tcPr/>
          <w:p>
            <w:pPr>
              <w:pStyle w:val="Compact"/>
            </w:pPr>
            <w:r>
              <w:rPr>
                <w:rFonts w:ascii="Times New Roman" w:hAnsi="Times New Roman" w:eastAsia="游明朝"/>
                <w:sz w:val="18"/>
              </w:rPr>
              <w:t xml:space="preserve">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SPGI同等。Fitchには明確優位</w:t>
            </w:r>
          </w:p>
        </w:tc>
      </w:tr>
      <w:tr>
        <w:tc>
          <w:tcPr/>
          <w:p>
            <w:pPr>
              <w:pStyle w:val="Compact"/>
            </w:pPr>
            <w:r>
              <w:rPr>
                <w:rFonts w:ascii="Times New Roman" w:hAnsi="Times New Roman" w:eastAsia="游明朝"/>
                <w:sz w:val="18"/>
              </w:rPr>
              <w:t xml:space="preserve">8. </w:t>
            </w:r>
            <w:r>
              <w:rPr>
                <w:rFonts w:hint="eastAsia" w:ascii="Times New Roman" w:hAnsi="Times New Roman" w:eastAsia="游明朝"/>
                <w:sz w:val="18"/>
              </w:rPr>
              <w:t xml:space="preserve">戦略</w:t>
            </w:r>
            <w:r>
              <w:rPr>
                <w:rFonts w:ascii="Times New Roman" w:hAnsi="Times New Roman" w:eastAsia="游明朝"/>
                <w:sz w:val="18"/>
              </w:rPr>
              <w:t xml:space="preserve"> vs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市場構造であり戦略ではない</w:t>
            </w:r>
          </w:p>
        </w:tc>
      </w:tr>
      <w:tr>
        <w:tc>
          <w:tcPr/>
          <w:p>
            <w:pPr>
              <w:pStyle w:val="Compact"/>
            </w:pPr>
            <w:r>
              <w:rPr>
                <w:rFonts w:ascii="Times New Roman" w:hAnsi="Times New Roman" w:eastAsia="游明朝"/>
                <w:sz w:val="18"/>
              </w:rPr>
              <w:t xml:space="preserve">10. ネガティブケース</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20年シェア安定が間接的裏付け</w:t>
            </w:r>
          </w:p>
        </w:tc>
      </w:tr>
      <w:tr>
        <w:tc>
          <w:tcPr/>
          <w:p>
            <w:pPr>
              <w:pStyle w:val="Compact"/>
            </w:pPr>
            <w:r>
              <w:rPr>
                <w:rFonts w:ascii="Times New Roman" w:hAnsi="Times New Roman" w:eastAsia="游明朝"/>
                <w:sz w:val="18"/>
              </w:rPr>
              <w:t xml:space="preserve">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寡占市場×トラックレコード×2社慣行</w:t>
            </w:r>
          </w:p>
        </w:tc>
      </w:tr>
    </w:tbl>
    <w:p>
      <w:pPr>
        <w:pStyle w:val="BodyText"/>
      </w:pPr>
      <w:r>
        <w:rPr>
          <w:rFonts w:hint="eastAsia"/>
          <w:b/>
          <w:bCs/>
        </w:rPr>
        <w:t xml:space="preserve">検出パターン</w:t>
      </w:r>
      <w:r>
        <w:t xml:space="preserve">: </w:t>
      </w:r>
      <w:r>
        <w:rPr>
          <w:rFonts w:hint="eastAsia"/>
        </w:rPr>
        <w:t xml:space="preserve">パターンIV（構造的市場ポジション）、パターンG（SPGIとの差別化不明）</w:t>
      </w:r>
    </w:p>
    <w:p>
      <w:pPr>
        <w:pStyle w:val="BodyText"/>
      </w:pPr>
      <w:r>
        <w:rPr>
          <w:rFonts w:hint="eastAsia"/>
          <w:b/>
          <w:bCs/>
        </w:rPr>
        <w:t xml:space="preserve">CAGR接続（90%）</w:t>
      </w:r>
      <w:r>
        <w:t xml:space="preserve">: </w:t>
      </w:r>
      <w:r>
        <w:rPr>
          <w:rFonts w:hint="eastAsia"/>
        </w:rPr>
        <w:t xml:space="preserve">寡占構造→安定的な格付け収入基盤→MIS</w:t>
      </w:r>
      <w:r>
        <w:t xml:space="preserve"> CAGR </w:t>
      </w:r>
      <w:r>
        <w:rPr>
          <w:rFonts w:hint="eastAsia"/>
        </w:rPr>
        <w:t xml:space="preserve">+6%。1ステップで直結。債券発行はGDP成長に連動し、シェア安定性がCAGR予見性を高める。開示データで検証可能。</w:t>
      </w:r>
    </w:p>
    <w:p>
      <w:r>
        <w:pict>
          <v:rect style="width:0;height:1.5pt" o:hralign="center" o:hrstd="t" o:hr="t"/>
        </w:pict>
      </w:r>
    </w:p>
    <w:p>
      <w:pPr>
        <w:pStyle w:val="FirstParagraph"/>
      </w:pPr>
      <w:r>
        <w:rPr>
          <w:rFonts w:hint="eastAsia"/>
          <w:b/>
          <w:bCs/>
        </w:rPr>
        <w:t xml:space="preserve">納得度:</w:t>
      </w:r>
      <w:r>
        <w:t xml:space="preserve"> </w:t>
      </w:r>
      <w:r>
        <w:t xml:space="preserve">10% / 30% / 50% / 70% /</w:t>
      </w:r>
      <w:r>
        <w:t xml:space="preserve"> </w:t>
      </w:r>
      <w:r>
        <w:rPr>
          <w:b/>
          <w:bCs/>
        </w:rPr>
        <w:t xml:space="preserve">90%</w:t>
      </w:r>
      <w:r>
        <w:t xml:space="preserve"> </w:t>
      </w:r>
      <w:r>
        <w:t xml:space="preserve">&lt;– </w:t>
      </w:r>
      <w:r>
        <w:rPr>
          <w:rFonts w:hint="eastAsia"/>
        </w:rPr>
        <w:t xml:space="preserve">AI評価（T8修正後の最終値）</w:t>
      </w:r>
    </w:p>
    <w:p>
      <w:r>
        <w:pict>
          <v:rect style="width:0;height:1.5pt" o:hralign="center" o:hrstd="t" o:hr="t"/>
        </w:pict>
      </w:r>
    </w:p>
    <w:bookmarkEnd w:id="12"/>
    <w:bookmarkEnd w:id="13"/>
    <w:bookmarkStart w:id="15" w:name="主張-2-格付け事業のプライシングパワー価格交渉力"/>
    <w:p>
      <w:pPr>
        <w:pStyle w:val="Heading3"/>
      </w:pPr>
      <w:r>
        <w:rPr>
          <w:rFonts w:hint="eastAsia"/>
        </w:rPr>
        <w:t xml:space="preserve">主張</w:t>
      </w:r>
      <w:r>
        <w:t xml:space="preserve"> #2: </w:t>
      </w:r>
      <w:r>
        <w:rPr>
          <w:rFonts w:hint="eastAsia"/>
        </w:rPr>
        <w:t xml:space="preserve">格付け事業のプライシングパワー（価格交渉力）</w:t>
      </w:r>
    </w:p>
    <w:bookmarkStart w:id="14" w:name="ai評価-おおむね納得70"/>
    <w:p>
      <w:pPr>
        <w:pStyle w:val="Heading4"/>
      </w:pPr>
      <w:r>
        <w:rPr>
          <w:rFonts w:hint="eastAsia"/>
        </w:rPr>
        <w:t xml:space="preserve">AI評価:</w:t>
      </w:r>
      <w:r>
        <w:t xml:space="preserve"> </w:t>
      </w:r>
      <w:r>
        <w:rPr>
          <w:rFonts w:hint="eastAsia"/>
        </w:rPr>
        <w:t xml:space="preserve">おおむね納得（70%）</w:t>
      </w:r>
    </w:p>
    <w:p>
      <w:pPr>
        <w:pStyle w:val="FirstParagraph"/>
      </w:pPr>
      <w:r>
        <w:rPr>
          <w:rFonts w:hint="eastAsia"/>
        </w:rPr>
        <w:t xml:space="preserve">寡占構造を背景に年間+2-3%（会社見解）、CS証券推定で過去10年平均+4-5%の価格引き上げを継続。格付け会社変更のリスクが高く、手数料引き上げへの抵抗は低い。定量的な裏付けが豊富で説明力は高い。</w:t>
      </w:r>
    </w:p>
    <w:p>
      <w:pPr>
        <w:pStyle w:val="BodyText"/>
      </w:pPr>
      <w:r>
        <w:rPr>
          <w:rFonts w:hint="eastAsia"/>
        </w:rPr>
        <w:t xml:space="preserve">ただしプライシングパワーはclaim#1（寡占構造）の派生的帰結であり、独立した優位性としての付加価値は限定的。SPGIも同等のプライシングパワーを持つ可能性が高く、MCO固有の差別化ではない。</w:t>
      </w:r>
      <w:r>
        <w:rPr>
          <w:rFonts w:hint="eastAsia"/>
        </w:rPr>
        <w:t xml:space="preserve">90%としないのは独立性の弱さとSPGI同等性のため</w:t>
      </w:r>
      <w:r>
        <w:t xml:space="preserve">。</w:t>
      </w:r>
    </w:p>
    <w:p>
      <w:pPr>
        <w:pStyle w:val="BodyText"/>
      </w:pPr>
      <w:r>
        <w:rPr>
          <w:rFonts w:hint="eastAsia"/>
          <w:b/>
          <w:bCs/>
        </w:rPr>
        <w:t xml:space="preserve">納得できる点</w:t>
      </w:r>
      <w:r>
        <w:t xml:space="preserve">: </w:t>
      </w:r>
      <w:r>
        <w:rPr>
          <w:rFonts w:hint="eastAsia"/>
        </w:rPr>
        <w:t xml:space="preserve">年+2-3%（会社見解）、+4-5%（CS推定）、MA+3-4%、生成AI+3割と複数ソースの定量データ。「手数料を上げてより高い格付けを得ようとするインセンティブが強く価格競争は起きにくい」という構造的説明。</w:t>
      </w:r>
    </w:p>
    <w:p>
      <w:pPr>
        <w:pStyle w:val="BodyText"/>
      </w:pPr>
      <w:r>
        <w:rPr>
          <w:rFonts w:hint="eastAsia"/>
          <w:b/>
          <w:bCs/>
        </w:rPr>
        <w:t xml:space="preserve">懸念点</w:t>
      </w:r>
      <w:r>
        <w:t xml:space="preserve">: </w:t>
      </w:r>
      <w:r>
        <w:rPr>
          <w:rFonts w:hint="eastAsia"/>
        </w:rPr>
        <w:t xml:space="preserve">claim#1の派生であり独立性が弱い。SPGIも同等の恩恵。</w:t>
      </w:r>
    </w:p>
    <w:p>
      <w:pPr>
        <w:pStyle w:val="BodyText"/>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ascii="Times New Roman" w:hAnsi="Times New Roman" w:eastAsia="游明朝"/>
                <w:sz w:val="18"/>
              </w:rPr>
              <w:t xml:space="preserve">1. </w:t>
            </w:r>
            <w:r>
              <w:rPr>
                <w:rFonts w:hint="eastAsia" w:ascii="Times New Roman" w:hAnsi="Times New Roman" w:eastAsia="游明朝"/>
                <w:sz w:val="18"/>
              </w:rPr>
              <w:t xml:space="preserve">能力</w:t>
            </w:r>
            <w:r>
              <w:rPr>
                <w:rFonts w:ascii="Times New Roman" w:hAnsi="Times New Roman" w:eastAsia="游明朝"/>
                <w:sz w:val="18"/>
              </w:rPr>
              <w:t xml:space="preserve"> vs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価格交渉力は能力</w:t>
            </w:r>
          </w:p>
        </w:tc>
      </w:tr>
      <w:tr>
        <w:tc>
          <w:tcPr/>
          <w:p>
            <w:pPr>
              <w:pStyle w:val="Compact"/>
            </w:pPr>
            <w:r>
              <w:rPr>
                <w:rFonts w:ascii="Times New Roman" w:hAnsi="Times New Roman" w:eastAsia="游明朝"/>
                <w:sz w:val="18"/>
              </w:rPr>
              <w:t xml:space="preserve">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ascii="Times New Roman" w:hAnsi="Times New Roman" w:eastAsia="游明朝"/>
                <w:sz w:val="18"/>
              </w:rPr>
              <w:t xml:space="preserve">「プライシングパワー」</w:t>
            </w:r>
          </w:p>
        </w:tc>
      </w:tr>
      <w:tr>
        <w:tc>
          <w:tcPr/>
          <w:p>
            <w:pPr>
              <w:pStyle w:val="Compact"/>
            </w:pPr>
            <w:r>
              <w:rPr>
                <w:rFonts w:ascii="Times New Roman" w:hAnsi="Times New Roman" w:eastAsia="游明朝"/>
                <w:sz w:val="18"/>
              </w:rPr>
              <w:t xml:space="preserve">4. </w:t>
            </w:r>
            <w:r>
              <w:rPr>
                <w:rFonts w:hint="eastAsia" w:ascii="Times New Roman" w:hAnsi="Times New Roman" w:eastAsia="游明朝"/>
                <w:sz w:val="18"/>
              </w:rPr>
              <w:t xml:space="preserve">定量的裏付け</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複数ソースの価格データ</w:t>
            </w:r>
          </w:p>
        </w:tc>
      </w:tr>
      <w:tr>
        <w:tc>
          <w:tcPr/>
          <w:p>
            <w:pPr>
              <w:pStyle w:val="Compact"/>
            </w:pPr>
            <w:r>
              <w:rPr>
                <w:rFonts w:ascii="Times New Roman" w:hAnsi="Times New Roman" w:eastAsia="游明朝"/>
                <w:sz w:val="18"/>
              </w:rPr>
              <w:t xml:space="preserve">6. </w:t>
            </w:r>
            <w:r>
              <w:rPr>
                <w:rFonts w:hint="eastAsia" w:ascii="Times New Roman" w:hAnsi="Times New Roman" w:eastAsia="游明朝"/>
                <w:sz w:val="18"/>
              </w:rPr>
              <w:t xml:space="preserve">構造的</w:t>
            </w:r>
            <w:r>
              <w:rPr>
                <w:rFonts w:ascii="Times New Roman" w:hAnsi="Times New Roman" w:eastAsia="游明朝"/>
                <w:sz w:val="18"/>
              </w:rPr>
              <w:t xml:space="preserve"> vs </w:t>
            </w:r>
            <w:r>
              <w:rPr>
                <w:rFonts w:hint="eastAsia" w:ascii="Times New Roman" w:hAnsi="Times New Roman" w:eastAsia="游明朝"/>
                <w:sz w:val="18"/>
              </w:rPr>
              <w:t xml:space="preserve">補完的</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事業モデルの核心</w:t>
            </w:r>
          </w:p>
        </w:tc>
      </w:tr>
      <w:tr>
        <w:tc>
          <w:tcPr/>
          <w:p>
            <w:pPr>
              <w:pStyle w:val="Compact"/>
            </w:pPr>
            <w:r>
              <w:rPr>
                <w:rFonts w:ascii="Times New Roman" w:hAnsi="Times New Roman" w:eastAsia="游明朝"/>
                <w:sz w:val="18"/>
              </w:rPr>
              <w:t xml:space="preserve">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SPGI同等</w:t>
            </w:r>
          </w:p>
        </w:tc>
      </w:tr>
      <w:tr>
        <w:tc>
          <w:tcPr/>
          <w:p>
            <w:pPr>
              <w:pStyle w:val="Compact"/>
            </w:pPr>
            <w:r>
              <w:rPr>
                <w:rFonts w:ascii="Times New Roman" w:hAnsi="Times New Roman" w:eastAsia="游明朝"/>
                <w:sz w:val="18"/>
              </w:rPr>
              <w:t xml:space="preserve">8. </w:t>
            </w:r>
            <w:r>
              <w:rPr>
                <w:rFonts w:hint="eastAsia" w:ascii="Times New Roman" w:hAnsi="Times New Roman" w:eastAsia="游明朝"/>
                <w:sz w:val="18"/>
              </w:rPr>
              <w:t xml:space="preserve">戦略</w:t>
            </w:r>
            <w:r>
              <w:rPr>
                <w:rFonts w:ascii="Times New Roman" w:hAnsi="Times New Roman" w:eastAsia="游明朝"/>
                <w:sz w:val="18"/>
              </w:rPr>
              <w:t xml:space="preserve"> vs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構造的な力</w:t>
            </w:r>
          </w:p>
        </w:tc>
      </w:tr>
      <w:tr>
        <w:tc>
          <w:tcPr/>
          <w:p>
            <w:pPr>
              <w:pStyle w:val="Compact"/>
            </w:pPr>
            <w:r>
              <w:rPr>
                <w:rFonts w:ascii="Times New Roman" w:hAnsi="Times New Roman" w:eastAsia="游明朝"/>
                <w:sz w:val="18"/>
              </w:rPr>
              <w:t xml:space="preserve">10. ネガティブケース</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値下げ競争の不存在</w:t>
            </w:r>
          </w:p>
        </w:tc>
      </w:tr>
      <w:tr>
        <w:tc>
          <w:tcPr/>
          <w:p>
            <w:pPr>
              <w:pStyle w:val="Compact"/>
            </w:pPr>
            <w:r>
              <w:rPr>
                <w:rFonts w:ascii="Times New Roman" w:hAnsi="Times New Roman" w:eastAsia="游明朝"/>
                <w:sz w:val="18"/>
              </w:rPr>
              <w:t xml:space="preserve">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寡占構造に起因</w:t>
            </w:r>
          </w:p>
        </w:tc>
      </w:tr>
    </w:tbl>
    <w:p>
      <w:pPr>
        <w:pStyle w:val="BodyText"/>
      </w:pPr>
      <w:r>
        <w:rPr>
          <w:rFonts w:hint="eastAsia"/>
          <w:b/>
          <w:bCs/>
        </w:rPr>
        <w:t xml:space="preserve">検出パターン</w:t>
      </w:r>
      <w:r>
        <w:t xml:space="preserve">: </w:t>
      </w:r>
      <w:r>
        <w:rPr>
          <w:rFonts w:hint="eastAsia"/>
        </w:rPr>
        <w:t xml:space="preserve">パターンI（定量的裏付け）、パターンII（直接的CAGRメカニズム）</w:t>
      </w:r>
    </w:p>
    <w:p>
      <w:pPr>
        <w:pStyle w:val="BodyText"/>
      </w:pPr>
      <w:r>
        <w:rPr>
          <w:rFonts w:hint="eastAsia"/>
          <w:b/>
          <w:bCs/>
        </w:rPr>
        <w:t xml:space="preserve">CAGR接続（90%）</w:t>
      </w:r>
      <w:r>
        <w:t xml:space="preserve">: </w:t>
      </w:r>
      <w:r>
        <w:rPr>
          <w:rFonts w:hint="eastAsia"/>
        </w:rPr>
        <w:t xml:space="preserve">プライシングパワー→CAGR内「価格効果+2.5%」に直接対応。過去実績+4-5%に対し保守的な+2.5%で達成確度高い。</w:t>
      </w:r>
    </w:p>
    <w:p>
      <w:r>
        <w:pict>
          <v:rect style="width:0;height:1.5pt" o:hralign="center" o:hrstd="t" o:hr="t"/>
        </w:pict>
      </w:r>
    </w:p>
    <w:p>
      <w:pPr>
        <w:pStyle w:val="FirstParagraph"/>
      </w:pPr>
      <w:r>
        <w:rPr>
          <w:rFonts w:hint="eastAsia"/>
          <w:b/>
          <w:bCs/>
        </w:rPr>
        <w:t xml:space="preserve">納得度:</w:t>
      </w:r>
      <w:r>
        <w:t xml:space="preserve"> </w:t>
      </w:r>
      <w:r>
        <w:t xml:space="preserve">10% / 30% / 50% /</w:t>
      </w:r>
      <w:r>
        <w:t xml:space="preserve"> </w:t>
      </w:r>
      <w:r>
        <w:rPr>
          <w:b/>
          <w:bCs/>
        </w:rPr>
        <w:t xml:space="preserve">70%</w:t>
      </w:r>
      <w:r>
        <w:t xml:space="preserve"> </w:t>
      </w:r>
      <w:r>
        <w:t xml:space="preserve">/ 90% &lt;– </w:t>
      </w:r>
      <w:r>
        <w:rPr>
          <w:rFonts w:hint="eastAsia"/>
        </w:rPr>
        <w:t xml:space="preserve">AI評価（T8修正後の最終値）</w:t>
      </w:r>
    </w:p>
    <w:p>
      <w:r>
        <w:pict>
          <v:rect style="width:0;height:1.5pt" o:hralign="center" o:hrstd="t" o:hr="t"/>
        </w:pict>
      </w:r>
    </w:p>
    <w:bookmarkEnd w:id="14"/>
    <w:bookmarkEnd w:id="15"/>
    <w:bookmarkStart w:id="17" w:name="主張-3-格付け評価の経路依存性によるスイッチングコスト"/>
    <w:p>
      <w:pPr>
        <w:pStyle w:val="Heading3"/>
      </w:pPr>
      <w:r>
        <w:rPr>
          <w:rFonts w:hint="eastAsia"/>
        </w:rPr>
        <w:t xml:space="preserve">主張</w:t>
      </w:r>
      <w:r>
        <w:t xml:space="preserve"> #3: </w:t>
      </w:r>
      <w:r>
        <w:rPr>
          <w:rFonts w:hint="eastAsia"/>
        </w:rPr>
        <w:t xml:space="preserve">格付け評価の経路依存性によるスイッチングコスト</w:t>
      </w:r>
    </w:p>
    <w:bookmarkStart w:id="16" w:name="ai評価-おおむね納得70-t8注記-claim1とのダブルカウントリスクを明記"/>
    <w:p>
      <w:pPr>
        <w:pStyle w:val="Heading4"/>
      </w:pPr>
      <w:r>
        <w:rPr>
          <w:rFonts w:hint="eastAsia"/>
        </w:rPr>
        <w:t xml:space="preserve">AI評価:</w:t>
      </w:r>
      <w:r>
        <w:t xml:space="preserve"> </w:t>
      </w:r>
      <w:r>
        <w:rPr>
          <w:rFonts w:hint="eastAsia"/>
        </w:rPr>
        <w:t xml:space="preserve">おおむね納得（70%）</w:t>
      </w:r>
      <w:r>
        <w:t xml:space="preserve"> </w:t>
      </w:r>
      <w:r>
        <w:rPr>
          <w:rFonts w:hint="eastAsia"/>
        </w:rPr>
        <w:t xml:space="preserve">[T8注記:</w:t>
      </w:r>
      <w:r>
        <w:t xml:space="preserve"> </w:t>
      </w:r>
      <w:r>
        <w:rPr>
          <w:rFonts w:hint="eastAsia"/>
        </w:rPr>
        <w:t xml:space="preserve">claim#1とのダブルカウントリスクを明記]</w:t>
      </w:r>
    </w:p>
    <w:p>
      <w:pPr>
        <w:pStyle w:val="FirstParagraph"/>
      </w:pPr>
      <w:r>
        <w:rPr>
          <w:rFonts w:hint="eastAsia"/>
        </w:rPr>
        <w:t xml:space="preserve">格付け会社を変えることは発行体にとって大きなリスク（格付け変更→市場混乱→投資家信頼喪失）であり、実質的にロックインされる。MA事業でも契約維持率93-94%が安定。CLO方法論の保守性が短期的に案件を失うことがあっても、長期の信頼性がブランドを支える。</w:t>
      </w:r>
    </w:p>
    <w:p>
      <w:pPr>
        <w:pStyle w:val="BodyText"/>
      </w:pPr>
      <w:r>
        <w:rPr>
          <w:rFonts w:hint="eastAsia"/>
        </w:rPr>
        <w:t xml:space="preserve">claim#1（寡占構造）との重複度が高く、独立した優位性としての付加価値は限定的。MIS側のスイッチングコスト定量化が不十分で、MA維持率93%は定量的だがMIS事業を直接的に示すものではない。</w:t>
      </w:r>
    </w:p>
    <w:p>
      <w:pPr>
        <w:pStyle w:val="BodyText"/>
      </w:pPr>
      <w:r>
        <w:rPr>
          <w:rFonts w:hint="eastAsia"/>
          <w:b/>
          <w:bCs/>
        </w:rPr>
        <w:t xml:space="preserve">納得できる点</w:t>
      </w:r>
      <w:r>
        <w:t xml:space="preserve">: </w:t>
      </w:r>
      <w:r>
        <w:rPr>
          <w:rFonts w:hint="eastAsia"/>
        </w:rPr>
        <w:t xml:space="preserve">経路依存性の理論的裏付け。MA維持率93-94%（複数四半期で一貫）。CLO保守性→短期案件喪失→長期信頼というネガティブケース的要素。</w:t>
      </w:r>
    </w:p>
    <w:p>
      <w:pPr>
        <w:pStyle w:val="BodyText"/>
      </w:pPr>
      <w:r>
        <w:rPr>
          <w:rFonts w:hint="eastAsia"/>
          <w:b/>
          <w:bCs/>
        </w:rPr>
        <w:t xml:space="preserve">懸念点</w:t>
      </w:r>
      <w:r>
        <w:t xml:space="preserve">: </w:t>
      </w:r>
      <w:r>
        <w:rPr>
          <w:rFonts w:hint="eastAsia"/>
        </w:rPr>
        <w:t xml:space="preserve">claim#1との重複大。MIS側のスイッチングコスト定量化なし。SPGIにも同様の特性。</w:t>
      </w:r>
    </w:p>
    <w:p>
      <w:pPr>
        <w:pStyle w:val="BlockText"/>
      </w:pPr>
      <w:r>
        <w:rPr>
          <w:rFonts w:hint="eastAsia"/>
          <w:b/>
          <w:bCs/>
        </w:rPr>
        <w:t xml:space="preserve">[注3]</w:t>
      </w:r>
      <w:r>
        <w:rPr>
          <w:b/>
          <w:bCs/>
        </w:rPr>
        <w:t xml:space="preserve"> </w:t>
      </w:r>
      <w:r>
        <w:rPr>
          <w:rFonts w:hint="eastAsia"/>
          <w:b/>
          <w:bCs/>
        </w:rPr>
        <w:t xml:space="preserve">T8批判</w:t>
      </w:r>
      <w:r>
        <w:rPr>
          <w:b/>
          <w:bCs/>
        </w:rPr>
        <w:t xml:space="preserve"> (minor): claim#1とのダブルカウントリスク</w:t>
      </w:r>
    </w:p>
    <w:p>
      <w:pPr>
        <w:pStyle w:val="BlockText"/>
      </w:pPr>
      <w:r>
        <w:rPr>
          <w:rFonts w:hint="eastAsia"/>
        </w:rPr>
        <w:t xml:space="preserve">claim#3はclaim#1（寡占構造90%）の説明メカニズムの一部であり、独立した優位性として計上するとダブルカウントが発生する。KB3のORLY#1（DIFM補充頻度70%）と#2（規模の経済90%）は異なるメカニズムで独立性が高かったが、MCOのスイッチングコストは寡占構造の直接的帰結であり分離が困難。</w:t>
      </w:r>
    </w:p>
    <w:p>
      <w:pPr>
        <w:pStyle w:val="BlockText"/>
      </w:pPr>
      <w:r>
        <w:rPr>
          <w:rFonts w:hint="eastAsia"/>
          <w:b/>
          <w:bCs/>
        </w:rPr>
        <w:t xml:space="preserve">T8の判断</w:t>
      </w:r>
      <w:r>
        <w:t xml:space="preserve">: CA confidence </w:t>
      </w:r>
      <w:r>
        <w:rPr>
          <w:rFonts w:hint="eastAsia"/>
        </w:rPr>
        <w:t xml:space="preserve">70%は維持するが、claim#1との重複度が高く、将来のKB改善では統合（claim#1に包含）を検討すべき材料として記録する。</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ascii="Times New Roman" w:hAnsi="Times New Roman" w:eastAsia="游明朝"/>
                <w:sz w:val="18"/>
              </w:rPr>
              <w:t xml:space="preserve">1. </w:t>
            </w:r>
            <w:r>
              <w:rPr>
                <w:rFonts w:hint="eastAsia" w:ascii="Times New Roman" w:hAnsi="Times New Roman" w:eastAsia="游明朝"/>
                <w:sz w:val="18"/>
              </w:rPr>
              <w:t xml:space="preserve">能力</w:t>
            </w:r>
            <w:r>
              <w:rPr>
                <w:rFonts w:ascii="Times New Roman" w:hAnsi="Times New Roman" w:eastAsia="游明朝"/>
                <w:sz w:val="18"/>
              </w:rPr>
              <w:t xml:space="preserve"> vs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スイッチングコストは構造的仕組み</w:t>
            </w:r>
          </w:p>
        </w:tc>
      </w:tr>
      <w:tr>
        <w:tc>
          <w:tcPr/>
          <w:p>
            <w:pPr>
              <w:pStyle w:val="Compact"/>
            </w:pPr>
            <w:r>
              <w:rPr>
                <w:rFonts w:ascii="Times New Roman" w:hAnsi="Times New Roman" w:eastAsia="游明朝"/>
                <w:sz w:val="18"/>
              </w:rPr>
              <w:t xml:space="preserve">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「スイッチングコスト」「経路依存性」</w:t>
            </w:r>
          </w:p>
        </w:tc>
      </w:tr>
      <w:tr>
        <w:tc>
          <w:tcPr/>
          <w:p>
            <w:pPr>
              <w:pStyle w:val="Compact"/>
            </w:pPr>
            <w:r>
              <w:rPr>
                <w:rFonts w:ascii="Times New Roman" w:hAnsi="Times New Roman" w:eastAsia="游明朝"/>
                <w:sz w:val="18"/>
              </w:rPr>
              <w:t xml:space="preserve">4. </w:t>
            </w:r>
            <w:r>
              <w:rPr>
                <w:rFonts w:hint="eastAsia" w:ascii="Times New Roman" w:hAnsi="Times New Roman" w:eastAsia="游明朝"/>
                <w:sz w:val="18"/>
              </w:rPr>
              <w:t xml:space="preserve">定量的裏付け</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MA維持率93%あり、MIS側は定性的</w:t>
            </w:r>
          </w:p>
        </w:tc>
      </w:tr>
      <w:tr>
        <w:tc>
          <w:tcPr/>
          <w:p>
            <w:pPr>
              <w:pStyle w:val="Compact"/>
            </w:pPr>
            <w:r>
              <w:rPr>
                <w:rFonts w:ascii="Times New Roman" w:hAnsi="Times New Roman" w:eastAsia="游明朝"/>
                <w:sz w:val="18"/>
              </w:rPr>
              <w:t xml:space="preserve">6. </w:t>
            </w:r>
            <w:r>
              <w:rPr>
                <w:rFonts w:hint="eastAsia" w:ascii="Times New Roman" w:hAnsi="Times New Roman" w:eastAsia="游明朝"/>
                <w:sz w:val="18"/>
              </w:rPr>
              <w:t xml:space="preserve">構造的</w:t>
            </w:r>
            <w:r>
              <w:rPr>
                <w:rFonts w:ascii="Times New Roman" w:hAnsi="Times New Roman" w:eastAsia="游明朝"/>
                <w:sz w:val="18"/>
              </w:rPr>
              <w:t xml:space="preserve"> vs </w:t>
            </w:r>
            <w:r>
              <w:rPr>
                <w:rFonts w:hint="eastAsia" w:ascii="Times New Roman" w:hAnsi="Times New Roman" w:eastAsia="游明朝"/>
                <w:sz w:val="18"/>
              </w:rPr>
              <w:t xml:space="preserve">補完的</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格付けビジネスの核心</w:t>
            </w:r>
          </w:p>
        </w:tc>
      </w:tr>
      <w:tr>
        <w:tc>
          <w:tcPr/>
          <w:p>
            <w:pPr>
              <w:pStyle w:val="Compact"/>
            </w:pPr>
            <w:r>
              <w:rPr>
                <w:rFonts w:ascii="Times New Roman" w:hAnsi="Times New Roman" w:eastAsia="游明朝"/>
                <w:sz w:val="18"/>
              </w:rPr>
              <w:t xml:space="preserve">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SPGI同等</w:t>
            </w:r>
          </w:p>
        </w:tc>
      </w:tr>
      <w:tr>
        <w:tc>
          <w:tcPr/>
          <w:p>
            <w:pPr>
              <w:pStyle w:val="Compact"/>
            </w:pPr>
            <w:r>
              <w:rPr>
                <w:rFonts w:ascii="Times New Roman" w:hAnsi="Times New Roman" w:eastAsia="游明朝"/>
                <w:sz w:val="18"/>
              </w:rPr>
              <w:t xml:space="preserve">8. </w:t>
            </w:r>
            <w:r>
              <w:rPr>
                <w:rFonts w:hint="eastAsia" w:ascii="Times New Roman" w:hAnsi="Times New Roman" w:eastAsia="游明朝"/>
                <w:sz w:val="18"/>
              </w:rPr>
              <w:t xml:space="preserve">戦略</w:t>
            </w:r>
            <w:r>
              <w:rPr>
                <w:rFonts w:ascii="Times New Roman" w:hAnsi="Times New Roman" w:eastAsia="游明朝"/>
                <w:sz w:val="18"/>
              </w:rPr>
              <w:t xml:space="preserve"> vs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市場構造の特性</w:t>
            </w:r>
          </w:p>
        </w:tc>
      </w:tr>
      <w:tr>
        <w:tc>
          <w:tcPr/>
          <w:p>
            <w:pPr>
              <w:pStyle w:val="Compact"/>
            </w:pPr>
            <w:r>
              <w:rPr>
                <w:rFonts w:ascii="Times New Roman" w:hAnsi="Times New Roman" w:eastAsia="游明朝"/>
                <w:sz w:val="18"/>
              </w:rPr>
              <w:t xml:space="preserve">10. ネガティブケース</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CLO保守性による短期案件喪失</w:t>
            </w:r>
          </w:p>
        </w:tc>
      </w:tr>
      <w:tr>
        <w:tc>
          <w:tcPr/>
          <w:p>
            <w:pPr>
              <w:pStyle w:val="Compact"/>
            </w:pPr>
            <w:r>
              <w:rPr>
                <w:rFonts w:ascii="Times New Roman" w:hAnsi="Times New Roman" w:eastAsia="游明朝"/>
                <w:sz w:val="18"/>
              </w:rPr>
              <w:t xml:space="preserve">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信用付与業態の本質</w:t>
            </w:r>
          </w:p>
        </w:tc>
      </w:tr>
    </w:tbl>
    <w:p>
      <w:pPr>
        <w:pStyle w:val="BodyText"/>
      </w:pPr>
      <w:r>
        <w:rPr>
          <w:rFonts w:hint="eastAsia"/>
          <w:b/>
          <w:bCs/>
        </w:rPr>
        <w:t xml:space="preserve">検出パターン</w:t>
      </w:r>
      <w:r>
        <w:t xml:space="preserve">: </w:t>
      </w:r>
      <w:r>
        <w:rPr>
          <w:rFonts w:hint="eastAsia"/>
        </w:rPr>
        <w:t xml:space="preserve">claim#1との重複度高</w:t>
      </w:r>
    </w:p>
    <w:p>
      <w:pPr>
        <w:pStyle w:val="BodyText"/>
      </w:pPr>
      <w:r>
        <w:rPr>
          <w:rFonts w:hint="eastAsia"/>
          <w:b/>
          <w:bCs/>
        </w:rPr>
        <w:t xml:space="preserve">CAGR接続（70%）</w:t>
      </w:r>
      <w:r>
        <w:t xml:space="preserve">: </w:t>
      </w:r>
      <w:r>
        <w:rPr>
          <w:rFonts w:hint="eastAsia"/>
        </w:rPr>
        <w:t xml:space="preserve">スイッチングコスト→顧客維持→MIS安定収入→CAGR確度支持。MA維持率93%→ARR安定成長。検証可能だがCAGR直接パラメータとの対応は間接的。</w:t>
      </w:r>
    </w:p>
    <w:p>
      <w:r>
        <w:pict>
          <v:rect style="width:0;height:1.5pt" o:hralign="center" o:hrstd="t" o:hr="t"/>
        </w:pict>
      </w:r>
    </w:p>
    <w:p>
      <w:pPr>
        <w:pStyle w:val="FirstParagraph"/>
      </w:pPr>
      <w:r>
        <w:rPr>
          <w:rFonts w:hint="eastAsia"/>
          <w:b/>
          <w:bCs/>
        </w:rPr>
        <w:t xml:space="preserve">納得度:</w:t>
      </w:r>
      <w:r>
        <w:t xml:space="preserve"> </w:t>
      </w:r>
      <w:r>
        <w:t xml:space="preserve">10% / 30% / 50% /</w:t>
      </w:r>
      <w:r>
        <w:t xml:space="preserve"> </w:t>
      </w:r>
      <w:r>
        <w:rPr>
          <w:b/>
          <w:bCs/>
        </w:rPr>
        <w:t xml:space="preserve">70%</w:t>
      </w:r>
      <w:r>
        <w:t xml:space="preserve"> </w:t>
      </w:r>
      <w:r>
        <w:t xml:space="preserve">/ 90% &lt;– </w:t>
      </w:r>
      <w:r>
        <w:rPr>
          <w:rFonts w:hint="eastAsia"/>
        </w:rPr>
        <w:t xml:space="preserve">AI評価（T8修正後の最終値）</w:t>
      </w:r>
    </w:p>
    <w:p>
      <w:r>
        <w:pict>
          <v:rect style="width:0;height:1.5pt" o:hralign="center" o:hrstd="t" o:hr="t"/>
        </w:pict>
      </w:r>
    </w:p>
    <w:bookmarkEnd w:id="16"/>
    <w:bookmarkEnd w:id="17"/>
    <w:bookmarkStart w:id="19" w:name="主張-4-ma事業のデータ蓄積とクロスセル拡大力"/>
    <w:p>
      <w:pPr>
        <w:pStyle w:val="Heading3"/>
      </w:pPr>
      <w:r>
        <w:rPr>
          <w:rFonts w:hint="eastAsia"/>
        </w:rPr>
        <w:t xml:space="preserve">主張</w:t>
      </w:r>
      <w:r>
        <w:t xml:space="preserve"> #4: </w:t>
      </w:r>
      <w:r>
        <w:rPr>
          <w:rFonts w:hint="eastAsia"/>
        </w:rPr>
        <w:t xml:space="preserve">MA事業のデータ蓄積とクロスセル拡大力</w:t>
      </w:r>
    </w:p>
    <w:bookmarkStart w:id="18" w:name="ai評価-まあ納得50-t8注記-因果チェーンリスクパターンc的構造の明示"/>
    <w:p>
      <w:pPr>
        <w:pStyle w:val="Heading4"/>
      </w:pPr>
      <w:r>
        <w:rPr>
          <w:rFonts w:hint="eastAsia"/>
        </w:rPr>
        <w:t xml:space="preserve">AI評価:</w:t>
      </w:r>
      <w:r>
        <w:t xml:space="preserve"> </w:t>
      </w:r>
      <w:r>
        <w:rPr>
          <w:rFonts w:hint="eastAsia"/>
        </w:rPr>
        <w:t xml:space="preserve">まあ納得（50%）</w:t>
      </w:r>
      <w:r>
        <w:t xml:space="preserve"> </w:t>
      </w:r>
      <w:r>
        <w:rPr>
          <w:rFonts w:hint="eastAsia"/>
        </w:rPr>
        <w:t xml:space="preserve">[T8注記:</w:t>
      </w:r>
      <w:r>
        <w:t xml:space="preserve"> </w:t>
      </w:r>
      <w:r>
        <w:rPr>
          <w:rFonts w:hint="eastAsia"/>
        </w:rPr>
        <w:t xml:space="preserve">因果チェーンリスク（パターンC的構造）の明示]</w:t>
      </w:r>
    </w:p>
    <w:p>
      <w:pPr>
        <w:pStyle w:val="FirstParagraph"/>
      </w:pPr>
      <w:r>
        <w:rPr>
          <w:rFonts w:hint="eastAsia"/>
        </w:rPr>
        <w:t xml:space="preserve">100年近い企業データ蓄積、KYCクロスセル進展（顧客2割）、保険顧客上位10社6-7品購入と定量データは揃っている。しかし</w:t>
      </w:r>
      <w:r>
        <w:rPr>
          <w:rFonts w:hint="eastAsia"/>
        </w:rPr>
        <w:t xml:space="preserve">アナリスト自身が「引き続き優位性評価は課題として残存」「明確に言語化できていない」と明示的に留保</w:t>
      </w:r>
      <w:r>
        <w:rPr>
          <w:rFonts w:hint="eastAsia"/>
        </w:rPr>
        <w:t xml:space="preserve">しており、SPGI（Capital</w:t>
      </w:r>
      <w:r>
        <w:t xml:space="preserve"> </w:t>
      </w:r>
      <w:r>
        <w:rPr>
          <w:rFonts w:hint="eastAsia"/>
        </w:rPr>
        <w:t xml:space="preserve">IQ）やBloombergとの具体的差別化が不明確。</w:t>
      </w:r>
    </w:p>
    <w:p>
      <w:pPr>
        <w:pStyle w:val="BodyText"/>
      </w:pPr>
      <w:r>
        <w:rPr>
          <w:rFonts w:hint="eastAsia"/>
          <w:b/>
          <w:bCs/>
        </w:rPr>
        <w:t xml:space="preserve">納得できる点</w:t>
      </w:r>
      <w:r>
        <w:t xml:space="preserve">: </w:t>
      </w:r>
      <w:r>
        <w:rPr>
          <w:rFonts w:hint="eastAsia"/>
        </w:rPr>
        <w:t xml:space="preserve">KYCクロスセル2割（定量的進展）、ARR</w:t>
      </w:r>
      <w:r>
        <w:t xml:space="preserve"> $3.3B </w:t>
      </w:r>
      <w:r>
        <w:rPr>
          <w:rFonts w:hint="eastAsia"/>
        </w:rPr>
        <w:t xml:space="preserve">+8%、維持率93%、保険顧客クロスセル品数。</w:t>
      </w:r>
    </w:p>
    <w:p>
      <w:pPr>
        <w:pStyle w:val="BodyText"/>
      </w:pPr>
      <w:r>
        <w:rPr>
          <w:rFonts w:hint="eastAsia"/>
          <w:b/>
          <w:bCs/>
        </w:rPr>
        <w:t xml:space="preserve">懸念点</w:t>
      </w:r>
      <w:r>
        <w:t xml:space="preserve">: </w:t>
      </w:r>
      <w:r>
        <w:rPr>
          <w:rFonts w:hint="eastAsia"/>
        </w:rPr>
        <w:t xml:space="preserve">アナリスト自身が優位性の言語化を留保。SPGI/Bloomberg/MSCI等との差別化が不明確。「データ提供企業は多岐に数多く存在」とレポート自身が記述。</w:t>
      </w:r>
    </w:p>
    <w:p>
      <w:pPr>
        <w:pStyle w:val="BlockText"/>
      </w:pPr>
      <w:r>
        <w:rPr>
          <w:rFonts w:hint="eastAsia"/>
          <w:b/>
          <w:bCs/>
        </w:rPr>
        <w:t xml:space="preserve">[注4]</w:t>
      </w:r>
      <w:r>
        <w:rPr>
          <w:b/>
          <w:bCs/>
        </w:rPr>
        <w:t xml:space="preserve"> </w:t>
      </w:r>
      <w:r>
        <w:rPr>
          <w:rFonts w:hint="eastAsia"/>
          <w:b/>
          <w:bCs/>
        </w:rPr>
        <w:t xml:space="preserve">T8批判</w:t>
      </w:r>
      <w:r>
        <w:rPr>
          <w:b/>
          <w:bCs/>
        </w:rPr>
        <w:t xml:space="preserve"> (minor): </w:t>
      </w:r>
      <w:r>
        <w:rPr>
          <w:rFonts w:hint="eastAsia"/>
          <w:b/>
          <w:bCs/>
        </w:rPr>
        <w:t xml:space="preserve">データ蓄積→クロスセルの因果チェーンリスク</w:t>
      </w:r>
    </w:p>
    <w:p>
      <w:pPr>
        <w:pStyle w:val="BlockText"/>
      </w:pPr>
      <w:r>
        <w:rPr>
          <w:rFonts w:hint="eastAsia"/>
        </w:rPr>
        <w:t xml:space="preserve">データ蓄積→KYCクロスセル→ARPU向上→MA</w:t>
      </w:r>
      <w:r>
        <w:t xml:space="preserve"> CAGR </w:t>
      </w:r>
      <w:r>
        <w:rPr>
          <w:rFonts w:hint="eastAsia"/>
        </w:rPr>
        <w:t xml:space="preserve">+6.5%は3ステップの因果チェーンであり、KB2パターンC（因果関係の飛躍）のリスクがある。KB3のCOST「思いやり経営」CAGR接続（20%）は退職率→サービス→既存店の飛躍として低評価を受けた。MCOは各ステップにデータ（クロスセル2割、維持率93%、ARR+8%）が存在する点でCOST思いやり経営とは異なるが、「100年データがなぜKYC需要に繋がるのか」の因果関係の説明は不十分。</w:t>
      </w:r>
    </w:p>
    <w:p>
      <w:pPr>
        <w:pStyle w:val="BlockText"/>
      </w:pPr>
      <w:r>
        <w:rPr>
          <w:rFonts w:hint="eastAsia"/>
          <w:b/>
          <w:bCs/>
        </w:rPr>
        <w:t xml:space="preserve">T8の判断</w:t>
      </w:r>
      <w:r>
        <w:t xml:space="preserve">: CA 50%、CAGR </w:t>
      </w:r>
      <w:r>
        <w:rPr>
          <w:rFonts w:hint="eastAsia"/>
        </w:rPr>
        <w:t xml:space="preserve">70%は適切と判断する。各ステップにデータが存在するため因果飛躍度はCOST思いやり経営より低い。ただし因果チェーンのリスクを明記した上での評価とする。</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ascii="Times New Roman" w:hAnsi="Times New Roman" w:eastAsia="游明朝"/>
                <w:sz w:val="18"/>
              </w:rPr>
              <w:t xml:space="preserve">1. </w:t>
            </w:r>
            <w:r>
              <w:rPr>
                <w:rFonts w:hint="eastAsia" w:ascii="Times New Roman" w:hAnsi="Times New Roman" w:eastAsia="游明朝"/>
                <w:sz w:val="18"/>
              </w:rPr>
              <w:t xml:space="preserve">能力</w:t>
            </w:r>
            <w:r>
              <w:rPr>
                <w:rFonts w:ascii="Times New Roman" w:hAnsi="Times New Roman" w:eastAsia="游明朝"/>
                <w:sz w:val="18"/>
              </w:rPr>
              <w:t xml:space="preserve"> vs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データ蓄積は能力/資産</w:t>
            </w:r>
          </w:p>
        </w:tc>
      </w:tr>
      <w:tr>
        <w:tc>
          <w:tcPr/>
          <w:p>
            <w:pPr>
              <w:pStyle w:val="Compact"/>
            </w:pPr>
            <w:r>
              <w:rPr>
                <w:rFonts w:ascii="Times New Roman" w:hAnsi="Times New Roman" w:eastAsia="游明朝"/>
                <w:sz w:val="18"/>
              </w:rPr>
              <w:t xml:space="preserve">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「データ蓄積」「クロスセル力」</w:t>
            </w:r>
          </w:p>
        </w:tc>
      </w:tr>
      <w:tr>
        <w:tc>
          <w:tcPr/>
          <w:p>
            <w:pPr>
              <w:pStyle w:val="Compact"/>
            </w:pPr>
            <w:r>
              <w:rPr>
                <w:rFonts w:ascii="Times New Roman" w:hAnsi="Times New Roman" w:eastAsia="游明朝"/>
                <w:sz w:val="18"/>
              </w:rPr>
              <w:t xml:space="preserve">4. </w:t>
            </w:r>
            <w:r>
              <w:rPr>
                <w:rFonts w:hint="eastAsia" w:ascii="Times New Roman" w:hAnsi="Times New Roman" w:eastAsia="游明朝"/>
                <w:sz w:val="18"/>
              </w:rPr>
              <w:t xml:space="preserve">定量的裏付け</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クロスセル2割、ARR、維持率</w:t>
            </w:r>
          </w:p>
        </w:tc>
      </w:tr>
      <w:tr>
        <w:tc>
          <w:tcPr/>
          <w:p>
            <w:pPr>
              <w:pStyle w:val="Compact"/>
            </w:pPr>
            <w:r>
              <w:rPr>
                <w:rFonts w:ascii="Times New Roman" w:hAnsi="Times New Roman" w:eastAsia="游明朝"/>
                <w:sz w:val="18"/>
              </w:rPr>
              <w:t xml:space="preserve">6. </w:t>
            </w:r>
            <w:r>
              <w:rPr>
                <w:rFonts w:hint="eastAsia" w:ascii="Times New Roman" w:hAnsi="Times New Roman" w:eastAsia="游明朝"/>
                <w:sz w:val="18"/>
              </w:rPr>
              <w:t xml:space="preserve">構造的</w:t>
            </w:r>
            <w:r>
              <w:rPr>
                <w:rFonts w:ascii="Times New Roman" w:hAnsi="Times New Roman" w:eastAsia="游明朝"/>
                <w:sz w:val="18"/>
              </w:rPr>
              <w:t xml:space="preserve"> vs </w:t>
            </w:r>
            <w:r>
              <w:rPr>
                <w:rFonts w:hint="eastAsia" w:ascii="Times New Roman" w:hAnsi="Times New Roman" w:eastAsia="游明朝"/>
                <w:sz w:val="18"/>
              </w:rPr>
              <w:t xml:space="preserve">補完的</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格付けデータは構造的、個別サービスは補完的</w:t>
            </w:r>
          </w:p>
        </w:tc>
      </w:tr>
      <w:tr>
        <w:tc>
          <w:tcPr/>
          <w:p>
            <w:pPr>
              <w:pStyle w:val="Compact"/>
            </w:pPr>
            <w:r>
              <w:rPr>
                <w:rFonts w:ascii="Times New Roman" w:hAnsi="Times New Roman" w:eastAsia="游明朝"/>
                <w:sz w:val="18"/>
              </w:rPr>
              <w:t xml:space="preserve">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SPGI/BBG差別化不明（analyst</w:t>
            </w:r>
            <w:r>
              <w:rPr>
                <w:rFonts w:ascii="Times New Roman" w:hAnsi="Times New Roman" w:eastAsia="游明朝"/>
                <w:sz w:val="18"/>
              </w:rPr>
              <w:t xml:space="preserve"> </w:t>
            </w:r>
            <w:r>
              <w:rPr>
                <w:rFonts w:hint="eastAsia" w:ascii="Times New Roman" w:hAnsi="Times New Roman" w:eastAsia="游明朝"/>
                <w:sz w:val="18"/>
              </w:rPr>
              <w:t xml:space="preserve">flagged）</w:t>
            </w:r>
          </w:p>
        </w:tc>
      </w:tr>
      <w:tr>
        <w:tc>
          <w:tcPr/>
          <w:p>
            <w:pPr>
              <w:pStyle w:val="Compact"/>
            </w:pPr>
            <w:r>
              <w:rPr>
                <w:rFonts w:ascii="Times New Roman" w:hAnsi="Times New Roman" w:eastAsia="游明朝"/>
                <w:sz w:val="18"/>
              </w:rPr>
              <w:t xml:space="preserve">8. </w:t>
            </w:r>
            <w:r>
              <w:rPr>
                <w:rFonts w:hint="eastAsia" w:ascii="Times New Roman" w:hAnsi="Times New Roman" w:eastAsia="游明朝"/>
                <w:sz w:val="18"/>
              </w:rPr>
              <w:t xml:space="preserve">戦略</w:t>
            </w:r>
            <w:r>
              <w:rPr>
                <w:rFonts w:ascii="Times New Roman" w:hAnsi="Times New Roman" w:eastAsia="游明朝"/>
                <w:sz w:val="18"/>
              </w:rPr>
              <w:t xml:space="preserve"> vs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データ蓄積は資産</w:t>
            </w:r>
          </w:p>
        </w:tc>
      </w:tr>
      <w:tr>
        <w:tc>
          <w:tcPr/>
          <w:p>
            <w:pPr>
              <w:pStyle w:val="Compact"/>
            </w:pPr>
            <w:r>
              <w:rPr>
                <w:rFonts w:ascii="Times New Roman" w:hAnsi="Times New Roman" w:eastAsia="游明朝"/>
                <w:sz w:val="18"/>
              </w:rPr>
              <w:t xml:space="preserve">10. ネガティブケース</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該当なし</w:t>
            </w:r>
          </w:p>
        </w:tc>
      </w:tr>
      <w:tr>
        <w:tc>
          <w:tcPr/>
          <w:p>
            <w:pPr>
              <w:pStyle w:val="Compact"/>
            </w:pPr>
            <w:r>
              <w:rPr>
                <w:rFonts w:ascii="Times New Roman" w:hAnsi="Times New Roman" w:eastAsia="游明朝"/>
                <w:sz w:val="18"/>
              </w:rPr>
              <w:t xml:space="preserve">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金融データ市場は競争的</w:t>
            </w:r>
          </w:p>
        </w:tc>
      </w:tr>
    </w:tbl>
    <w:p>
      <w:pPr>
        <w:pStyle w:val="BodyText"/>
      </w:pPr>
      <w:r>
        <w:rPr>
          <w:rFonts w:hint="eastAsia"/>
          <w:b/>
          <w:bCs/>
        </w:rPr>
        <w:t xml:space="preserve">検出パターン</w:t>
      </w:r>
      <w:r>
        <w:t xml:space="preserve">: </w:t>
      </w:r>
      <w:r>
        <w:rPr>
          <w:rFonts w:hint="eastAsia"/>
        </w:rPr>
        <w:t xml:space="preserve">パターンI（定量データあり）、パターンG（SPGI/BBG差別化不明）</w:t>
      </w:r>
    </w:p>
    <w:p>
      <w:pPr>
        <w:pStyle w:val="BodyText"/>
      </w:pPr>
      <w:r>
        <w:rPr>
          <w:rFonts w:hint="eastAsia"/>
          <w:b/>
          <w:bCs/>
        </w:rPr>
        <w:t xml:space="preserve">CAGR接続（70%）</w:t>
      </w:r>
      <w:r>
        <w:t xml:space="preserve">: </w:t>
      </w:r>
      <w:r>
        <w:rPr>
          <w:rFonts w:hint="eastAsia"/>
        </w:rPr>
        <w:t xml:space="preserve">データ蓄積→KYCクロスセル→ARPU向上→MA</w:t>
      </w:r>
      <w:r>
        <w:t xml:space="preserve"> ARR +HSD→MA CAGR </w:t>
      </w:r>
      <w:r>
        <w:rPr>
          <w:rFonts w:hint="eastAsia"/>
        </w:rPr>
        <w:t xml:space="preserve">+6.5%。2ステップで直接的、検証可能。</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&lt;– </w:t>
      </w:r>
      <w:r>
        <w:rPr>
          <w:rFonts w:hint="eastAsia"/>
        </w:rPr>
        <w:t xml:space="preserve">AI評価（T8修正後の最終値）</w:t>
      </w:r>
    </w:p>
    <w:p>
      <w:r>
        <w:pict>
          <v:rect style="width:0;height:1.5pt" o:hralign="center" o:hrstd="t" o:hr="t"/>
        </w:pict>
      </w:r>
    </w:p>
    <w:bookmarkEnd w:id="18"/>
    <w:bookmarkEnd w:id="19"/>
    <w:bookmarkStart w:id="21" w:name="主張-5-プライベートクレジット市場成長による格付け需要拡大機会"/>
    <w:p>
      <w:pPr>
        <w:pStyle w:val="Heading3"/>
      </w:pPr>
      <w:r>
        <w:rPr>
          <w:rFonts w:hint="eastAsia"/>
        </w:rPr>
        <w:t xml:space="preserve">主張</w:t>
      </w:r>
      <w:r>
        <w:t xml:space="preserve"> #5: </w:t>
      </w:r>
      <w:r>
        <w:rPr>
          <w:rFonts w:hint="eastAsia"/>
        </w:rPr>
        <w:t xml:space="preserve">プライベートクレジット市場成長による格付け需要拡大機会</w:t>
      </w:r>
    </w:p>
    <w:bookmarkStart w:id="20" w:name="X04a2b1be101edb5aa775463d61f711fa7beee89"/>
    <w:p>
      <w:pPr>
        <w:pStyle w:val="Heading4"/>
      </w:pPr>
      <w:r>
        <w:rPr>
          <w:rFonts w:hint="eastAsia"/>
        </w:rPr>
        <w:t xml:space="preserve">AI評価:</w:t>
      </w:r>
      <w:r>
        <w:t xml:space="preserve"> </w:t>
      </w:r>
      <w:r>
        <w:rPr>
          <w:rFonts w:hint="eastAsia"/>
        </w:rPr>
        <w:t xml:space="preserve">まあ納得（50%）</w:t>
      </w:r>
      <w:r>
        <w:t xml:space="preserve"> </w:t>
      </w:r>
      <w:r>
        <w:rPr>
          <w:rFonts w:hint="eastAsia"/>
        </w:rPr>
        <w:t xml:space="preserve">[T8注記:</w:t>
      </w:r>
      <w:r>
        <w:t xml:space="preserve"> </w:t>
      </w:r>
      <w:r>
        <w:rPr>
          <w:rFonts w:hint="eastAsia"/>
        </w:rPr>
        <w:t xml:space="preserve">アナリストCAGR引き上げ見送りとの整合性を明記]</w:t>
      </w:r>
    </w:p>
    <w:p>
      <w:pPr>
        <w:pStyle w:val="FirstParagraph"/>
      </w:pPr>
      <w:r>
        <w:rPr>
          <w:rFonts w:hint="eastAsia"/>
        </w:rPr>
        <w:t xml:space="preserve">PC市場の成長は確からしく、TAM</w:t>
      </w:r>
      <w:r>
        <w:t xml:space="preserve"> </w:t>
      </w:r>
      <w:r>
        <w:rPr>
          <w:rFonts w:hint="eastAsia"/>
        </w:rPr>
        <w:t xml:space="preserve">$3T以上の市場で新規マンデートの25%がPC関連。しかし</w:t>
      </w:r>
      <w:r>
        <w:rPr>
          <w:rFonts w:hint="eastAsia"/>
        </w:rPr>
        <w:t xml:space="preserve">これはMCO固有の「優位性」というよりは「市場機会」</w:t>
      </w:r>
      <w:r>
        <w:rPr>
          <w:rFonts w:hint="eastAsia"/>
        </w:rPr>
        <w:t xml:space="preserve">（ルール1</w:t>
      </w:r>
      <w:r>
        <w:t xml:space="preserve"> </w:t>
      </w:r>
      <w:r>
        <w:rPr>
          <w:rFonts w:hint="eastAsia"/>
        </w:rPr>
        <w:t xml:space="preserve">WARN）。アナリスト自身がMIS</w:t>
      </w:r>
      <w:r>
        <w:t xml:space="preserve"> </w:t>
      </w:r>
      <w:r>
        <w:rPr>
          <w:rFonts w:hint="eastAsia"/>
        </w:rPr>
        <w:t xml:space="preserve">CAGR引き上げを見送っており、ダイレクトレンディングでの限界を明示的に分析している点はルール10の好例。</w:t>
      </w:r>
    </w:p>
    <w:p>
      <w:pPr>
        <w:pStyle w:val="BodyText"/>
      </w:pPr>
      <w:r>
        <w:rPr>
          <w:rFonts w:hint="eastAsia"/>
          <w:b/>
          <w:bCs/>
        </w:rPr>
        <w:t xml:space="preserve">納得できる点</w:t>
      </w:r>
      <w:r>
        <w:t xml:space="preserve">: TAM </w:t>
      </w:r>
      <w:r>
        <w:rPr>
          <w:rFonts w:hint="eastAsia"/>
        </w:rPr>
        <w:t xml:space="preserve">$3T、ディール数+50%、CAGR</w:t>
      </w:r>
      <w:r>
        <w:t xml:space="preserve"> </w:t>
      </w:r>
      <w:r>
        <w:rPr>
          <w:rFonts w:hint="eastAsia"/>
        </w:rPr>
        <w:t xml:space="preserve">8%と定量データ豊富。アナリストの1on1調査に基づく詳細なPC市場分析。ダイレクトレンディング限界の明示的記述（ルール10）。</w:t>
      </w:r>
    </w:p>
    <w:p>
      <w:pPr>
        <w:pStyle w:val="BodyText"/>
      </w:pPr>
      <w:r>
        <w:rPr>
          <w:rFonts w:hint="eastAsia"/>
          <w:b/>
          <w:bCs/>
        </w:rPr>
        <w:t xml:space="preserve">懸念点</w:t>
      </w:r>
      <w:r>
        <w:t xml:space="preserve">: </w:t>
      </w:r>
      <w:r>
        <w:rPr>
          <w:rFonts w:hint="eastAsia"/>
        </w:rPr>
        <w:t xml:space="preserve">市場機会であり優位性ではない（ルール1</w:t>
      </w:r>
      <w:r>
        <w:t xml:space="preserve"> </w:t>
      </w:r>
      <w:r>
        <w:rPr>
          <w:rFonts w:hint="eastAsia"/>
        </w:rPr>
        <w:t xml:space="preserve">WARN）。SPGIも同等のポジション。TAM</w:t>
      </w:r>
      <w:r>
        <w:t xml:space="preserve"> </w:t>
      </w:r>
      <w:r>
        <w:rPr>
          <w:rFonts w:hint="eastAsia"/>
        </w:rPr>
        <w:t xml:space="preserve">$3Tだが実際の格付け対象TAMは$1.5-2T程度。</w:t>
      </w:r>
    </w:p>
    <w:p>
      <w:pPr>
        <w:pStyle w:val="BlockText"/>
      </w:pPr>
      <w:r>
        <w:rPr>
          <w:rFonts w:hint="eastAsia"/>
          <w:b/>
          <w:bCs/>
        </w:rPr>
        <w:t xml:space="preserve">[注5]</w:t>
      </w:r>
      <w:r>
        <w:rPr>
          <w:b/>
          <w:bCs/>
        </w:rPr>
        <w:t xml:space="preserve"> </w:t>
      </w:r>
      <w:r>
        <w:rPr>
          <w:rFonts w:hint="eastAsia"/>
          <w:b/>
          <w:bCs/>
        </w:rPr>
        <w:t xml:space="preserve">T8批判</w:t>
      </w:r>
      <w:r>
        <w:rPr>
          <w:b/>
          <w:bCs/>
        </w:rPr>
        <w:t xml:space="preserve"> (minor): </w:t>
      </w:r>
      <w:r>
        <w:rPr>
          <w:rFonts w:hint="eastAsia"/>
          <w:b/>
          <w:bCs/>
        </w:rPr>
        <w:t xml:space="preserve">アナリストCAGR見送りとの整合性</w:t>
      </w:r>
    </w:p>
    <w:p>
      <w:pPr>
        <w:pStyle w:val="BlockText"/>
      </w:pPr>
      <w:r>
        <w:t xml:space="preserve">CAGR confidence </w:t>
      </w:r>
      <w:r>
        <w:rPr>
          <w:rFonts w:hint="eastAsia"/>
        </w:rPr>
        <w:t xml:space="preserve">50%は「まあ納得」を意味するが、アナリスト自身がMIS</w:t>
      </w:r>
      <w:r>
        <w:t xml:space="preserve"> </w:t>
      </w:r>
      <w:r>
        <w:rPr>
          <w:rFonts w:hint="eastAsia"/>
        </w:rPr>
        <w:t xml:space="preserve">CAGR引き上げを見送っている（=PCのCAGR寄与を限定的と判断）。この「アナリスト自身の見送り判断」とCAGR</w:t>
      </w:r>
      <w:r>
        <w:t xml:space="preserve"> </w:t>
      </w:r>
      <w:r>
        <w:rPr>
          <w:rFonts w:hint="eastAsia"/>
        </w:rPr>
        <w:t xml:space="preserve">50%の整合性について：アナリストの見送りは現時点の保守的判断であり、中長期的にPC市場がCAGRに寄与する可能性を完全否定していない。</w:t>
      </w:r>
    </w:p>
    <w:p>
      <w:pPr>
        <w:pStyle w:val="BlockText"/>
      </w:pPr>
      <w:r>
        <w:rPr>
          <w:rFonts w:hint="eastAsia"/>
          <w:b/>
          <w:bCs/>
        </w:rPr>
        <w:t xml:space="preserve">T8の判断</w:t>
      </w:r>
      <w:r>
        <w:t xml:space="preserve">: CAGR confidence </w:t>
      </w:r>
      <w:r>
        <w:rPr>
          <w:rFonts w:hint="eastAsia"/>
        </w:rPr>
        <w:t xml:space="preserve">50%は維持する。ただし「アナリスト自身がCAGR引き上げを見送っている事実」を明記し、50%の根拠がアナリスト見解と整合することを注記する。</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ascii="Times New Roman" w:hAnsi="Times New Roman" w:eastAsia="游明朝"/>
                <w:sz w:val="18"/>
              </w:rPr>
              <w:t xml:space="preserve">1. </w:t>
            </w:r>
            <w:r>
              <w:rPr>
                <w:rFonts w:hint="eastAsia" w:ascii="Times New Roman" w:hAnsi="Times New Roman" w:eastAsia="游明朝"/>
                <w:sz w:val="18"/>
              </w:rPr>
              <w:t xml:space="preserve">能力</w:t>
            </w:r>
            <w:r>
              <w:rPr>
                <w:rFonts w:ascii="Times New Roman" w:hAnsi="Times New Roman" w:eastAsia="游明朝"/>
                <w:sz w:val="18"/>
              </w:rPr>
              <w:t xml:space="preserve"> vs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市場機会であり能力ではない</w:t>
            </w:r>
          </w:p>
        </w:tc>
      </w:tr>
      <w:tr>
        <w:tc>
          <w:tcPr/>
          <w:p>
            <w:pPr>
              <w:pStyle w:val="Compact"/>
            </w:pPr>
            <w:r>
              <w:rPr>
                <w:rFonts w:ascii="Times New Roman" w:hAnsi="Times New Roman" w:eastAsia="游明朝"/>
                <w:sz w:val="18"/>
              </w:rPr>
              <w:t xml:space="preserve">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「成長機会」は機会の記述</w:t>
            </w:r>
          </w:p>
        </w:tc>
      </w:tr>
      <w:tr>
        <w:tc>
          <w:tcPr/>
          <w:p>
            <w:pPr>
              <w:pStyle w:val="Compact"/>
            </w:pPr>
            <w:r>
              <w:rPr>
                <w:rFonts w:ascii="Times New Roman" w:hAnsi="Times New Roman" w:eastAsia="游明朝"/>
                <w:sz w:val="18"/>
              </w:rPr>
              <w:t xml:space="preserve">4. </w:t>
            </w:r>
            <w:r>
              <w:rPr>
                <w:rFonts w:hint="eastAsia" w:ascii="Times New Roman" w:hAnsi="Times New Roman" w:eastAsia="游明朝"/>
                <w:sz w:val="18"/>
              </w:rPr>
              <w:t xml:space="preserve">定量的裏付け</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TAM、ディール数、CAGR等</w:t>
            </w:r>
          </w:p>
        </w:tc>
      </w:tr>
      <w:tr>
        <w:tc>
          <w:tcPr/>
          <w:p>
            <w:pPr>
              <w:pStyle w:val="Compact"/>
            </w:pPr>
            <w:r>
              <w:rPr>
                <w:rFonts w:ascii="Times New Roman" w:hAnsi="Times New Roman" w:eastAsia="游明朝"/>
                <w:sz w:val="18"/>
              </w:rPr>
              <w:t xml:space="preserve">6. </w:t>
            </w:r>
            <w:r>
              <w:rPr>
                <w:rFonts w:hint="eastAsia" w:ascii="Times New Roman" w:hAnsi="Times New Roman" w:eastAsia="游明朝"/>
                <w:sz w:val="18"/>
              </w:rPr>
              <w:t xml:space="preserve">構造的</w:t>
            </w:r>
            <w:r>
              <w:rPr>
                <w:rFonts w:ascii="Times New Roman" w:hAnsi="Times New Roman" w:eastAsia="游明朝"/>
                <w:sz w:val="18"/>
              </w:rPr>
              <w:t xml:space="preserve"> vs </w:t>
            </w:r>
            <w:r>
              <w:rPr>
                <w:rFonts w:hint="eastAsia" w:ascii="Times New Roman" w:hAnsi="Times New Roman" w:eastAsia="游明朝"/>
                <w:sz w:val="18"/>
              </w:rPr>
              <w:t xml:space="preserve">補完的</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BDC/CLO格付けは構造的延長</w:t>
            </w:r>
          </w:p>
        </w:tc>
      </w:tr>
      <w:tr>
        <w:tc>
          <w:tcPr/>
          <w:p>
            <w:pPr>
              <w:pStyle w:val="Compact"/>
            </w:pPr>
            <w:r>
              <w:rPr>
                <w:rFonts w:ascii="Times New Roman" w:hAnsi="Times New Roman" w:eastAsia="游明朝"/>
                <w:sz w:val="18"/>
              </w:rPr>
              <w:t xml:space="preserve">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SPGI同等</w:t>
            </w:r>
          </w:p>
        </w:tc>
      </w:tr>
      <w:tr>
        <w:tc>
          <w:tcPr/>
          <w:p>
            <w:pPr>
              <w:pStyle w:val="Compact"/>
            </w:pPr>
            <w:r>
              <w:rPr>
                <w:rFonts w:ascii="Times New Roman" w:hAnsi="Times New Roman" w:eastAsia="游明朝"/>
                <w:sz w:val="18"/>
              </w:rPr>
              <w:t xml:space="preserve">8. </w:t>
            </w:r>
            <w:r>
              <w:rPr>
                <w:rFonts w:hint="eastAsia" w:ascii="Times New Roman" w:hAnsi="Times New Roman" w:eastAsia="游明朝"/>
                <w:sz w:val="18"/>
              </w:rPr>
              <w:t xml:space="preserve">戦略</w:t>
            </w:r>
            <w:r>
              <w:rPr>
                <w:rFonts w:ascii="Times New Roman" w:hAnsi="Times New Roman" w:eastAsia="游明朝"/>
                <w:sz w:val="18"/>
              </w:rPr>
              <w:t xml:space="preserve"> vs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参入戦略に偏った記述</w:t>
            </w:r>
          </w:p>
        </w:tc>
      </w:tr>
      <w:tr>
        <w:tc>
          <w:tcPr/>
          <w:p>
            <w:pPr>
              <w:pStyle w:val="Compact"/>
            </w:pPr>
            <w:r>
              <w:rPr>
                <w:rFonts w:ascii="Times New Roman" w:hAnsi="Times New Roman" w:eastAsia="游明朝"/>
                <w:sz w:val="18"/>
              </w:rPr>
              <w:t xml:space="preserve">10. ネガティブケース</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DL限界の明示的分析</w:t>
            </w:r>
          </w:p>
        </w:tc>
      </w:tr>
      <w:tr>
        <w:tc>
          <w:tcPr/>
          <w:p>
            <w:pPr>
              <w:pStyle w:val="Compact"/>
            </w:pPr>
            <w:r>
              <w:rPr>
                <w:rFonts w:ascii="Times New Roman" w:hAnsi="Times New Roman" w:eastAsia="游明朝"/>
                <w:sz w:val="18"/>
              </w:rPr>
              <w:t xml:space="preserve">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PC市場の構造は未確定</w:t>
            </w:r>
          </w:p>
        </w:tc>
      </w:tr>
    </w:tbl>
    <w:p>
      <w:pPr>
        <w:pStyle w:val="BodyText"/>
      </w:pPr>
      <w:r>
        <w:rPr>
          <w:rFonts w:hint="eastAsia"/>
          <w:b/>
          <w:bCs/>
        </w:rPr>
        <w:t xml:space="preserve">検出パターン</w:t>
      </w:r>
      <w:r>
        <w:t xml:space="preserve">: </w:t>
      </w:r>
      <w:r>
        <w:rPr>
          <w:rFonts w:hint="eastAsia"/>
        </w:rPr>
        <w:t xml:space="preserve">パターンF（戦略混同）、ルール10高評価</w:t>
      </w:r>
    </w:p>
    <w:p>
      <w:pPr>
        <w:pStyle w:val="BodyText"/>
      </w:pPr>
      <w:r>
        <w:rPr>
          <w:rFonts w:hint="eastAsia"/>
          <w:b/>
          <w:bCs/>
        </w:rPr>
        <w:t xml:space="preserve">CAGR接続（50%）</w:t>
      </w:r>
      <w:r>
        <w:t xml:space="preserve">: </w:t>
      </w:r>
      <w:r>
        <w:rPr>
          <w:rFonts w:hint="eastAsia"/>
        </w:rPr>
        <w:t xml:space="preserve">PC→格付け需要→MIS内「新興国/PC</w:t>
      </w:r>
      <w:r>
        <w:t xml:space="preserve"> </w:t>
      </w:r>
      <w:r>
        <w:rPr>
          <w:rFonts w:hint="eastAsia"/>
        </w:rPr>
        <w:t xml:space="preserve">+1%」。アナリスト自身が「CAGR引き上げは行わず」「サポート材料程度」と評価。</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&lt;– </w:t>
      </w:r>
      <w:r>
        <w:rPr>
          <w:rFonts w:hint="eastAsia"/>
        </w:rPr>
        <w:t xml:space="preserve">AI評価（T8修正後の最終値）</w:t>
      </w:r>
    </w:p>
    <w:p>
      <w:r>
        <w:pict>
          <v:rect style="width:0;height:1.5pt" o:hralign="center" o:hrstd="t" o:hr="t"/>
        </w:pict>
      </w:r>
    </w:p>
    <w:bookmarkEnd w:id="20"/>
    <w:bookmarkEnd w:id="21"/>
    <w:bookmarkStart w:id="23" w:name="主張-6-格付けブランドのデファクト標準としての認知"/>
    <w:p>
      <w:pPr>
        <w:pStyle w:val="Heading3"/>
      </w:pPr>
      <w:r>
        <w:rPr>
          <w:rFonts w:hint="eastAsia"/>
        </w:rPr>
        <w:t xml:space="preserve">主張</w:t>
      </w:r>
      <w:r>
        <w:t xml:space="preserve"> #6: </w:t>
      </w:r>
      <w:r>
        <w:rPr>
          <w:rFonts w:hint="eastAsia"/>
        </w:rPr>
        <w:t xml:space="preserve">格付けブランドのデファクト標準としての認知</w:t>
      </w:r>
    </w:p>
    <w:bookmarkStart w:id="22" w:name="ai評価-あまり納得しない30-t8修正-50---30"/>
    <w:p>
      <w:pPr>
        <w:pStyle w:val="Heading4"/>
      </w:pPr>
      <w:r>
        <w:rPr>
          <w:rFonts w:hint="eastAsia"/>
        </w:rPr>
        <w:t xml:space="preserve">AI評価:</w:t>
      </w:r>
      <w:r>
        <w:t xml:space="preserve"> </w:t>
      </w:r>
      <w:r>
        <w:rPr>
          <w:rFonts w:hint="eastAsia"/>
        </w:rPr>
        <w:t xml:space="preserve">あまり納得しない（30%）</w:t>
      </w:r>
      <w:r>
        <w:t xml:space="preserve"> </w:t>
      </w:r>
      <w:r>
        <w:rPr>
          <w:rFonts w:hint="eastAsia"/>
        </w:rPr>
        <w:t xml:space="preserve">[T8修正:</w:t>
      </w:r>
      <w:r>
        <w:t xml:space="preserve"> 50% -&gt; 30%]</w:t>
      </w:r>
    </w:p>
    <w:p>
      <w:pPr>
        <w:pStyle w:val="FirstParagraph"/>
      </w:pPr>
      <w:r>
        <w:rPr>
          <w:rFonts w:hint="eastAsia"/>
        </w:rPr>
        <w:t xml:space="preserve">Moody’sは格付けのデファクト標準として広く認知されており、dogma.md類型2で明示的に言及されている。100年以上の歴史が信頼性の基盤。</w:t>
      </w:r>
    </w:p>
    <w:p>
      <w:pPr>
        <w:pStyle w:val="BodyText"/>
      </w:pPr>
      <w:r>
        <w:t xml:space="preserve">しかし</w:t>
      </w:r>
      <w:r>
        <w:rPr>
          <w:rFonts w:hint="eastAsia"/>
        </w:rPr>
        <w:t xml:space="preserve">claim#1（寡占構造）、claim#3（スイッチングコスト）と3重にダブルカウントしており、独立した優位性としての付加価値が極めて低い</w:t>
      </w:r>
      <w:r>
        <w:rPr>
          <w:rFonts w:hint="eastAsia"/>
        </w:rPr>
        <w:t xml:space="preserve">。ブランド認知は寡占構造の「結果」であって「原因」ではない（パターンA的構造）。ブランド認知度の定量的測定データもなく、dogma.md自体が「外見的な評価が多い」と自己認識している。SPGIも同等のブランド認知を持ちルール7は部分的。</w:t>
      </w:r>
    </w:p>
    <w:p>
      <w:pPr>
        <w:pStyle w:val="BodyText"/>
      </w:pPr>
      <w:r>
        <w:rPr>
          <w:rFonts w:hint="eastAsia"/>
          <w:b/>
          <w:bCs/>
        </w:rPr>
        <w:t xml:space="preserve">納得できる点</w:t>
      </w:r>
      <w:r>
        <w:t xml:space="preserve">: </w:t>
      </w:r>
      <w:r>
        <w:rPr>
          <w:rFonts w:hint="eastAsia"/>
        </w:rPr>
        <w:t xml:space="preserve">dogma.md類型2でのデファクト認知言及。100年の歴史。保守的方法論→長期信頼のメカニズム。</w:t>
      </w:r>
    </w:p>
    <w:p>
      <w:pPr>
        <w:pStyle w:val="BodyText"/>
      </w:pPr>
      <w:r>
        <w:rPr>
          <w:rFonts w:hint="eastAsia"/>
          <w:b/>
          <w:bCs/>
        </w:rPr>
        <w:t xml:space="preserve">懸念点</w:t>
      </w:r>
      <w:r>
        <w:t xml:space="preserve">: </w:t>
      </w:r>
      <w:r>
        <w:rPr>
          <w:rFonts w:hint="eastAsia"/>
        </w:rPr>
        <w:t xml:space="preserve">claim#1-3と3重ダブルカウント。ブランドは寡占構造の結果であり原因ではない。定量化不足。SPGIも同等。</w:t>
      </w:r>
    </w:p>
    <w:p>
      <w:pPr>
        <w:pStyle w:val="BlockText"/>
      </w:pPr>
      <w:r>
        <w:rPr>
          <w:rFonts w:hint="eastAsia"/>
          <w:b/>
          <w:bCs/>
        </w:rPr>
        <w:t xml:space="preserve">[注6]</w:t>
      </w:r>
      <w:r>
        <w:rPr>
          <w:b/>
          <w:bCs/>
        </w:rPr>
        <w:t xml:space="preserve"> </w:t>
      </w:r>
      <w:r>
        <w:rPr>
          <w:rFonts w:hint="eastAsia"/>
          <w:b/>
          <w:bCs/>
        </w:rPr>
        <w:t xml:space="preserve">T8批判</w:t>
      </w:r>
      <w:r>
        <w:rPr>
          <w:b/>
          <w:bCs/>
        </w:rPr>
        <w:t xml:space="preserve"> (minor): </w:t>
      </w:r>
      <w:r>
        <w:rPr>
          <w:rFonts w:hint="eastAsia"/>
          <w:b/>
          <w:bCs/>
        </w:rPr>
        <w:t xml:space="preserve">ブランド認知は寡占構造の結果であり独立した優位性ではない</w:t>
      </w:r>
    </w:p>
    <w:p>
      <w:pPr>
        <w:pStyle w:val="BlockText"/>
      </w:pPr>
      <w:r>
        <w:rPr>
          <w:rFonts w:hint="eastAsia"/>
        </w:rPr>
        <w:t xml:space="preserve">claim#6はclaim#1（寡占構造）、claim#3（スイッチングコスト）と実質的に同じ業界特性の異なる記述であり、3重のダブルカウントとなっている。ブランドは寡占構造の「結果」であり「原因」ではない（パターンA的構造）。KB3</w:t>
      </w:r>
      <w:r>
        <w:t xml:space="preserve"> </w:t>
      </w:r>
      <w:r>
        <w:rPr>
          <w:rFonts w:hint="eastAsia"/>
        </w:rPr>
        <w:t xml:space="preserve">MNST#1（50%）では「背後要因の分析不足」が指摘されていたが、MCOのブランドはMNST以上にclaim#1に従属しており、独立性がさらに低い。</w:t>
      </w:r>
    </w:p>
    <w:p>
      <w:pPr>
        <w:pStyle w:val="BlockText"/>
      </w:pPr>
      <w:r>
        <w:rPr>
          <w:rFonts w:hint="eastAsia"/>
          <w:b/>
          <w:bCs/>
        </w:rPr>
        <w:t xml:space="preserve">T8の判断</w:t>
      </w:r>
      <w:r>
        <w:t xml:space="preserve">: CA confidence を50% -&gt; </w:t>
      </w:r>
      <w:r>
        <w:rPr>
          <w:rFonts w:hint="eastAsia"/>
        </w:rPr>
        <w:t xml:space="preserve">30%に引き下げる。claim#1-3と3重に重複し、ブランドは寡占構造の結果であって原因ではない。独立した優位性としては「あまり納得しない」が適切。</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ascii="Times New Roman" w:hAnsi="Times New Roman" w:eastAsia="游明朝"/>
                <w:sz w:val="18"/>
              </w:rPr>
              <w:t xml:space="preserve">1. </w:t>
            </w:r>
            <w:r>
              <w:rPr>
                <w:rFonts w:hint="eastAsia" w:ascii="Times New Roman" w:hAnsi="Times New Roman" w:eastAsia="游明朝"/>
                <w:sz w:val="18"/>
              </w:rPr>
              <w:t xml:space="preserve">能力</w:t>
            </w:r>
            <w:r>
              <w:rPr>
                <w:rFonts w:ascii="Times New Roman" w:hAnsi="Times New Roman" w:eastAsia="游明朝"/>
                <w:sz w:val="18"/>
              </w:rPr>
              <w:t xml:space="preserve"> vs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ブランドは蓄積された資産</w:t>
            </w:r>
          </w:p>
        </w:tc>
      </w:tr>
      <w:tr>
        <w:tc>
          <w:tcPr/>
          <w:p>
            <w:pPr>
              <w:pStyle w:val="Compact"/>
            </w:pPr>
            <w:r>
              <w:rPr>
                <w:rFonts w:ascii="Times New Roman" w:hAnsi="Times New Roman" w:eastAsia="游明朝"/>
                <w:sz w:val="18"/>
              </w:rPr>
              <w:t xml:space="preserve">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「ブランド認知」</w:t>
            </w:r>
          </w:p>
        </w:tc>
      </w:tr>
      <w:tr>
        <w:tc>
          <w:tcPr/>
          <w:p>
            <w:pPr>
              <w:pStyle w:val="Compact"/>
            </w:pPr>
            <w:r>
              <w:rPr>
                <w:rFonts w:ascii="Times New Roman" w:hAnsi="Times New Roman" w:eastAsia="游明朝"/>
                <w:sz w:val="18"/>
              </w:rPr>
              <w:t xml:space="preserve">4. </w:t>
            </w:r>
            <w:r>
              <w:rPr>
                <w:rFonts w:hint="eastAsia" w:ascii="Times New Roman" w:hAnsi="Times New Roman" w:eastAsia="游明朝"/>
                <w:sz w:val="18"/>
              </w:rPr>
              <w:t xml:space="preserve">定量的裏付け</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100年歴史あり、認知度データなし</w:t>
            </w:r>
          </w:p>
        </w:tc>
      </w:tr>
      <w:tr>
        <w:tc>
          <w:tcPr/>
          <w:p>
            <w:pPr>
              <w:pStyle w:val="Compact"/>
            </w:pPr>
            <w:r>
              <w:rPr>
                <w:rFonts w:ascii="Times New Roman" w:hAnsi="Times New Roman" w:eastAsia="游明朝"/>
                <w:sz w:val="18"/>
              </w:rPr>
              <w:t xml:space="preserve">6. </w:t>
            </w:r>
            <w:r>
              <w:rPr>
                <w:rFonts w:hint="eastAsia" w:ascii="Times New Roman" w:hAnsi="Times New Roman" w:eastAsia="游明朝"/>
                <w:sz w:val="18"/>
              </w:rPr>
              <w:t xml:space="preserve">構造的</w:t>
            </w:r>
            <w:r>
              <w:rPr>
                <w:rFonts w:ascii="Times New Roman" w:hAnsi="Times New Roman" w:eastAsia="游明朝"/>
                <w:sz w:val="18"/>
              </w:rPr>
              <w:t xml:space="preserve"> vs </w:t>
            </w:r>
            <w:r>
              <w:rPr>
                <w:rFonts w:hint="eastAsia" w:ascii="Times New Roman" w:hAnsi="Times New Roman" w:eastAsia="游明朝"/>
                <w:sz w:val="18"/>
              </w:rPr>
              <w:t xml:space="preserve">補完的</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claim#1-3と重複</w:t>
            </w:r>
          </w:p>
        </w:tc>
      </w:tr>
      <w:tr>
        <w:tc>
          <w:tcPr/>
          <w:p>
            <w:pPr>
              <w:pStyle w:val="Compact"/>
            </w:pPr>
            <w:r>
              <w:rPr>
                <w:rFonts w:ascii="Times New Roman" w:hAnsi="Times New Roman" w:eastAsia="游明朝"/>
                <w:sz w:val="18"/>
              </w:rPr>
              <w:t xml:space="preserve">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SPGI同等</w:t>
            </w:r>
          </w:p>
        </w:tc>
      </w:tr>
      <w:tr>
        <w:tc>
          <w:tcPr/>
          <w:p>
            <w:pPr>
              <w:pStyle w:val="Compact"/>
            </w:pPr>
            <w:r>
              <w:rPr>
                <w:rFonts w:ascii="Times New Roman" w:hAnsi="Times New Roman" w:eastAsia="游明朝"/>
                <w:sz w:val="18"/>
              </w:rPr>
              <w:t xml:space="preserve">8. </w:t>
            </w:r>
            <w:r>
              <w:rPr>
                <w:rFonts w:hint="eastAsia" w:ascii="Times New Roman" w:hAnsi="Times New Roman" w:eastAsia="游明朝"/>
                <w:sz w:val="18"/>
              </w:rPr>
              <w:t xml:space="preserve">戦略</w:t>
            </w:r>
            <w:r>
              <w:rPr>
                <w:rFonts w:ascii="Times New Roman" w:hAnsi="Times New Roman" w:eastAsia="游明朝"/>
                <w:sz w:val="18"/>
              </w:rPr>
              <w:t xml:space="preserve"> vs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蓄積された資産</w:t>
            </w:r>
          </w:p>
        </w:tc>
      </w:tr>
      <w:tr>
        <w:tc>
          <w:tcPr/>
          <w:p>
            <w:pPr>
              <w:pStyle w:val="Compact"/>
            </w:pPr>
            <w:r>
              <w:rPr>
                <w:rFonts w:ascii="Times New Roman" w:hAnsi="Times New Roman" w:eastAsia="游明朝"/>
                <w:sz w:val="18"/>
              </w:rPr>
              <w:t xml:space="preserve">10. ネガティブケース</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CLO保守性→案件喪失→長期信頼</w:t>
            </w:r>
          </w:p>
        </w:tc>
      </w:tr>
      <w:tr>
        <w:tc>
          <w:tcPr/>
          <w:p>
            <w:pPr>
              <w:pStyle w:val="Compact"/>
            </w:pPr>
            <w:r>
              <w:rPr>
                <w:rFonts w:ascii="Times New Roman" w:hAnsi="Times New Roman" w:eastAsia="游明朝"/>
                <w:sz w:val="18"/>
              </w:rPr>
              <w:t xml:space="preserve">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信用付与業態の核心</w:t>
            </w:r>
          </w:p>
        </w:tc>
      </w:tr>
    </w:tbl>
    <w:p>
      <w:pPr>
        <w:pStyle w:val="BodyText"/>
      </w:pPr>
      <w:r>
        <w:rPr>
          <w:rFonts w:hint="eastAsia"/>
          <w:b/>
          <w:bCs/>
        </w:rPr>
        <w:t xml:space="preserve">検出パターン</w:t>
      </w:r>
      <w:r>
        <w:t xml:space="preserve">: </w:t>
      </w:r>
      <w:r>
        <w:rPr>
          <w:rFonts w:hint="eastAsia"/>
        </w:rPr>
        <w:t xml:space="preserve">パターンD（定性的裏付け中心）、パターンA（ブランドが寡占構造の結果）</w:t>
      </w:r>
    </w:p>
    <w:p>
      <w:pPr>
        <w:pStyle w:val="BodyText"/>
      </w:pPr>
      <w:r>
        <w:rPr>
          <w:rFonts w:hint="eastAsia"/>
          <w:b/>
          <w:bCs/>
        </w:rPr>
        <w:t xml:space="preserve">CAGR接続（50%）</w:t>
      </w:r>
      <w:r>
        <w:t xml:space="preserve">: </w:t>
      </w:r>
      <w:r>
        <w:rPr>
          <w:rFonts w:hint="eastAsia"/>
        </w:rPr>
        <w:t xml:space="preserve">ブランド→CAGR接続は間接的。直接対応するCAGRパラメータがない。claim#1-3の確度支持要因として機能。</w:t>
      </w:r>
    </w:p>
    <w:p>
      <w:r>
        <w:pict>
          <v:rect style="width:0;height:1.5pt" o:hralign="center" o:hrstd="t" o:hr="t"/>
        </w:pict>
      </w:r>
    </w:p>
    <w:p>
      <w:pPr>
        <w:pStyle w:val="FirstParagraph"/>
      </w:pPr>
      <w:r>
        <w:rPr>
          <w:rFonts w:hint="eastAsia"/>
          <w:b/>
          <w:bCs/>
        </w:rPr>
        <w:t xml:space="preserve">納得度:</w:t>
      </w:r>
      <w:r>
        <w:t xml:space="preserve"> </w:t>
      </w:r>
      <w:r>
        <w:t xml:space="preserve">10% /</w:t>
      </w:r>
      <w:r>
        <w:t xml:space="preserve"> </w:t>
      </w:r>
      <w:r>
        <w:rPr>
          <w:b/>
          <w:bCs/>
        </w:rPr>
        <w:t xml:space="preserve">30%</w:t>
      </w:r>
      <w:r>
        <w:t xml:space="preserve"> </w:t>
      </w:r>
      <w:r>
        <w:t xml:space="preserve">/ 50% / 70% / 90% &lt;– </w:t>
      </w:r>
      <w:r>
        <w:rPr>
          <w:rFonts w:hint="eastAsia"/>
        </w:rPr>
        <w:t xml:space="preserve">AI評価（T8修正後の最終値）</w:t>
      </w:r>
    </w:p>
    <w:p>
      <w:r>
        <w:pict>
          <v:rect style="width:0;height:1.5pt" o:hralign="center" o:hrstd="t" o:hr="t"/>
        </w:pict>
      </w:r>
    </w:p>
    <w:bookmarkEnd w:id="22"/>
    <w:bookmarkEnd w:id="23"/>
    <w:bookmarkStart w:id="25" w:name="主張-7-借換え需要の構造的成長と起債サイクルの恩恵"/>
    <w:p>
      <w:pPr>
        <w:pStyle w:val="Heading3"/>
      </w:pPr>
      <w:r>
        <w:rPr>
          <w:rFonts w:hint="eastAsia"/>
        </w:rPr>
        <w:t xml:space="preserve">主張</w:t>
      </w:r>
      <w:r>
        <w:t xml:space="preserve"> #7: </w:t>
      </w:r>
      <w:r>
        <w:rPr>
          <w:rFonts w:hint="eastAsia"/>
        </w:rPr>
        <w:t xml:space="preserve">借換え需要の構造的成長と起債サイクルの恩恵</w:t>
      </w:r>
    </w:p>
    <w:bookmarkStart w:id="24" w:name="ai評価-あまり納得しない30-t8注記-cacagr乖離3070の根拠を明記"/>
    <w:p>
      <w:pPr>
        <w:pStyle w:val="Heading4"/>
      </w:pPr>
      <w:r>
        <w:rPr>
          <w:rFonts w:hint="eastAsia"/>
        </w:rPr>
        <w:t xml:space="preserve">AI評価:</w:t>
      </w:r>
      <w:r>
        <w:t xml:space="preserve"> </w:t>
      </w:r>
      <w:r>
        <w:rPr>
          <w:rFonts w:hint="eastAsia"/>
        </w:rPr>
        <w:t xml:space="preserve">あまり納得しない（30%）</w:t>
      </w:r>
      <w:r>
        <w:t xml:space="preserve"> </w:t>
      </w:r>
      <w:r>
        <w:rPr>
          <w:rFonts w:hint="eastAsia"/>
        </w:rPr>
        <w:t xml:space="preserve">[T8注記:</w:t>
      </w:r>
      <w:r>
        <w:t xml:space="preserve"> </w:t>
      </w:r>
      <w:r>
        <w:rPr>
          <w:rFonts w:hint="eastAsia"/>
        </w:rPr>
        <w:t xml:space="preserve">CA/CAGR乖離（30%/70%）の根拠を明記]</w:t>
      </w:r>
    </w:p>
    <w:p>
      <w:pPr>
        <w:pStyle w:val="FirstParagraph"/>
      </w:pPr>
      <w:r>
        <w:rPr>
          <w:rFonts w:hint="eastAsia"/>
        </w:rPr>
        <w:t xml:space="preserve">今後4年の借換え予定金額$5T、HY債+19%と定量データは豊富。借換えサイクルは格付け収入の重要なドライバー。しかし</w:t>
      </w:r>
      <w:r>
        <w:rPr>
          <w:rFonts w:hint="eastAsia"/>
        </w:rPr>
        <w:t xml:space="preserve">これはMCO固有の「競争優位性」ではなく「市場環境」</w:t>
      </w:r>
      <w:r>
        <w:rPr>
          <w:rFonts w:hint="eastAsia"/>
        </w:rPr>
        <w:t xml:space="preserve">であり、SPGIにも全く同等に恩恵が及ぶ（ルール7</w:t>
      </w:r>
      <w:r>
        <w:t xml:space="preserve"> </w:t>
      </w:r>
      <w:r>
        <w:rPr>
          <w:rFonts w:hint="eastAsia"/>
        </w:rPr>
        <w:t xml:space="preserve">FAIL）。</w:t>
      </w:r>
    </w:p>
    <w:p>
      <w:pPr>
        <w:pStyle w:val="BodyText"/>
      </w:pPr>
      <w:r>
        <w:rPr>
          <w:rFonts w:hint="eastAsia"/>
          <w:b/>
          <w:bCs/>
        </w:rPr>
        <w:t xml:space="preserve">納得できる点</w:t>
      </w:r>
      <w:r>
        <w:t xml:space="preserve">: </w:t>
      </w:r>
      <w:r>
        <w:rPr>
          <w:rFonts w:hint="eastAsia"/>
        </w:rPr>
        <w:t xml:space="preserve">$5T、HY+19%の定量データ。借換えサイクルの構造的説明。</w:t>
      </w:r>
    </w:p>
    <w:p>
      <w:pPr>
        <w:pStyle w:val="BodyText"/>
      </w:pPr>
      <w:r>
        <w:rPr>
          <w:rFonts w:hint="eastAsia"/>
          <w:b/>
          <w:bCs/>
        </w:rPr>
        <w:t xml:space="preserve">懸念点</w:t>
      </w:r>
      <w:r>
        <w:t xml:space="preserve">: </w:t>
      </w:r>
      <w:r>
        <w:rPr>
          <w:rFonts w:hint="eastAsia"/>
        </w:rPr>
        <w:t xml:space="preserve">MCO固有の能力/仕組みではない（ルール1</w:t>
      </w:r>
      <w:r>
        <w:t xml:space="preserve"> </w:t>
      </w:r>
      <w:r>
        <w:rPr>
          <w:rFonts w:hint="eastAsia"/>
        </w:rPr>
        <w:t xml:space="preserve">WARN）。SPGI同等恩恵（ルール7</w:t>
      </w:r>
      <w:r>
        <w:t xml:space="preserve"> </w:t>
      </w:r>
      <w:r>
        <w:rPr>
          <w:rFonts w:hint="eastAsia"/>
        </w:rPr>
        <w:t xml:space="preserve">FAIL）。「投資前提」であり「優位性」ではない。</w:t>
      </w:r>
    </w:p>
    <w:p>
      <w:pPr>
        <w:pStyle w:val="BlockText"/>
      </w:pPr>
      <w:r>
        <w:rPr>
          <w:rFonts w:hint="eastAsia"/>
          <w:b/>
          <w:bCs/>
        </w:rPr>
        <w:t xml:space="preserve">[注7]</w:t>
      </w:r>
      <w:r>
        <w:rPr>
          <w:b/>
          <w:bCs/>
        </w:rPr>
        <w:t xml:space="preserve"> </w:t>
      </w:r>
      <w:r>
        <w:rPr>
          <w:rFonts w:hint="eastAsia"/>
          <w:b/>
          <w:bCs/>
        </w:rPr>
        <w:t xml:space="preserve">T8批判</w:t>
      </w:r>
      <w:r>
        <w:rPr>
          <w:b/>
          <w:bCs/>
        </w:rPr>
        <w:t xml:space="preserve"> (minor): CA 30%/CAGR </w:t>
      </w:r>
      <w:r>
        <w:rPr>
          <w:rFonts w:hint="eastAsia"/>
          <w:b/>
          <w:bCs/>
        </w:rPr>
        <w:t xml:space="preserve">70%乖離の明確化</w:t>
      </w:r>
    </w:p>
    <w:p>
      <w:pPr>
        <w:pStyle w:val="BlockText"/>
      </w:pPr>
      <w:r>
        <w:t xml:space="preserve">CA evaluation 30%とCAGR confidence </w:t>
      </w:r>
      <w:r>
        <w:rPr>
          <w:rFonts w:hint="eastAsia"/>
        </w:rPr>
        <w:t xml:space="preserve">70%の40ポイント乖離について：これは「借換え需要は競争優位性としては不成立（CA</w:t>
      </w:r>
      <w:r>
        <w:t xml:space="preserve"> </w:t>
      </w:r>
      <w:r>
        <w:rPr>
          <w:rFonts w:hint="eastAsia"/>
        </w:rPr>
        <w:t xml:space="preserve">30%）だが、CAGR前提条件としての確実性は高い（CAGR</w:t>
      </w:r>
      <w:r>
        <w:t xml:space="preserve"> </w:t>
      </w:r>
      <w:r>
        <w:rPr>
          <w:rFonts w:hint="eastAsia"/>
        </w:rPr>
        <w:t xml:space="preserve">70%）」という二重評価である。CAGR</w:t>
      </w:r>
      <w:r>
        <w:t xml:space="preserve"> confidence </w:t>
      </w:r>
      <w:r>
        <w:rPr>
          <w:rFonts w:hint="eastAsia"/>
        </w:rPr>
        <w:t xml:space="preserve">70%は「MCOの優位性」ではなく「市場環境の確実性」を評価したものであり、この区別を明記する。</w:t>
      </w:r>
    </w:p>
    <w:p>
      <w:pPr>
        <w:pStyle w:val="BlockText"/>
      </w:pPr>
      <w:r>
        <w:rPr>
          <w:rFonts w:hint="eastAsia"/>
          <w:b/>
          <w:bCs/>
        </w:rPr>
        <w:t xml:space="preserve">T8の判断</w:t>
      </w:r>
      <w:r>
        <w:t xml:space="preserve">: CA 30%、CAGR </w:t>
      </w:r>
      <w:r>
        <w:rPr>
          <w:rFonts w:hint="eastAsia"/>
        </w:rPr>
        <w:t xml:space="preserve">70%を維持する。ただしCAGR</w:t>
      </w:r>
      <w:r>
        <w:t xml:space="preserve"> </w:t>
      </w:r>
      <w:r>
        <w:rPr>
          <w:rFonts w:hint="eastAsia"/>
        </w:rPr>
        <w:t xml:space="preserve">70%は市場環境の確実性評価であり、MCOの能力評価ではないことを明記する。</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ascii="Times New Roman" w:hAnsi="Times New Roman" w:eastAsia="游明朝"/>
                <w:sz w:val="18"/>
              </w:rPr>
              <w:t xml:space="preserve">1. </w:t>
            </w:r>
            <w:r>
              <w:rPr>
                <w:rFonts w:hint="eastAsia" w:ascii="Times New Roman" w:hAnsi="Times New Roman" w:eastAsia="游明朝"/>
                <w:sz w:val="18"/>
              </w:rPr>
              <w:t xml:space="preserve">能力</w:t>
            </w:r>
            <w:r>
              <w:rPr>
                <w:rFonts w:ascii="Times New Roman" w:hAnsi="Times New Roman" w:eastAsia="游明朝"/>
                <w:sz w:val="18"/>
              </w:rPr>
              <w:t xml:space="preserve"> vs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外部環境であり能力ではない</w:t>
            </w:r>
          </w:p>
        </w:tc>
      </w:tr>
      <w:tr>
        <w:tc>
          <w:tcPr/>
          <w:p>
            <w:pPr>
              <w:pStyle w:val="Compact"/>
            </w:pPr>
            <w:r>
              <w:rPr>
                <w:rFonts w:ascii="Times New Roman" w:hAnsi="Times New Roman" w:eastAsia="游明朝"/>
                <w:sz w:val="18"/>
              </w:rPr>
              <w:t xml:space="preserve">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MCO属性ではなく市場属性</w:t>
            </w:r>
          </w:p>
        </w:tc>
      </w:tr>
      <w:tr>
        <w:tc>
          <w:tcPr/>
          <w:p>
            <w:pPr>
              <w:pStyle w:val="Compact"/>
            </w:pPr>
            <w:r>
              <w:rPr>
                <w:rFonts w:ascii="Times New Roman" w:hAnsi="Times New Roman" w:eastAsia="游明朝"/>
                <w:sz w:val="18"/>
              </w:rPr>
              <w:t xml:space="preserve">4. </w:t>
            </w:r>
            <w:r>
              <w:rPr>
                <w:rFonts w:hint="eastAsia" w:ascii="Times New Roman" w:hAnsi="Times New Roman" w:eastAsia="游明朝"/>
                <w:sz w:val="18"/>
              </w:rPr>
              <w:t xml:space="preserve">定量的裏付け</w:t>
            </w:r>
          </w:p>
        </w:tc>
        <w:tc>
          <w:tcPr/>
          <w:p>
            <w:pPr>
              <w:pStyle w:val="Compact"/>
            </w:pPr>
            <w:r>
              <w:rPr>
                <w:rFonts w:ascii="Times New Roman" w:hAnsi="Times New Roman" w:eastAsia="游明朝"/>
                <w:sz w:val="18"/>
              </w:rPr>
              <w:t xml:space="preserve">PASS</w:t>
            </w:r>
          </w:p>
        </w:tc>
        <w:tc>
          <w:tcPr/>
          <w:p>
            <w:pPr>
              <w:pStyle w:val="Compact"/>
            </w:pPr>
            <w:r>
              <w:rPr>
                <w:rFonts w:ascii="Times New Roman" w:hAnsi="Times New Roman" w:eastAsia="游明朝"/>
                <w:sz w:val="18"/>
              </w:rPr>
              <w:t xml:space="preserve">$5T、HY+19%</w:t>
            </w:r>
          </w:p>
        </w:tc>
      </w:tr>
      <w:tr>
        <w:tc>
          <w:tcPr/>
          <w:p>
            <w:pPr>
              <w:pStyle w:val="Compact"/>
            </w:pPr>
            <w:r>
              <w:rPr>
                <w:rFonts w:ascii="Times New Roman" w:hAnsi="Times New Roman" w:eastAsia="游明朝"/>
                <w:sz w:val="18"/>
              </w:rPr>
              <w:t xml:space="preserve">6. </w:t>
            </w:r>
            <w:r>
              <w:rPr>
                <w:rFonts w:hint="eastAsia" w:ascii="Times New Roman" w:hAnsi="Times New Roman" w:eastAsia="游明朝"/>
                <w:sz w:val="18"/>
              </w:rPr>
              <w:t xml:space="preserve">構造的</w:t>
            </w:r>
            <w:r>
              <w:rPr>
                <w:rFonts w:ascii="Times New Roman" w:hAnsi="Times New Roman" w:eastAsia="游明朝"/>
                <w:sz w:val="18"/>
              </w:rPr>
              <w:t xml:space="preserve"> vs </w:t>
            </w:r>
            <w:r>
              <w:rPr>
                <w:rFonts w:hint="eastAsia" w:ascii="Times New Roman" w:hAnsi="Times New Roman" w:eastAsia="游明朝"/>
                <w:sz w:val="18"/>
              </w:rPr>
              <w:t xml:space="preserve">補完的</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環境要因</w:t>
            </w:r>
          </w:p>
        </w:tc>
      </w:tr>
      <w:tr>
        <w:tc>
          <w:tcPr/>
          <w:p>
            <w:pPr>
              <w:pStyle w:val="Compact"/>
            </w:pPr>
            <w:r>
              <w:rPr>
                <w:rFonts w:ascii="Times New Roman" w:hAnsi="Times New Roman" w:eastAsia="游明朝"/>
                <w:sz w:val="18"/>
              </w:rPr>
              <w:t xml:space="preserve">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SPGI同等恩恵</w:t>
            </w:r>
          </w:p>
        </w:tc>
      </w:tr>
      <w:tr>
        <w:tc>
          <w:tcPr/>
          <w:p>
            <w:pPr>
              <w:pStyle w:val="Compact"/>
            </w:pPr>
            <w:r>
              <w:rPr>
                <w:rFonts w:ascii="Times New Roman" w:hAnsi="Times New Roman" w:eastAsia="游明朝"/>
                <w:sz w:val="18"/>
              </w:rPr>
              <w:t xml:space="preserve">8. </w:t>
            </w:r>
            <w:r>
              <w:rPr>
                <w:rFonts w:hint="eastAsia" w:ascii="Times New Roman" w:hAnsi="Times New Roman" w:eastAsia="游明朝"/>
                <w:sz w:val="18"/>
              </w:rPr>
              <w:t xml:space="preserve">戦略</w:t>
            </w:r>
            <w:r>
              <w:rPr>
                <w:rFonts w:ascii="Times New Roman" w:hAnsi="Times New Roman" w:eastAsia="游明朝"/>
                <w:sz w:val="18"/>
              </w:rPr>
              <w:t xml:space="preserve"> vs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市場環境</w:t>
            </w:r>
          </w:p>
        </w:tc>
      </w:tr>
      <w:tr>
        <w:tc>
          <w:tcPr/>
          <w:p>
            <w:pPr>
              <w:pStyle w:val="Compact"/>
            </w:pPr>
            <w:r>
              <w:rPr>
                <w:rFonts w:ascii="Times New Roman" w:hAnsi="Times New Roman" w:eastAsia="游明朝"/>
                <w:sz w:val="18"/>
              </w:rPr>
              <w:t xml:space="preserve">10. ネガティブケース</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該当なし</w:t>
            </w:r>
          </w:p>
        </w:tc>
      </w:tr>
      <w:tr>
        <w:tc>
          <w:tcPr/>
          <w:p>
            <w:pPr>
              <w:pStyle w:val="Compact"/>
            </w:pPr>
            <w:r>
              <w:rPr>
                <w:rFonts w:ascii="Times New Roman" w:hAnsi="Times New Roman" w:eastAsia="游明朝"/>
                <w:sz w:val="18"/>
              </w:rPr>
              <w:t xml:space="preserve">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業界環境であり固有ポジションではない</w:t>
            </w:r>
          </w:p>
        </w:tc>
      </w:tr>
    </w:tbl>
    <w:p>
      <w:pPr>
        <w:pStyle w:val="BodyText"/>
      </w:pPr>
      <w:r>
        <w:rPr>
          <w:rFonts w:hint="eastAsia"/>
          <w:b/>
          <w:bCs/>
        </w:rPr>
        <w:t xml:space="preserve">検出パターン</w:t>
      </w:r>
      <w:r>
        <w:t xml:space="preserve">: </w:t>
      </w:r>
      <w:r>
        <w:rPr>
          <w:rFonts w:hint="eastAsia"/>
        </w:rPr>
        <w:t xml:space="preserve">パターンA（結果帰属）、パターンB（業界共通）</w:t>
      </w:r>
    </w:p>
    <w:p>
      <w:pPr>
        <w:pStyle w:val="BodyText"/>
      </w:pPr>
      <w:r>
        <w:rPr>
          <w:rFonts w:hint="eastAsia"/>
          <w:b/>
          <w:bCs/>
        </w:rPr>
        <w:t xml:space="preserve">CAGR接続（70%）</w:t>
      </w:r>
      <w:r>
        <w:t xml:space="preserve">: </w:t>
      </w:r>
      <w:r>
        <w:rPr>
          <w:rFonts w:hint="eastAsia"/>
        </w:rPr>
        <w:t xml:space="preserve">借換え需要→起債→格付け収入。CAGR内GDP+2.5%の環境要因。CA</w:t>
      </w:r>
      <w:r>
        <w:t xml:space="preserve"> </w:t>
      </w:r>
      <w:r>
        <w:rPr>
          <w:rFonts w:hint="eastAsia"/>
        </w:rPr>
        <w:t xml:space="preserve">30%の評価は維持するが、CAGR前提条件としての確度は高い。CAGR</w:t>
      </w:r>
      <w:r>
        <w:t xml:space="preserve"> </w:t>
      </w:r>
      <w:r>
        <w:rPr>
          <w:rFonts w:hint="eastAsia"/>
        </w:rPr>
        <w:t xml:space="preserve">70%は市場環境の確実性評価であり、MCOの能力評価ではない。</w:t>
      </w:r>
    </w:p>
    <w:p>
      <w:r>
        <w:pict>
          <v:rect style="width:0;height:1.5pt" o:hralign="center" o:hrstd="t" o:hr="t"/>
        </w:pict>
      </w:r>
    </w:p>
    <w:p>
      <w:pPr>
        <w:pStyle w:val="FirstParagraph"/>
      </w:pPr>
      <w:r>
        <w:rPr>
          <w:rFonts w:hint="eastAsia"/>
          <w:b/>
          <w:bCs/>
        </w:rPr>
        <w:t xml:space="preserve">納得度:</w:t>
      </w:r>
      <w:r>
        <w:t xml:space="preserve"> </w:t>
      </w:r>
      <w:r>
        <w:t xml:space="preserve">10% /</w:t>
      </w:r>
      <w:r>
        <w:t xml:space="preserve"> </w:t>
      </w:r>
      <w:r>
        <w:rPr>
          <w:b/>
          <w:bCs/>
        </w:rPr>
        <w:t xml:space="preserve">30%</w:t>
      </w:r>
      <w:r>
        <w:t xml:space="preserve"> </w:t>
      </w:r>
      <w:r>
        <w:t xml:space="preserve">/ 50% / 70% / 90% &lt;– </w:t>
      </w:r>
      <w:r>
        <w:rPr>
          <w:rFonts w:hint="eastAsia"/>
        </w:rPr>
        <w:t xml:space="preserve">AI評価（T8修正後の最終値）</w:t>
      </w:r>
    </w:p>
    <w:p>
      <w:r>
        <w:pict>
          <v:rect style="width:0;height:1.5pt" o:hralign="center" o:hrstd="t" o:hr="t"/>
        </w:pict>
      </w:r>
    </w:p>
    <w:bookmarkEnd w:id="24"/>
    <w:bookmarkEnd w:id="25"/>
    <w:bookmarkEnd w:id="26"/>
    <w:bookmarkStart w:id="32" w:name="総合評価"/>
    <w:p>
      <w:pPr>
        <w:pStyle w:val="Heading2"/>
      </w:pPr>
      <w:r>
        <w:t xml:space="preserve">4. </w:t>
      </w:r>
      <w:r>
        <w:rPr>
          <w:rFonts w:hint="eastAsia"/>
        </w:rPr>
        <w:t xml:space="preserve">総合評価</w:t>
      </w:r>
    </w:p>
    <w:bookmarkStart w:id="27" w:name="競争優位性の構造"/>
    <w:p>
      <w:pPr>
        <w:pStyle w:val="Heading3"/>
      </w:pPr>
      <w:r>
        <w:rPr>
          <w:rFonts w:hint="eastAsia"/>
        </w:rPr>
        <w:t xml:space="preserve">競争優位性の構造</w:t>
      </w:r>
    </w:p>
    <w:p>
      <w:pPr>
        <w:pStyle w:val="SourceCode"/>
      </w:pPr>
      <w:r>
        <w:rPr>
          <w:rStyle w:val="VerbatimChar"/>
          <w:rFonts w:hint="eastAsia"/>
        </w:rPr>
        <w:t xml:space="preserve">【核心的優位性】</w:t>
      </w:r>
      <w:r>
        <w:br/>
      </w:r>
      <w:r>
        <w:rPr>
          <w:rStyle w:val="VerbatimChar"/>
        </w:rPr>
        <w:t xml:space="preserve">  #1 </w:t>
      </w:r>
      <w:r>
        <w:rPr>
          <w:rStyle w:val="VerbatimChar"/>
          <w:rFonts w:hint="eastAsia"/>
        </w:rPr>
        <w:t xml:space="preserve">寡占構造（90%）</w:t>
      </w:r>
      <w:r>
        <w:rPr>
          <w:rStyle w:val="VerbatimChar"/>
        </w:rPr>
        <w:t xml:space="preserve"> ←→ CAGR </w:t>
      </w:r>
      <w:r>
        <w:rPr>
          <w:rStyle w:val="VerbatimChar"/>
          <w:rFonts w:hint="eastAsia"/>
        </w:rPr>
        <w:t xml:space="preserve">+6%（MIS全体の基盤）</w:t>
      </w:r>
      <w:r>
        <w:br/>
      </w:r>
      <w:r>
        <w:rPr>
          <w:rStyle w:val="VerbatimChar"/>
        </w:rPr>
        <w:t xml:space="preserve">      │                        ↑</w:t>
      </w:r>
      <w:r>
        <w:br/>
      </w:r>
      <w:r>
        <w:rPr>
          <w:rStyle w:val="VerbatimChar"/>
        </w:rPr>
        <w:t xml:space="preserve">      │              </w:t>
      </w:r>
      <w:r>
        <w:rPr>
          <w:rStyle w:val="VerbatimChar"/>
          <w:rFonts w:hint="eastAsia"/>
        </w:rPr>
        <w:t xml:space="preserve">[T8注記]</w:t>
      </w:r>
      <w:r>
        <w:rPr>
          <w:rStyle w:val="VerbatimChar"/>
        </w:rPr>
        <w:t xml:space="preserve"> </w:t>
      </w:r>
      <w:r>
        <w:rPr>
          <w:rStyle w:val="VerbatimChar"/>
          <w:rFonts w:hint="eastAsia"/>
        </w:rPr>
        <w:t xml:space="preserve">業界構造の恩恵。MCO固有能力との区別要。</w:t>
      </w:r>
      <w:r>
        <w:br/>
      </w:r>
      <w:r>
        <w:rPr>
          <w:rStyle w:val="VerbatimChar"/>
        </w:rPr>
        <w:t xml:space="preserve">      ├── #2 </w:t>
      </w:r>
      <w:r>
        <w:rPr>
          <w:rStyle w:val="VerbatimChar"/>
          <w:rFonts w:hint="eastAsia"/>
        </w:rPr>
        <w:t xml:space="preserve">プライシングパワー（70%）</w:t>
      </w:r>
      <w:r>
        <w:rPr>
          <w:rStyle w:val="VerbatimChar"/>
        </w:rPr>
        <w:t xml:space="preserve"> → </w:t>
      </w:r>
      <w:r>
        <w:rPr>
          <w:rStyle w:val="VerbatimChar"/>
          <w:rFonts w:hint="eastAsia"/>
        </w:rPr>
        <w:t xml:space="preserve">価格効果+2.5%</w:t>
      </w:r>
      <w:r>
        <w:br/>
      </w:r>
      <w:r>
        <w:rPr>
          <w:rStyle w:val="VerbatimChar"/>
        </w:rPr>
        <w:t xml:space="preserve">      │</w:t>
      </w:r>
      <w:r>
        <w:br/>
      </w:r>
      <w:r>
        <w:rPr>
          <w:rStyle w:val="VerbatimChar"/>
        </w:rPr>
        <w:t xml:space="preserve">      └── #3 </w:t>
      </w:r>
      <w:r>
        <w:rPr>
          <w:rStyle w:val="VerbatimChar"/>
          <w:rFonts w:hint="eastAsia"/>
        </w:rPr>
        <w:t xml:space="preserve">スイッチングコスト（70%）</w:t>
      </w:r>
      <w:r>
        <w:rPr>
          <w:rStyle w:val="VerbatimChar"/>
        </w:rPr>
        <w:t xml:space="preserve"> → </w:t>
      </w:r>
      <w:r>
        <w:rPr>
          <w:rStyle w:val="VerbatimChar"/>
          <w:rFonts w:hint="eastAsia"/>
        </w:rPr>
        <w:t xml:space="preserve">顧客維持→安定性</w:t>
      </w:r>
      <w:r>
        <w:br/>
      </w:r>
      <w:r>
        <w:rPr>
          <w:rStyle w:val="VerbatimChar"/>
        </w:rPr>
        <w:t xml:space="preserve">                              ↑</w:t>
      </w:r>
      <w:r>
        <w:br/>
      </w:r>
      <w:r>
        <w:rPr>
          <w:rStyle w:val="VerbatimChar"/>
        </w:rPr>
        <w:t xml:space="preserve">                    </w:t>
      </w:r>
      <w:r>
        <w:rPr>
          <w:rStyle w:val="VerbatimChar"/>
          <w:rFonts w:hint="eastAsia"/>
        </w:rPr>
        <w:t xml:space="preserve">[T8注記]</w:t>
      </w:r>
      <w:r>
        <w:rPr>
          <w:rStyle w:val="VerbatimChar"/>
        </w:rPr>
        <w:t xml:space="preserve"> claim#1とのダブルカウントリスク</w:t>
      </w:r>
      <w:r>
        <w:br/>
      </w:r>
      <w:r>
        <w:br/>
      </w:r>
      <w:r>
        <w:rPr>
          <w:rStyle w:val="VerbatimChar"/>
          <w:rFonts w:hint="eastAsia"/>
        </w:rPr>
        <w:t xml:space="preserve">【補完的優位性】</w:t>
      </w:r>
      <w:r>
        <w:br/>
      </w:r>
      <w:r>
        <w:rPr>
          <w:rStyle w:val="VerbatimChar"/>
        </w:rPr>
        <w:t xml:space="preserve">  #4 </w:t>
      </w:r>
      <w:r>
        <w:rPr>
          <w:rStyle w:val="VerbatimChar"/>
          <w:rFonts w:hint="eastAsia"/>
        </w:rPr>
        <w:t xml:space="preserve">MAデータ蓄積（50%）</w:t>
      </w:r>
      <w:r>
        <w:rPr>
          <w:rStyle w:val="VerbatimChar"/>
        </w:rPr>
        <w:t xml:space="preserve"> → MA CAGR +6.5%</w:t>
      </w:r>
      <w:r>
        <w:br/>
      </w:r>
      <w:r>
        <w:br/>
      </w:r>
      <w:r>
        <w:rPr>
          <w:rStyle w:val="VerbatimChar"/>
          <w:rFonts w:hint="eastAsia"/>
        </w:rPr>
        <w:t xml:space="preserve">【独立性不足（T8修正）】</w:t>
      </w:r>
      <w:r>
        <w:br/>
      </w:r>
      <w:r>
        <w:rPr>
          <w:rStyle w:val="VerbatimChar"/>
        </w:rPr>
        <w:t xml:space="preserve">  #6 </w:t>
      </w:r>
      <w:r>
        <w:rPr>
          <w:rStyle w:val="VerbatimChar"/>
          <w:rFonts w:hint="eastAsia"/>
        </w:rPr>
        <w:t xml:space="preserve">ブランド認知（30%）</w:t>
      </w:r>
      <w:r>
        <w:rPr>
          <w:rStyle w:val="VerbatimChar"/>
        </w:rPr>
        <w:t xml:space="preserve"> → </w:t>
      </w:r>
      <w:r>
        <w:rPr>
          <w:rStyle w:val="VerbatimChar"/>
          <w:rFonts w:hint="eastAsia"/>
        </w:rPr>
        <w:t xml:space="preserve">claim#1-3の結果（T8修正:</w:t>
      </w:r>
      <w:r>
        <w:rPr>
          <w:rStyle w:val="VerbatimChar"/>
        </w:rPr>
        <w:t xml:space="preserve"> </w:t>
      </w:r>
      <w:r>
        <w:rPr>
          <w:rStyle w:val="VerbatimChar"/>
          <w:rFonts w:hint="eastAsia"/>
        </w:rPr>
        <w:t xml:space="preserve">50%→30%）</w:t>
      </w:r>
      <w:r>
        <w:br/>
      </w:r>
      <w:r>
        <w:br/>
      </w:r>
      <w:r>
        <w:rPr>
          <w:rStyle w:val="VerbatimChar"/>
          <w:rFonts w:hint="eastAsia"/>
        </w:rPr>
        <w:t xml:space="preserve">【市場機会/環境（優位性としての評価は限定的）】</w:t>
      </w:r>
      <w:r>
        <w:br/>
      </w:r>
      <w:r>
        <w:rPr>
          <w:rStyle w:val="VerbatimChar"/>
        </w:rPr>
        <w:t xml:space="preserve">  #5 </w:t>
      </w:r>
      <w:r>
        <w:rPr>
          <w:rStyle w:val="VerbatimChar"/>
          <w:rFonts w:hint="eastAsia"/>
        </w:rPr>
        <w:t xml:space="preserve">PC市場成長（50%）</w:t>
      </w:r>
      <w:r>
        <w:rPr>
          <w:rStyle w:val="VerbatimChar"/>
        </w:rPr>
        <w:t xml:space="preserve"> → </w:t>
      </w:r>
      <w:r>
        <w:rPr>
          <w:rStyle w:val="VerbatimChar"/>
          <w:rFonts w:hint="eastAsia"/>
        </w:rPr>
        <w:t xml:space="preserve">追加的成長オプション</w:t>
      </w:r>
      <w:r>
        <w:br/>
      </w:r>
      <w:r>
        <w:rPr>
          <w:rStyle w:val="VerbatimChar"/>
        </w:rPr>
        <w:t xml:space="preserve">  #7 </w:t>
      </w:r>
      <w:r>
        <w:rPr>
          <w:rStyle w:val="VerbatimChar"/>
          <w:rFonts w:hint="eastAsia"/>
        </w:rPr>
        <w:t xml:space="preserve">借換え需要（30%）</w:t>
      </w:r>
      <w:r>
        <w:rPr>
          <w:rStyle w:val="VerbatimChar"/>
        </w:rPr>
        <w:t xml:space="preserve"> → </w:t>
      </w:r>
      <w:r>
        <w:rPr>
          <w:rStyle w:val="VerbatimChar"/>
          <w:rFonts w:hint="eastAsia"/>
        </w:rPr>
        <w:t xml:space="preserve">CAGR環境前提</w:t>
      </w:r>
    </w:p>
    <w:bookmarkEnd w:id="27"/>
    <w:bookmarkStart w:id="28" w:name="強み"/>
    <w:p>
      <w:pPr>
        <w:pStyle w:val="Heading3"/>
      </w:pPr>
      <w:r>
        <w:rPr>
          <w:rFonts w:hint="eastAsia"/>
        </w:rPr>
        <w:t xml:space="preserve">強み</w:t>
      </w:r>
    </w:p>
    <w:p>
      <w:pPr>
        <w:pStyle w:val="Compact"/>
        <w:numPr>
          <w:ilvl w:val="0"/>
          <w:numId w:val="1001"/>
        </w:numPr>
      </w:pPr>
      <w:r>
        <w:rPr>
          <w:rFonts w:hint="eastAsia"/>
          <w:b/>
          <w:bCs/>
        </w:rPr>
        <w:t xml:space="preserve">格付け事業の構造的優位性は極めて強固</w:t>
      </w:r>
      <w:r>
        <w:t xml:space="preserve">: </w:t>
      </w:r>
      <w:r>
        <w:rPr>
          <w:rFonts w:hint="eastAsia"/>
        </w:rPr>
        <w:t xml:space="preserve">寡占構造（claim#1:</w:t>
      </w:r>
      <w:r>
        <w:t xml:space="preserve"> </w:t>
      </w:r>
      <w:r>
        <w:rPr>
          <w:rFonts w:hint="eastAsia"/>
        </w:rPr>
        <w:t xml:space="preserve">90%）は20年のシェア安定性と2社取得慣行に裏付けられ、KBにおける最高水準の業界構造合致を示す</w:t>
      </w:r>
    </w:p>
    <w:p>
      <w:pPr>
        <w:pStyle w:val="Compact"/>
        <w:numPr>
          <w:ilvl w:val="0"/>
          <w:numId w:val="1001"/>
        </w:numPr>
      </w:pPr>
      <w:r>
        <w:rPr>
          <w:rFonts w:hint="eastAsia"/>
          <w:b/>
          <w:bCs/>
        </w:rPr>
        <w:t xml:space="preserve">定量データの豊富さ</w:t>
      </w:r>
      <w:r>
        <w:t xml:space="preserve">: </w:t>
      </w:r>
      <w:r>
        <w:rPr>
          <w:rFonts w:hint="eastAsia"/>
        </w:rPr>
        <w:t xml:space="preserve">シェア比率、価格上昇率、維持率、ARR等の開示データが充実しており、CAGR接続の検証可能性が高い</w:t>
      </w:r>
    </w:p>
    <w:p>
      <w:pPr>
        <w:pStyle w:val="Compact"/>
        <w:numPr>
          <w:ilvl w:val="0"/>
          <w:numId w:val="1001"/>
        </w:numPr>
      </w:pPr>
      <w:r>
        <w:rPr>
          <w:rFonts w:hint="eastAsia"/>
          <w:b/>
          <w:bCs/>
        </w:rPr>
        <w:t xml:space="preserve">アナリストのネガティブケース分析の質</w:t>
      </w:r>
      <w:r>
        <w:t xml:space="preserve">: </w:t>
      </w:r>
      <w:r>
        <w:rPr>
          <w:rFonts w:hint="eastAsia"/>
        </w:rPr>
        <w:t xml:space="preserve">PC市場（claim#5）でのダイレクトレンディング限界や、MA事業の優位性留保など、自己批判的な分析が含まれている</w:t>
      </w:r>
    </w:p>
    <w:p>
      <w:pPr>
        <w:pStyle w:val="Compact"/>
        <w:numPr>
          <w:ilvl w:val="0"/>
          <w:numId w:val="1001"/>
        </w:numPr>
      </w:pPr>
      <w:r>
        <w:rPr>
          <w:rFonts w:hint="eastAsia"/>
          <w:b/>
          <w:bCs/>
        </w:rPr>
        <w:t xml:space="preserve">CAGR分解の明確さ</w:t>
      </w:r>
      <w:r>
        <w:t xml:space="preserve">: MIS +6%、MA </w:t>
      </w:r>
      <w:r>
        <w:rPr>
          <w:rFonts w:hint="eastAsia"/>
        </w:rPr>
        <w:t xml:space="preserve">+6.5%、マージン+1%等のパラメータが各主張と対応付けられている</w:t>
      </w:r>
    </w:p>
    <w:bookmarkEnd w:id="28"/>
    <w:bookmarkStart w:id="29" w:name="弱み留意点t8修正後"/>
    <w:p>
      <w:pPr>
        <w:pStyle w:val="Heading3"/>
      </w:pPr>
      <w:r>
        <w:rPr>
          <w:rFonts w:hint="eastAsia"/>
        </w:rPr>
        <w:t xml:space="preserve">弱み・留意点（T8修正後）</w:t>
      </w:r>
    </w:p>
    <w:p>
      <w:pPr>
        <w:pStyle w:val="Compact"/>
        <w:numPr>
          <w:ilvl w:val="0"/>
          <w:numId w:val="1002"/>
        </w:numPr>
      </w:pPr>
      <w:r>
        <w:rPr>
          <w:rFonts w:hint="eastAsia"/>
          <w:b/>
          <w:bCs/>
        </w:rPr>
        <w:t xml:space="preserve">SPGI差別化の全体的不足</w:t>
      </w:r>
      <w:r>
        <w:t xml:space="preserve">: </w:t>
      </w:r>
      <w:r>
        <w:rPr>
          <w:rFonts w:hint="eastAsia"/>
        </w:rPr>
        <w:t xml:space="preserve">7主張中ほぼ全てでSPGIとの純粋競合差別化が不完全（パターンG）。MCO固有の優位性は格付け事業比率（50%</w:t>
      </w:r>
      <w:r>
        <w:t xml:space="preserve"> vs </w:t>
      </w:r>
      <w:r>
        <w:rPr>
          <w:rFonts w:hint="eastAsia"/>
        </w:rPr>
        <w:t xml:space="preserve">30%弱）に限定</w:t>
      </w:r>
    </w:p>
    <w:p>
      <w:pPr>
        <w:pStyle w:val="Compact"/>
        <w:numPr>
          <w:ilvl w:val="0"/>
          <w:numId w:val="1002"/>
        </w:numPr>
      </w:pPr>
      <w:r>
        <w:rPr>
          <w:b/>
          <w:bCs/>
        </w:rPr>
        <w:t xml:space="preserve">claim#1-3-6のダブルカウント</w:t>
      </w:r>
      <w:r>
        <w:t xml:space="preserve">: </w:t>
      </w:r>
      <w:r>
        <w:rPr>
          <w:rFonts w:hint="eastAsia"/>
        </w:rPr>
        <w:t xml:space="preserve">寡占構造、スイッチングコスト、ブランド認知は同じ業界構造の異なる側面であり、独立した優位性としての計上はダブルカウントリスクがある（T8で#6を30%に引き下げ）</w:t>
      </w:r>
    </w:p>
    <w:p>
      <w:pPr>
        <w:pStyle w:val="Compact"/>
        <w:numPr>
          <w:ilvl w:val="0"/>
          <w:numId w:val="1002"/>
        </w:numPr>
      </w:pPr>
      <w:r>
        <w:rPr>
          <w:rFonts w:hint="eastAsia"/>
          <w:b/>
          <w:bCs/>
        </w:rPr>
        <w:t xml:space="preserve">MA事業の優位性不明確</w:t>
      </w:r>
      <w:r>
        <w:t xml:space="preserve">: </w:t>
      </w:r>
      <w:r>
        <w:rPr>
          <w:rFonts w:hint="eastAsia"/>
        </w:rPr>
        <w:t xml:space="preserve">アナリスト自身が留保しており、SPGI/Bloomberg等との差別化が言語化されていない</w:t>
      </w:r>
    </w:p>
    <w:p>
      <w:pPr>
        <w:pStyle w:val="Compact"/>
        <w:numPr>
          <w:ilvl w:val="0"/>
          <w:numId w:val="1002"/>
        </w:numPr>
      </w:pPr>
      <w:r>
        <w:rPr>
          <w:rFonts w:hint="eastAsia"/>
          <w:b/>
          <w:bCs/>
        </w:rPr>
        <w:t xml:space="preserve">市場機会と優位性の混同</w:t>
      </w:r>
      <w:r>
        <w:t xml:space="preserve">: </w:t>
      </w:r>
      <w:r>
        <w:rPr>
          <w:rFonts w:hint="eastAsia"/>
        </w:rPr>
        <w:t xml:space="preserve">claim#5（PC）とclaim#7（借換え）は市場環境であり、MCO固有の能力ではない</w:t>
      </w:r>
    </w:p>
    <w:p>
      <w:pPr>
        <w:pStyle w:val="Compact"/>
        <w:numPr>
          <w:ilvl w:val="0"/>
          <w:numId w:val="1002"/>
        </w:numPr>
      </w:pPr>
      <w:r>
        <w:rPr>
          <w:rFonts w:hint="eastAsia"/>
          <w:b/>
          <w:bCs/>
        </w:rPr>
        <w:t xml:space="preserve">「MCO固有能力」vs「業界構造の恩恵」の区別不足</w:t>
      </w:r>
      <w:r>
        <w:t xml:space="preserve">: </w:t>
      </w:r>
      <w:r>
        <w:rPr>
          <w:rFonts w:hint="eastAsia"/>
        </w:rPr>
        <w:t xml:space="preserve">claim#1の90%は業界構造の恩恵であり、MCO固有の競争能力の評価としては過大評価の可能性がある（T8でアノテーション追加）</w:t>
      </w:r>
    </w:p>
    <w:bookmarkEnd w:id="29"/>
    <w:bookmarkStart w:id="30" w:name="t8-ai批判プロセスの総括"/>
    <w:p>
      <w:pPr>
        <w:pStyle w:val="Heading3"/>
      </w:pPr>
      <w:r>
        <w:t xml:space="preserve">T8 </w:t>
      </w:r>
      <w:r>
        <w:rPr>
          <w:rFonts w:hint="eastAsia"/>
        </w:rPr>
        <w:t xml:space="preserve">AI批判プロセスの総括</w:t>
      </w:r>
    </w:p>
    <w:p>
      <w:pPr>
        <w:pStyle w:val="FirstParagraph"/>
      </w:pPr>
      <w:r>
        <w:rPr>
          <w:rFonts w:hint="eastAsia"/>
          <w:b/>
          <w:bCs/>
        </w:rPr>
        <w:t xml:space="preserve">systematic_issues（全体的判断傾向）</w:t>
      </w:r>
      <w:r>
        <w:t xml:space="preserve">:</w:t>
      </w:r>
    </w:p>
    <w:p>
      <w:pPr>
        <w:numPr>
          <w:ilvl w:val="0"/>
          <w:numId w:val="1003"/>
        </w:numPr>
      </w:pPr>
      <w:r>
        <w:rPr>
          <w:rFonts w:hint="eastAsia"/>
          <w:b/>
          <w:bCs/>
        </w:rPr>
        <w:t xml:space="preserve">SPGI差別化の全面的欠如（ルール7・パターンG）</w:t>
      </w:r>
      <w:r>
        <w:t xml:space="preserve">: </w:t>
      </w:r>
      <w:r>
        <w:rPr>
          <w:rFonts w:hint="eastAsia"/>
        </w:rPr>
        <w:t xml:space="preserve">全7主張でSPGIとの差別化が不完全。MCOの評価は実質的に「格付け業界の構造分析」であり、「MCO固有の競争優位性」の評価としては不十分。KB3で90%を受けたORLY#2/ORLY#5では企業固有の競争能力が明示されていた。MCOでは「格付けの質」でのSPGI対比差別化（例：特定セクターカバレッジ、方法論保守性等）を掘り下げることでルール7を改善できる可能性がある。</w:t>
      </w:r>
    </w:p>
    <w:p>
      <w:pPr>
        <w:numPr>
          <w:ilvl w:val="0"/>
          <w:numId w:val="1003"/>
        </w:numPr>
      </w:pPr>
      <w:r>
        <w:rPr>
          <w:rFonts w:hint="eastAsia"/>
          <w:b/>
          <w:bCs/>
        </w:rPr>
        <w:t xml:space="preserve">claim#1-3-6の実質的ダブルカウント</w:t>
      </w:r>
      <w:r>
        <w:t xml:space="preserve">: </w:t>
      </w:r>
      <w:r>
        <w:rPr>
          <w:rFonts w:hint="eastAsia"/>
        </w:rPr>
        <w:t xml:space="preserve">寡占構造→スイッチングコスト→ブランド認知は因果チェーンの上流→下流であり、それぞれを独立した優位性として合算するのは過大評価リスク。claim#1を核心的主張とし、#3と#6はその説明メカニズムまたは派生的帰結として統合する方が評価精度が上がる。</w:t>
      </w:r>
    </w:p>
    <w:bookmarkEnd w:id="30"/>
    <w:bookmarkStart w:id="31" w:name="kb3との対比"/>
    <w:p>
      <w:pPr>
        <w:pStyle w:val="Heading3"/>
      </w:pPr>
      <w:r>
        <w:rPr>
          <w:rFonts w:hint="eastAsia"/>
        </w:rPr>
        <w:t xml:space="preserve">KB3との対比</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5"/>
        <w:gridCol w:w="2709"/>
        <w:gridCol w:w="1667"/>
        <w:gridCol w:w="1667"/>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MCO主張</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最近似KB3事例</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類似点</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相違点</w:t>
            </w:r>
          </w:p>
        </w:tc>
      </w:tr>
      <w:tr>
        <w:tc>
          <w:tcPr/>
          <w:p>
            <w:pPr>
              <w:pStyle w:val="Compact"/>
            </w:pPr>
            <w:r>
              <w:rPr>
                <w:rFonts w:ascii="Times New Roman" w:hAnsi="Times New Roman" w:eastAsia="游明朝"/>
                <w:sz w:val="18"/>
              </w:rPr>
              <w:t xml:space="preserve">#1 </w:t>
            </w:r>
            <w:r>
              <w:rPr>
                <w:rFonts w:hint="eastAsia" w:ascii="Times New Roman" w:hAnsi="Times New Roman" w:eastAsia="游明朝"/>
                <w:sz w:val="18"/>
              </w:rPr>
              <w:t xml:space="preserve">寡占構造（90%）</w:t>
            </w:r>
          </w:p>
        </w:tc>
        <w:tc>
          <w:tcPr/>
          <w:p>
            <w:pPr>
              <w:pStyle w:val="Compact"/>
            </w:pPr>
            <w:r>
              <w:rPr>
                <w:rFonts w:ascii="Times New Roman" w:hAnsi="Times New Roman" w:eastAsia="游明朝"/>
                <w:sz w:val="18"/>
              </w:rPr>
              <w:t xml:space="preserve">ORLY#2 </w:t>
            </w:r>
            <w:r>
              <w:rPr>
                <w:rFonts w:hint="eastAsia" w:ascii="Times New Roman" w:hAnsi="Times New Roman" w:eastAsia="游明朝"/>
                <w:sz w:val="18"/>
              </w:rPr>
              <w:t xml:space="preserve">規模の経済（90%）</w:t>
            </w:r>
          </w:p>
        </w:tc>
        <w:tc>
          <w:tcPr/>
          <w:p>
            <w:pPr>
              <w:pStyle w:val="Compact"/>
            </w:pPr>
            <w:r>
              <w:rPr>
                <w:rFonts w:hint="eastAsia" w:ascii="Times New Roman" w:hAnsi="Times New Roman" w:eastAsia="游明朝"/>
                <w:sz w:val="18"/>
              </w:rPr>
              <w:t xml:space="preserve">業界構造×ポジション合致</w:t>
            </w:r>
          </w:p>
        </w:tc>
        <w:tc>
          <w:tcPr/>
          <w:p>
            <w:pPr>
              <w:pStyle w:val="Compact"/>
            </w:pPr>
            <w:r>
              <w:rPr>
                <w:rFonts w:hint="eastAsia" w:ascii="Times New Roman" w:hAnsi="Times New Roman" w:eastAsia="游明朝"/>
                <w:sz w:val="18"/>
              </w:rPr>
              <w:t xml:space="preserve">MCO=寡占（業界特性）、ORLY=規模（企業能力）</w:t>
            </w:r>
          </w:p>
        </w:tc>
      </w:tr>
      <w:tr>
        <w:tc>
          <w:tcPr/>
          <w:p>
            <w:pPr>
              <w:pStyle w:val="Compact"/>
            </w:pPr>
            <w:r>
              <w:rPr>
                <w:rFonts w:ascii="Times New Roman" w:hAnsi="Times New Roman" w:eastAsia="游明朝"/>
                <w:sz w:val="18"/>
              </w:rPr>
              <w:t xml:space="preserve">#2 </w:t>
            </w:r>
            <w:r>
              <w:rPr>
                <w:rFonts w:hint="eastAsia" w:ascii="Times New Roman" w:hAnsi="Times New Roman" w:eastAsia="游明朝"/>
                <w:sz w:val="18"/>
              </w:rPr>
              <w:t xml:space="preserve">プライシングパワー（70%）</w:t>
            </w:r>
          </w:p>
        </w:tc>
        <w:tc>
          <w:tcPr/>
          <w:p>
            <w:pPr>
              <w:pStyle w:val="Compact"/>
            </w:pPr>
            <w:r>
              <w:rPr>
                <w:rFonts w:ascii="Times New Roman" w:hAnsi="Times New Roman" w:eastAsia="游明朝"/>
                <w:sz w:val="18"/>
              </w:rPr>
              <w:t xml:space="preserve">COST#7 </w:t>
            </w:r>
            <w:r>
              <w:rPr>
                <w:rFonts w:hint="eastAsia" w:ascii="Times New Roman" w:hAnsi="Times New Roman" w:eastAsia="游明朝"/>
                <w:sz w:val="18"/>
              </w:rPr>
              <w:t xml:space="preserve">PB商品力（70%）</w:t>
            </w:r>
          </w:p>
        </w:tc>
        <w:tc>
          <w:tcPr/>
          <w:p>
            <w:pPr>
              <w:pStyle w:val="Compact"/>
            </w:pPr>
            <w:r>
              <w:rPr>
                <w:rFonts w:hint="eastAsia" w:ascii="Times New Roman" w:hAnsi="Times New Roman" w:eastAsia="游明朝"/>
                <w:sz w:val="18"/>
              </w:rPr>
              <w:t xml:space="preserve">構造からの派生的能力</w:t>
            </w:r>
          </w:p>
        </w:tc>
        <w:tc>
          <w:tcPr/>
          <w:p>
            <w:pPr>
              <w:pStyle w:val="Compact"/>
            </w:pPr>
            <w:r>
              <w:rPr>
                <w:rFonts w:hint="eastAsia" w:ascii="Times New Roman" w:hAnsi="Times New Roman" w:eastAsia="游明朝"/>
                <w:sz w:val="18"/>
              </w:rPr>
              <w:t xml:space="preserve">MCO=価格設定、COST=交渉力</w:t>
            </w:r>
          </w:p>
        </w:tc>
      </w:tr>
      <w:tr>
        <w:tc>
          <w:tcPr/>
          <w:p>
            <w:pPr>
              <w:pStyle w:val="Compact"/>
            </w:pPr>
            <w:r>
              <w:rPr>
                <w:rFonts w:ascii="Times New Roman" w:hAnsi="Times New Roman" w:eastAsia="游明朝"/>
                <w:sz w:val="18"/>
              </w:rPr>
              <w:t xml:space="preserve">#3 </w:t>
            </w:r>
            <w:r>
              <w:rPr>
                <w:rFonts w:hint="eastAsia" w:ascii="Times New Roman" w:hAnsi="Times New Roman" w:eastAsia="游明朝"/>
                <w:sz w:val="18"/>
              </w:rPr>
              <w:t xml:space="preserve">スイッチングコスト（70%）</w:t>
            </w:r>
          </w:p>
        </w:tc>
        <w:tc>
          <w:tcPr/>
          <w:p>
            <w:pPr>
              <w:pStyle w:val="Compact"/>
            </w:pPr>
            <w:r>
              <w:rPr>
                <w:rFonts w:ascii="Times New Roman" w:hAnsi="Times New Roman" w:eastAsia="游明朝"/>
                <w:sz w:val="18"/>
              </w:rPr>
              <w:t xml:space="preserve">COST#1 </w:t>
            </w:r>
            <w:r>
              <w:rPr>
                <w:rFonts w:hint="eastAsia" w:ascii="Times New Roman" w:hAnsi="Times New Roman" w:eastAsia="游明朝"/>
                <w:sz w:val="18"/>
              </w:rPr>
              <w:t xml:space="preserve">従業員定着（70%）</w:t>
            </w:r>
          </w:p>
        </w:tc>
        <w:tc>
          <w:tcPr/>
          <w:p>
            <w:pPr>
              <w:pStyle w:val="Compact"/>
            </w:pPr>
            <w:r>
              <w:rPr>
                <w:rFonts w:hint="eastAsia" w:ascii="Times New Roman" w:hAnsi="Times New Roman" w:eastAsia="游明朝"/>
                <w:sz w:val="18"/>
              </w:rPr>
              <w:t xml:space="preserve">定量裏付けあり</w:t>
            </w:r>
          </w:p>
        </w:tc>
        <w:tc>
          <w:tcPr/>
          <w:p>
            <w:pPr>
              <w:pStyle w:val="Compact"/>
            </w:pPr>
            <w:r>
              <w:rPr>
                <w:rFonts w:hint="eastAsia" w:ascii="Times New Roman" w:hAnsi="Times New Roman" w:eastAsia="游明朝"/>
                <w:sz w:val="18"/>
              </w:rPr>
              <w:t xml:space="preserve">MCO=維持率93%、COST=退職率9%</w:t>
            </w:r>
          </w:p>
        </w:tc>
      </w:tr>
      <w:tr>
        <w:tc>
          <w:tcPr/>
          <w:p>
            <w:pPr>
              <w:pStyle w:val="Compact"/>
            </w:pPr>
            <w:r>
              <w:rPr>
                <w:rFonts w:ascii="Times New Roman" w:hAnsi="Times New Roman" w:eastAsia="游明朝"/>
                <w:sz w:val="18"/>
              </w:rPr>
              <w:t xml:space="preserve">#4 </w:t>
            </w:r>
            <w:r>
              <w:rPr>
                <w:rFonts w:hint="eastAsia" w:ascii="Times New Roman" w:hAnsi="Times New Roman" w:eastAsia="游明朝"/>
                <w:sz w:val="18"/>
              </w:rPr>
              <w:t xml:space="preserve">MAデータ蓄積（50%）</w:t>
            </w:r>
          </w:p>
        </w:tc>
        <w:tc>
          <w:tcPr/>
          <w:p>
            <w:pPr>
              <w:pStyle w:val="Compact"/>
            </w:pPr>
            <w:r>
              <w:rPr>
                <w:rFonts w:ascii="Times New Roman" w:hAnsi="Times New Roman" w:eastAsia="游明朝"/>
                <w:sz w:val="18"/>
              </w:rPr>
              <w:t xml:space="preserve">COST#4 </w:t>
            </w:r>
            <w:r>
              <w:rPr>
                <w:rFonts w:hint="eastAsia" w:ascii="Times New Roman" w:hAnsi="Times New Roman" w:eastAsia="游明朝"/>
                <w:sz w:val="18"/>
              </w:rPr>
              <w:t xml:space="preserve">配達内製化（50%）</w:t>
            </w:r>
          </w:p>
        </w:tc>
        <w:tc>
          <w:tcPr/>
          <w:p>
            <w:pPr>
              <w:pStyle w:val="Compact"/>
            </w:pPr>
            <w:r>
              <w:rPr>
                <w:rFonts w:hint="eastAsia" w:ascii="Times New Roman" w:hAnsi="Times New Roman" w:eastAsia="游明朝"/>
                <w:sz w:val="18"/>
              </w:rPr>
              <w:t xml:space="preserve">方向性認めるが情報不足</w:t>
            </w:r>
          </w:p>
        </w:tc>
        <w:tc>
          <w:tcPr/>
          <w:p>
            <w:pPr>
              <w:pStyle w:val="Compact"/>
            </w:pPr>
            <w:r>
              <w:rPr>
                <w:rFonts w:hint="eastAsia" w:ascii="Times New Roman" w:hAnsi="Times New Roman" w:eastAsia="游明朝"/>
                <w:sz w:val="18"/>
              </w:rPr>
              <w:t xml:space="preserve">両者とも差別化不明確</w:t>
            </w:r>
          </w:p>
        </w:tc>
      </w:tr>
      <w:tr>
        <w:tc>
          <w:tcPr/>
          <w:p>
            <w:pPr>
              <w:pStyle w:val="Compact"/>
            </w:pPr>
            <w:r>
              <w:rPr>
                <w:rFonts w:ascii="Times New Roman" w:hAnsi="Times New Roman" w:eastAsia="游明朝"/>
                <w:sz w:val="18"/>
              </w:rPr>
              <w:t xml:space="preserve">#5 </w:t>
            </w:r>
            <w:r>
              <w:rPr>
                <w:rFonts w:hint="eastAsia" w:ascii="Times New Roman" w:hAnsi="Times New Roman" w:eastAsia="游明朝"/>
                <w:sz w:val="18"/>
              </w:rPr>
              <w:t xml:space="preserve">PC市場成長（50%）</w:t>
            </w:r>
          </w:p>
        </w:tc>
        <w:tc>
          <w:tcPr/>
          <w:p>
            <w:pPr>
              <w:pStyle w:val="Compact"/>
            </w:pPr>
            <w:r>
              <w:rPr>
                <w:rFonts w:ascii="Times New Roman" w:hAnsi="Times New Roman" w:eastAsia="游明朝"/>
                <w:sz w:val="18"/>
              </w:rPr>
              <w:t xml:space="preserve">CHD#3 </w:t>
            </w:r>
            <w:r>
              <w:rPr>
                <w:rFonts w:hint="eastAsia" w:ascii="Times New Roman" w:hAnsi="Times New Roman" w:eastAsia="游明朝"/>
                <w:sz w:val="18"/>
              </w:rPr>
              <w:t xml:space="preserve">ポートフォリオ管理（50%）</w:t>
            </w:r>
          </w:p>
        </w:tc>
        <w:tc>
          <w:tcPr/>
          <w:p>
            <w:pPr>
              <w:pStyle w:val="Compact"/>
            </w:pPr>
            <w:r>
              <w:rPr>
                <w:rFonts w:hint="eastAsia" w:ascii="Times New Roman" w:hAnsi="Times New Roman" w:eastAsia="游明朝"/>
                <w:sz w:val="18"/>
              </w:rPr>
              <w:t xml:space="preserve">能力と機会の境界</w:t>
            </w:r>
          </w:p>
        </w:tc>
        <w:tc>
          <w:tcPr/>
          <w:p>
            <w:pPr>
              <w:pStyle w:val="Compact"/>
            </w:pPr>
            <w:r>
              <w:rPr>
                <w:rFonts w:hint="eastAsia" w:ascii="Times New Roman" w:hAnsi="Times New Roman" w:eastAsia="游明朝"/>
                <w:sz w:val="18"/>
              </w:rPr>
              <w:t xml:space="preserve">MCO=市場機会、CHD=管理能力</w:t>
            </w:r>
          </w:p>
        </w:tc>
      </w:tr>
      <w:tr>
        <w:tc>
          <w:tcPr/>
          <w:p>
            <w:pPr>
              <w:pStyle w:val="Compact"/>
            </w:pPr>
            <w:r>
              <w:rPr>
                <w:rFonts w:ascii="Times New Roman" w:hAnsi="Times New Roman" w:eastAsia="游明朝"/>
                <w:sz w:val="18"/>
              </w:rPr>
              <w:t xml:space="preserve">#6 </w:t>
            </w:r>
            <w:r>
              <w:rPr>
                <w:rFonts w:hint="eastAsia" w:ascii="Times New Roman" w:hAnsi="Times New Roman" w:eastAsia="游明朝"/>
                <w:sz w:val="18"/>
              </w:rPr>
              <w:t xml:space="preserve">ブランド認知（30%）</w:t>
            </w:r>
          </w:p>
        </w:tc>
        <w:tc>
          <w:tcPr/>
          <w:p>
            <w:pPr>
              <w:pStyle w:val="Compact"/>
            </w:pPr>
            <w:r>
              <w:rPr>
                <w:rFonts w:ascii="Times New Roman" w:hAnsi="Times New Roman" w:eastAsia="游明朝"/>
                <w:sz w:val="18"/>
              </w:rPr>
              <w:t xml:space="preserve">MNST#1 </w:t>
            </w:r>
            <w:r>
              <w:rPr>
                <w:rFonts w:hint="eastAsia" w:ascii="Times New Roman" w:hAnsi="Times New Roman" w:eastAsia="游明朝"/>
                <w:sz w:val="18"/>
              </w:rPr>
              <w:t xml:space="preserve">シェア50%（50%）の下方</w:t>
            </w:r>
          </w:p>
        </w:tc>
        <w:tc>
          <w:tcPr/>
          <w:p>
            <w:pPr>
              <w:pStyle w:val="Compact"/>
            </w:pPr>
            <w:r>
              <w:rPr>
                <w:rFonts w:hint="eastAsia" w:ascii="Times New Roman" w:hAnsi="Times New Roman" w:eastAsia="游明朝"/>
                <w:sz w:val="18"/>
              </w:rPr>
              <w:t xml:space="preserve">ブランド力は認めるが…</w:t>
            </w:r>
          </w:p>
        </w:tc>
        <w:tc>
          <w:tcPr/>
          <w:p>
            <w:pPr>
              <w:pStyle w:val="Compact"/>
            </w:pPr>
            <w:r>
              <w:rPr>
                <w:rFonts w:hint="eastAsia" w:ascii="Times New Roman" w:hAnsi="Times New Roman" w:eastAsia="游明朝"/>
                <w:sz w:val="18"/>
              </w:rPr>
              <w:t xml:space="preserve">MCO=寡占の結果で独立性低、MNST=シェア自体がブランド</w:t>
            </w:r>
          </w:p>
        </w:tc>
      </w:tr>
      <w:tr>
        <w:tc>
          <w:tcPr/>
          <w:p>
            <w:pPr>
              <w:pStyle w:val="Compact"/>
            </w:pPr>
            <w:r>
              <w:rPr>
                <w:rFonts w:ascii="Times New Roman" w:hAnsi="Times New Roman" w:eastAsia="游明朝"/>
                <w:sz w:val="18"/>
              </w:rPr>
              <w:t xml:space="preserve">#7 </w:t>
            </w:r>
            <w:r>
              <w:rPr>
                <w:rFonts w:hint="eastAsia" w:ascii="Times New Roman" w:hAnsi="Times New Roman" w:eastAsia="游明朝"/>
                <w:sz w:val="18"/>
              </w:rPr>
              <w:t xml:space="preserve">借換え需要（30%）</w:t>
            </w:r>
          </w:p>
        </w:tc>
        <w:tc>
          <w:tcPr/>
          <w:p>
            <w:pPr>
              <w:pStyle w:val="Compact"/>
            </w:pPr>
            <w:r>
              <w:rPr>
                <w:rFonts w:ascii="Times New Roman" w:hAnsi="Times New Roman" w:eastAsia="游明朝"/>
                <w:sz w:val="18"/>
              </w:rPr>
              <w:t xml:space="preserve">COST#6 </w:t>
            </w:r>
            <w:r>
              <w:rPr>
                <w:rFonts w:hint="eastAsia" w:ascii="Times New Roman" w:hAnsi="Times New Roman" w:eastAsia="游明朝"/>
                <w:sz w:val="18"/>
              </w:rPr>
              <w:t xml:space="preserve">ガソリン（20%）</w:t>
            </w:r>
          </w:p>
        </w:tc>
        <w:tc>
          <w:tcPr/>
          <w:p>
            <w:pPr>
              <w:pStyle w:val="Compact"/>
            </w:pPr>
            <w:r>
              <w:rPr>
                <w:rFonts w:hint="eastAsia" w:ascii="Times New Roman" w:hAnsi="Times New Roman" w:eastAsia="游明朝"/>
                <w:sz w:val="18"/>
              </w:rPr>
              <w:t xml:space="preserve">外部環境/補完的</w:t>
            </w:r>
          </w:p>
        </w:tc>
        <w:tc>
          <w:tcPr/>
          <w:p>
            <w:pPr>
              <w:pStyle w:val="Compact"/>
            </w:pPr>
            <w:r>
              <w:rPr>
                <w:rFonts w:hint="eastAsia" w:ascii="Times New Roman" w:hAnsi="Times New Roman" w:eastAsia="游明朝"/>
                <w:sz w:val="18"/>
              </w:rPr>
              <w:t xml:space="preserve">MCO=マクロ要因、COST=補完的戦略</w:t>
            </w:r>
          </w:p>
        </w:tc>
      </w:tr>
    </w:tbl>
    <w:p>
      <w:r>
        <w:pict>
          <v:rect style="width:0;height:1.5pt" o:hralign="center" o:hrstd="t" o:hr="t"/>
        </w:pict>
      </w:r>
    </w:p>
    <w:bookmarkEnd w:id="31"/>
    <w:bookmarkEnd w:id="32"/>
    <w:bookmarkStart w:id="42" w:name="アナリストフィードバック記入欄"/>
    <w:p>
      <w:pPr>
        <w:pStyle w:val="Heading2"/>
      </w:pPr>
      <w:r>
        <w:t xml:space="preserve">5. </w:t>
      </w:r>
      <w:r>
        <w:rPr>
          <w:rFonts w:hint="eastAsia"/>
        </w:rPr>
        <w:t xml:space="preserve">アナリストフィードバック記入欄</w:t>
      </w:r>
    </w:p>
    <w:p>
      <w:pPr>
        <w:pStyle w:val="BlockText"/>
      </w:pPr>
      <w:r>
        <w:rPr>
          <w:rFonts w:hint="eastAsia"/>
        </w:rPr>
        <w:t xml:space="preserve">本セクションはアナリストが記入するフィードバック用テンプレートです。各主張に対して評価とコメントをご記入ください。</w:t>
      </w:r>
    </w:p>
    <w:bookmarkStart w:id="40" w:name="評価スケール"/>
    <w:p>
      <w:pPr>
        <w:pStyle w:val="Heading3"/>
      </w:pPr>
      <w:r>
        <w:rPr>
          <w:rFonts w:hint="eastAsia"/>
        </w:rPr>
        <w:t xml:space="preserve">評価スケール</w:t>
      </w:r>
    </w:p>
    <w:p>
      <w:pPr>
        <w:pStyle w:val="Compact"/>
        <w:numPr>
          <w:ilvl w:val="0"/>
          <w:numId w:val="1004"/>
        </w:numPr>
      </w:pPr>
      <w:r>
        <w:rPr>
          <w:rFonts w:hint="eastAsia"/>
          <w:b/>
          <w:bCs/>
        </w:rPr>
        <w:t xml:space="preserve">90%（かなり納得）</w:t>
      </w:r>
      <w:r>
        <w:t xml:space="preserve">: </w:t>
      </w:r>
      <w:r>
        <w:rPr>
          <w:rFonts w:hint="eastAsia"/>
        </w:rPr>
        <w:t xml:space="preserve">構造的優位性</w:t>
      </w:r>
      <w:r>
        <w:t xml:space="preserve"> + </w:t>
      </w:r>
      <w:r>
        <w:rPr>
          <w:rFonts w:hint="eastAsia"/>
        </w:rPr>
        <w:t xml:space="preserve">明確なCAGR接続</w:t>
      </w:r>
      <w:r>
        <w:t xml:space="preserve"> + </w:t>
      </w:r>
      <w:r>
        <w:rPr>
          <w:rFonts w:hint="eastAsia"/>
        </w:rPr>
        <w:t xml:space="preserve">定量的裏付け</w:t>
      </w:r>
    </w:p>
    <w:p>
      <w:pPr>
        <w:pStyle w:val="Compact"/>
        <w:numPr>
          <w:ilvl w:val="0"/>
          <w:numId w:val="1004"/>
        </w:numPr>
      </w:pPr>
      <w:r>
        <w:rPr>
          <w:rFonts w:hint="eastAsia"/>
          <w:b/>
          <w:bCs/>
        </w:rPr>
        <w:t xml:space="preserve">70%（おおむね納得）</w:t>
      </w:r>
      <w:r>
        <w:t xml:space="preserve">: </w:t>
      </w:r>
      <w:r>
        <w:rPr>
          <w:rFonts w:hint="eastAsia"/>
        </w:rPr>
        <w:t xml:space="preserve">妥当な仮説</w:t>
      </w:r>
      <w:r>
        <w:t xml:space="preserve"> + </w:t>
      </w:r>
      <w:r>
        <w:rPr>
          <w:rFonts w:hint="eastAsia"/>
        </w:rPr>
        <w:t xml:space="preserve">一定の裏付け</w:t>
      </w:r>
    </w:p>
    <w:p>
      <w:pPr>
        <w:pStyle w:val="Compact"/>
        <w:numPr>
          <w:ilvl w:val="0"/>
          <w:numId w:val="1004"/>
        </w:numPr>
      </w:pPr>
      <w:r>
        <w:rPr>
          <w:rFonts w:hint="eastAsia"/>
          <w:b/>
          <w:bCs/>
        </w:rPr>
        <w:t xml:space="preserve">50%（まあ納得）</w:t>
      </w:r>
      <w:r>
        <w:t xml:space="preserve">: </w:t>
      </w:r>
      <w:r>
        <w:rPr>
          <w:rFonts w:hint="eastAsia"/>
        </w:rPr>
        <w:t xml:space="preserve">方向性は認めるが裏付け不十分</w:t>
      </w:r>
    </w:p>
    <w:p>
      <w:pPr>
        <w:pStyle w:val="Compact"/>
        <w:numPr>
          <w:ilvl w:val="0"/>
          <w:numId w:val="1004"/>
        </w:numPr>
      </w:pPr>
      <w:r>
        <w:rPr>
          <w:rFonts w:hint="eastAsia"/>
          <w:b/>
          <w:bCs/>
        </w:rPr>
        <w:t xml:space="preserve">30%（あまり納得しない）</w:t>
      </w:r>
      <w:r>
        <w:t xml:space="preserve">: </w:t>
      </w:r>
      <w:r>
        <w:rPr>
          <w:rFonts w:hint="eastAsia"/>
        </w:rPr>
        <w:t xml:space="preserve">飛躍・因果逆転・差別化根拠不十分</w:t>
      </w:r>
    </w:p>
    <w:p>
      <w:pPr>
        <w:pStyle w:val="Compact"/>
        <w:numPr>
          <w:ilvl w:val="0"/>
          <w:numId w:val="1004"/>
        </w:numPr>
      </w:pPr>
      <w:r>
        <w:rPr>
          <w:rFonts w:hint="eastAsia"/>
          <w:b/>
          <w:bCs/>
        </w:rPr>
        <w:t xml:space="preserve">10%（却下）</w:t>
      </w:r>
      <w:r>
        <w:t xml:space="preserve">: </w:t>
      </w:r>
      <w:r>
        <w:rPr>
          <w:rFonts w:hint="eastAsia"/>
        </w:rPr>
        <w:t xml:space="preserve">事実誤認・競争優位性として不成立</w:t>
      </w:r>
    </w:p>
    <w:p>
      <w:r>
        <w:pict>
          <v:rect style="width:0;height:1.5pt" o:hralign="center" o:hrstd="t" o:hr="t"/>
        </w:pict>
      </w:r>
    </w:p>
    <w:bookmarkStart w:id="33" w:name="寡占構造"/>
    <w:p>
      <w:pPr>
        <w:pStyle w:val="Heading4"/>
      </w:pPr>
      <w:r>
        <w:t xml:space="preserve">#1 </w:t>
      </w:r>
      <w:r>
        <w:rPr>
          <w:rFonts w:hint="eastAsia"/>
        </w:rPr>
        <w:t xml:space="preserve">寡占構造</w:t>
      </w:r>
    </w:p>
    <w:p>
      <w:pPr>
        <w:pStyle w:val="FirstParagraph"/>
      </w:pPr>
      <w:r>
        <w:rPr>
          <w:rFonts w:hint="eastAsia"/>
          <w:b/>
          <w:bCs/>
        </w:rPr>
        <w:t xml:space="preserve">AI評価（T8修正後）</w:t>
      </w:r>
      <w:r>
        <w:t xml:space="preserve">: </w:t>
      </w:r>
      <w:r>
        <w:rPr>
          <w:rFonts w:hint="eastAsia"/>
        </w:rPr>
        <w:t xml:space="preserve">90%（業界構造の恩恵であることを注記）</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3"/>
    <w:bookmarkStart w:id="34" w:name="プライシングパワー"/>
    <w:p>
      <w:pPr>
        <w:pStyle w:val="Heading4"/>
      </w:pPr>
      <w:r>
        <w:t xml:space="preserve">#2 プライシングパワー</w:t>
      </w:r>
    </w:p>
    <w:p>
      <w:pPr>
        <w:pStyle w:val="FirstParagraph"/>
      </w:pPr>
      <w:r>
        <w:rPr>
          <w:rFonts w:hint="eastAsia"/>
          <w:b/>
          <w:bCs/>
        </w:rPr>
        <w:t xml:space="preserve">AI評価（T8修正後）</w:t>
      </w:r>
      <w:r>
        <w:t xml:space="preserve">: 70%</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4"/>
    <w:bookmarkStart w:id="35" w:name="スイッチングコスト"/>
    <w:p>
      <w:pPr>
        <w:pStyle w:val="Heading4"/>
      </w:pPr>
      <w:r>
        <w:t xml:space="preserve">#3 スイッチングコスト</w:t>
      </w:r>
    </w:p>
    <w:p>
      <w:pPr>
        <w:pStyle w:val="FirstParagraph"/>
      </w:pPr>
      <w:r>
        <w:rPr>
          <w:rFonts w:hint="eastAsia"/>
          <w:b/>
          <w:bCs/>
        </w:rPr>
        <w:t xml:space="preserve">AI評価（T8修正後）</w:t>
      </w:r>
      <w:r>
        <w:t xml:space="preserve">: </w:t>
      </w:r>
      <w:r>
        <w:rPr>
          <w:rFonts w:hint="eastAsia"/>
        </w:rPr>
        <w:t xml:space="preserve">70%（#1とのダブルカウントリスク注記）</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5"/>
    <w:bookmarkStart w:id="36" w:name="maデータ蓄積"/>
    <w:p>
      <w:pPr>
        <w:pStyle w:val="Heading4"/>
      </w:pPr>
      <w:r>
        <w:t xml:space="preserve">#4 </w:t>
      </w:r>
      <w:r>
        <w:rPr>
          <w:rFonts w:hint="eastAsia"/>
        </w:rPr>
        <w:t xml:space="preserve">MAデータ蓄積</w:t>
      </w:r>
    </w:p>
    <w:p>
      <w:pPr>
        <w:pStyle w:val="FirstParagraph"/>
      </w:pPr>
      <w:r>
        <w:rPr>
          <w:rFonts w:hint="eastAsia"/>
          <w:b/>
          <w:bCs/>
        </w:rPr>
        <w:t xml:space="preserve">AI評価（T8修正後）</w:t>
      </w:r>
      <w:r>
        <w:t xml:space="preserve">: </w:t>
      </w:r>
      <w:r>
        <w:rPr>
          <w:rFonts w:hint="eastAsia"/>
        </w:rPr>
        <w:t xml:space="preserve">50%（因果チェーンリスク注記）</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6"/>
    <w:bookmarkStart w:id="37" w:name="pc市場成長"/>
    <w:p>
      <w:pPr>
        <w:pStyle w:val="Heading4"/>
      </w:pPr>
      <w:r>
        <w:t xml:space="preserve">#5 </w:t>
      </w:r>
      <w:r>
        <w:rPr>
          <w:rFonts w:hint="eastAsia"/>
        </w:rPr>
        <w:t xml:space="preserve">PC市場成長</w:t>
      </w:r>
    </w:p>
    <w:p>
      <w:pPr>
        <w:pStyle w:val="FirstParagraph"/>
      </w:pPr>
      <w:r>
        <w:rPr>
          <w:rFonts w:hint="eastAsia"/>
          <w:b/>
          <w:bCs/>
        </w:rPr>
        <w:t xml:space="preserve">AI評価（T8修正後）</w:t>
      </w:r>
      <w:r>
        <w:t xml:space="preserve">: </w:t>
      </w:r>
      <w:r>
        <w:rPr>
          <w:rFonts w:hint="eastAsia"/>
        </w:rPr>
        <w:t xml:space="preserve">50%（CAGR見送りとの整合性注記）</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7"/>
    <w:bookmarkStart w:id="38" w:name="ブランド認知"/>
    <w:p>
      <w:pPr>
        <w:pStyle w:val="Heading4"/>
      </w:pPr>
      <w:r>
        <w:t xml:space="preserve">#6 </w:t>
      </w:r>
      <w:r>
        <w:rPr>
          <w:rFonts w:hint="eastAsia"/>
        </w:rPr>
        <w:t xml:space="preserve">ブランド認知</w:t>
      </w:r>
    </w:p>
    <w:p>
      <w:pPr>
        <w:pStyle w:val="FirstParagraph"/>
      </w:pPr>
      <w:r>
        <w:rPr>
          <w:rFonts w:hint="eastAsia"/>
          <w:b/>
          <w:bCs/>
        </w:rPr>
        <w:t xml:space="preserve">AI評価（T8修正後）</w:t>
      </w:r>
      <w:r>
        <w:t xml:space="preserve">: </w:t>
      </w:r>
      <w:r>
        <w:rPr>
          <w:rFonts w:hint="eastAsia"/>
        </w:rPr>
        <w:t xml:space="preserve">30%（T8修正:</w:t>
      </w:r>
      <w:r>
        <w:t xml:space="preserve"> </w:t>
      </w:r>
      <w:r>
        <w:rPr>
          <w:rFonts w:hint="eastAsia"/>
        </w:rPr>
        <w:t xml:space="preserve">50%-&gt;30%、#1-3の結果）</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8"/>
    <w:bookmarkStart w:id="39" w:name="借換え需要"/>
    <w:p>
      <w:pPr>
        <w:pStyle w:val="Heading4"/>
      </w:pPr>
      <w:r>
        <w:t xml:space="preserve">#7 </w:t>
      </w:r>
      <w:r>
        <w:rPr>
          <w:rFonts w:hint="eastAsia"/>
        </w:rPr>
        <w:t xml:space="preserve">借換え需要</w:t>
      </w:r>
    </w:p>
    <w:p>
      <w:pPr>
        <w:pStyle w:val="FirstParagraph"/>
      </w:pPr>
      <w:r>
        <w:rPr>
          <w:rFonts w:hint="eastAsia"/>
          <w:b/>
          <w:bCs/>
        </w:rPr>
        <w:t xml:space="preserve">AI評価（T8修正後）</w:t>
      </w:r>
      <w:r>
        <w:t xml:space="preserve">: </w:t>
      </w:r>
      <w:r>
        <w:rPr>
          <w:rFonts w:hint="eastAsia"/>
        </w:rPr>
        <w:t xml:space="preserve">30%（CA/CAGR乖離の根拠注記）</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bookmarkEnd w:id="39"/>
    <w:bookmarkEnd w:id="40"/>
    <w:bookmarkStart w:id="41" w:name="追加フィードバック欄"/>
    <w:p>
      <w:pPr>
        <w:pStyle w:val="Heading3"/>
      </w:pPr>
      <w:r>
        <w:rPr>
          <w:rFonts w:hint="eastAsia"/>
        </w:rPr>
        <w:t xml:space="preserve">追加フィードバック欄</w:t>
      </w:r>
    </w:p>
    <w:p>
      <w:pPr>
        <w:pStyle w:val="Compact"/>
        <w:numPr>
          <w:ilvl w:val="0"/>
          <w:numId w:val="1005"/>
        </w:numPr>
      </w:pPr>
      <w:r>
        <w:rPr>
          <w:rFonts w:hint="eastAsia"/>
          <w:b/>
          <w:bCs/>
        </w:rPr>
        <w:t xml:space="preserve">見落としている優位性はありますか？</w:t>
      </w:r>
      <w:r>
        <w:t xml:space="preserve">:</w:t>
      </w:r>
    </w:p>
    <w:p>
      <w:pPr>
        <w:pStyle w:val="Compact"/>
        <w:numPr>
          <w:ilvl w:val="0"/>
          <w:numId w:val="1005"/>
        </w:numPr>
      </w:pPr>
      <w:r>
        <w:rPr>
          <w:rFonts w:hint="eastAsia"/>
          <w:b/>
          <w:bCs/>
        </w:rPr>
        <w:t xml:space="preserve">過大評価だと思う主張は？</w:t>
      </w:r>
      <w:r>
        <w:t xml:space="preserve">:</w:t>
      </w:r>
    </w:p>
    <w:p>
      <w:pPr>
        <w:pStyle w:val="Compact"/>
        <w:numPr>
          <w:ilvl w:val="0"/>
          <w:numId w:val="1005"/>
        </w:numPr>
      </w:pPr>
      <w:r>
        <w:rPr>
          <w:rFonts w:hint="eastAsia"/>
          <w:b/>
          <w:bCs/>
        </w:rPr>
        <w:t xml:space="preserve">過小評価だと思う主張は？</w:t>
      </w:r>
      <w:r>
        <w:t xml:space="preserve">:</w:t>
      </w:r>
    </w:p>
    <w:p>
      <w:pPr>
        <w:pStyle w:val="Compact"/>
        <w:numPr>
          <w:ilvl w:val="0"/>
          <w:numId w:val="1005"/>
        </w:numPr>
      </w:pPr>
      <w:r>
        <w:rPr>
          <w:rFonts w:hint="eastAsia"/>
          <w:b/>
          <w:bCs/>
        </w:rPr>
        <w:t xml:space="preserve">SPGI対比でのMCO固有の優位性について</w:t>
      </w:r>
      <w:r>
        <w:t xml:space="preserve">: </w:t>
      </w:r>
      <w:r>
        <w:rPr>
          <w:rFonts w:hint="eastAsia"/>
        </w:rPr>
        <w:t xml:space="preserve">MCO選好の最大理由は格付け事業ウェイトの高さ（50%</w:t>
      </w:r>
      <w:r>
        <w:t xml:space="preserve"> vs </w:t>
      </w:r>
      <w:r>
        <w:rPr>
          <w:rFonts w:hint="eastAsia"/>
        </w:rPr>
        <w:t xml:space="preserve">30%弱）ですが、格付け事業自体での質的差別化はありますか？</w:t>
      </w:r>
    </w:p>
    <w:p>
      <w:pPr>
        <w:pStyle w:val="Compact"/>
        <w:numPr>
          <w:ilvl w:val="0"/>
          <w:numId w:val="1005"/>
        </w:numPr>
      </w:pPr>
      <w:r>
        <w:rPr>
          <w:rFonts w:hint="eastAsia"/>
          <w:b/>
          <w:bCs/>
        </w:rPr>
        <w:t xml:space="preserve">MA事業の優位性について</w:t>
      </w:r>
      <w:r>
        <w:t xml:space="preserve">: </w:t>
      </w:r>
      <w:r>
        <w:rPr>
          <w:rFonts w:hint="eastAsia"/>
        </w:rPr>
        <w:t xml:space="preserve">レポートでは「課題として残存」とされていますが、データ蓄積×生成AIの組み合わせでの差別化見通しをどう評価しますか？</w:t>
      </w:r>
    </w:p>
    <w:p>
      <w:pPr>
        <w:pStyle w:val="Compact"/>
        <w:numPr>
          <w:ilvl w:val="0"/>
          <w:numId w:val="1005"/>
        </w:numPr>
      </w:pPr>
      <w:r>
        <w:rPr>
          <w:rFonts w:hint="eastAsia"/>
          <w:b/>
          <w:bCs/>
        </w:rPr>
        <w:t xml:space="preserve">T8でclaim#6を50%-&gt;30%に引き下げました</w:t>
      </w:r>
      <w:r>
        <w:t xml:space="preserve">: </w:t>
      </w:r>
      <w:r>
        <w:rPr>
          <w:rFonts w:hint="eastAsia"/>
        </w:rPr>
        <w:t xml:space="preserve">ブランド認知の独立した優位性としての評価についてご意見はありますか？</w:t>
      </w:r>
    </w:p>
    <w:p>
      <w:pPr>
        <w:pStyle w:val="FirstParagraph"/>
      </w:pPr>
      <w:r>
        <w:t xml:space="preserve">※ </w:t>
      </w:r>
      <w:r>
        <w:rPr>
          <w:rFonts w:hint="eastAsia"/>
        </w:rPr>
        <w:t xml:space="preserve">「アナリスト評価」列はアナリストが記入する欄です。AI評価との差異がKBの改善に直結します。</w:t>
      </w:r>
    </w:p>
    <w:p>
      <w:r>
        <w:pict>
          <v:rect style="width:0;height:1.5pt" o:hralign="center" o:hrstd="t" o:hr="t"/>
        </w:pict>
      </w:r>
    </w:p>
    <w:bookmarkEnd w:id="41"/>
    <w:bookmarkEnd w:id="42"/>
    <w:bookmarkStart w:id="44" w:name="付記-t8修正サマリー"/>
    <w:p>
      <w:pPr>
        <w:pStyle w:val="Heading2"/>
      </w:pPr>
      <w:r>
        <w:rPr>
          <w:rFonts w:hint="eastAsia"/>
        </w:rPr>
        <w:t xml:space="preserve">付記:</w:t>
      </w:r>
      <w:r>
        <w:t xml:space="preserve"> </w:t>
      </w:r>
      <w:r>
        <w:rPr>
          <w:rFonts w:hint="eastAsia"/>
        </w:rPr>
        <w:t xml:space="preserve">T8修正サマリー</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2"/>
        <w:gridCol w:w="3394"/>
        <w:gridCol w:w="2262"/>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対象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hint="eastAsia" w:ascii="Times New Roman" w:hAnsi="Times New Roman" w:eastAsia="游明朝"/>
                <w:sz w:val="18"/>
              </w:rPr>
              <w:t xml:space="preserve">主張#1</w:t>
            </w:r>
            <w:r>
              <w:rPr>
                <w:rFonts w:ascii="Times New Roman" w:hAnsi="Times New Roman" w:eastAsia="游明朝"/>
                <w:sz w:val="18"/>
              </w:rPr>
              <w:t xml:space="preserve"> CA confidence</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90%維持。「業界構造の恩恵</w:t>
            </w:r>
            <w:r>
              <w:rPr>
                <w:rFonts w:ascii="Times New Roman" w:hAnsi="Times New Roman" w:eastAsia="游明朝"/>
                <w:sz w:val="18"/>
              </w:rPr>
              <w:t xml:space="preserve"> vs </w:t>
            </w:r>
            <w:r>
              <w:rPr>
                <w:rFonts w:hint="eastAsia" w:ascii="Times New Roman" w:hAnsi="Times New Roman" w:eastAsia="游明朝"/>
                <w:sz w:val="18"/>
              </w:rPr>
              <w:t xml:space="preserve">MCO固有能力」の区別を明記</w:t>
            </w:r>
          </w:p>
        </w:tc>
      </w:tr>
      <w:tr>
        <w:tc>
          <w:tcPr/>
          <w:p>
            <w:pPr>
              <w:pStyle w:val="Compact"/>
            </w:pPr>
            <w:r>
              <w:rPr>
                <w:rFonts w:hint="eastAsia" w:ascii="Times New Roman" w:hAnsi="Times New Roman" w:eastAsia="游明朝"/>
                <w:sz w:val="18"/>
              </w:rPr>
              <w:t xml:space="preserve">主張#3</w:t>
            </w:r>
            <w:r>
              <w:rPr>
                <w:rFonts w:ascii="Times New Roman" w:hAnsi="Times New Roman" w:eastAsia="游明朝"/>
                <w:sz w:val="18"/>
              </w:rPr>
              <w:t xml:space="preserve"> CA confidence</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70%維持。claim#1とのダブルカウントリスクを明記</w:t>
            </w:r>
          </w:p>
        </w:tc>
      </w:tr>
      <w:tr>
        <w:tc>
          <w:tcPr/>
          <w:p>
            <w:pPr>
              <w:pStyle w:val="Compact"/>
            </w:pPr>
            <w:r>
              <w:rPr>
                <w:rFonts w:hint="eastAsia" w:ascii="Times New Roman" w:hAnsi="Times New Roman" w:eastAsia="游明朝"/>
                <w:sz w:val="18"/>
              </w:rPr>
              <w:t xml:space="preserve">主張#4</w:t>
            </w:r>
            <w:r>
              <w:rPr>
                <w:rFonts w:ascii="Times New Roman" w:hAnsi="Times New Roman" w:eastAsia="游明朝"/>
                <w:sz w:val="18"/>
              </w:rPr>
              <w:t xml:space="preserve"> CAGR confidence</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70%維持。因果チェーンリスク（パターンC的構造）を明記</w:t>
            </w:r>
          </w:p>
        </w:tc>
      </w:tr>
      <w:tr>
        <w:tc>
          <w:tcPr/>
          <w:p>
            <w:pPr>
              <w:pStyle w:val="Compact"/>
            </w:pPr>
            <w:r>
              <w:rPr>
                <w:rFonts w:hint="eastAsia" w:ascii="Times New Roman" w:hAnsi="Times New Roman" w:eastAsia="游明朝"/>
                <w:sz w:val="18"/>
              </w:rPr>
              <w:t xml:space="preserve">主張#5</w:t>
            </w:r>
            <w:r>
              <w:rPr>
                <w:rFonts w:ascii="Times New Roman" w:hAnsi="Times New Roman" w:eastAsia="游明朝"/>
                <w:sz w:val="18"/>
              </w:rPr>
              <w:t xml:space="preserve"> CAGR confidence</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50%維持。アナリストCAGR見送りとの整合性を明記</w:t>
            </w:r>
          </w:p>
        </w:tc>
      </w:tr>
      <w:tr>
        <w:tc>
          <w:tcPr/>
          <w:p>
            <w:pPr>
              <w:pStyle w:val="Compact"/>
            </w:pPr>
            <w:r>
              <w:rPr>
                <w:rFonts w:hint="eastAsia" w:ascii="Times New Roman" w:hAnsi="Times New Roman" w:eastAsia="游明朝"/>
                <w:sz w:val="18"/>
              </w:rPr>
              <w:t xml:space="preserve">主張#6</w:t>
            </w:r>
            <w:r>
              <w:rPr>
                <w:rFonts w:ascii="Times New Roman" w:hAnsi="Times New Roman" w:eastAsia="游明朝"/>
                <w:sz w:val="18"/>
              </w:rPr>
              <w:t xml:space="preserve"> CA confidence</w:t>
            </w:r>
          </w:p>
        </w:tc>
        <w:tc>
          <w:tcPr/>
          <w:p>
            <w:pPr>
              <w:pStyle w:val="Compact"/>
            </w:pPr>
            <w:r>
              <w:rPr>
                <w:rFonts w:ascii="Times New Roman" w:hAnsi="Times New Roman" w:eastAsia="游明朝"/>
                <w:sz w:val="18"/>
              </w:rPr>
              <w:t xml:space="preserve">confidence_adjustment</w:t>
            </w:r>
          </w:p>
        </w:tc>
        <w:tc>
          <w:tcPr/>
          <w:p>
            <w:pPr>
              <w:pStyle w:val="Compact"/>
            </w:pPr>
            <w:r>
              <w:rPr>
                <w:rFonts w:ascii="Times New Roman" w:hAnsi="Times New Roman" w:eastAsia="游明朝"/>
                <w:b/>
                <w:bCs/>
                <w:sz w:val="18"/>
              </w:rPr>
              <w:t xml:space="preserve">50% -&gt; </w:t>
            </w:r>
            <w:r>
              <w:rPr>
                <w:rFonts w:hint="eastAsia" w:ascii="Times New Roman" w:hAnsi="Times New Roman" w:eastAsia="游明朝"/>
                <w:b/>
                <w:bCs/>
                <w:sz w:val="18"/>
              </w:rPr>
              <w:t xml:space="preserve">30%に引き下げ</w:t>
            </w:r>
            <w:r>
              <w:rPr>
                <w:rFonts w:hint="eastAsia" w:ascii="Times New Roman" w:hAnsi="Times New Roman" w:eastAsia="游明朝"/>
                <w:sz w:val="18"/>
              </w:rPr>
              <w:t xml:space="preserve">。claim#1-3と3重ダブルカウント、ブランドは寡占構造の結果</w:t>
            </w:r>
          </w:p>
        </w:tc>
      </w:tr>
      <w:tr>
        <w:tc>
          <w:tcPr/>
          <w:p>
            <w:pPr>
              <w:pStyle w:val="Compact"/>
            </w:pPr>
            <w:r>
              <w:rPr>
                <w:rFonts w:hint="eastAsia" w:ascii="Times New Roman" w:hAnsi="Times New Roman" w:eastAsia="游明朝"/>
                <w:sz w:val="18"/>
              </w:rPr>
              <w:t xml:space="preserve">主張#7</w:t>
            </w:r>
            <w:r>
              <w:rPr>
                <w:rFonts w:ascii="Times New Roman" w:hAnsi="Times New Roman" w:eastAsia="游明朝"/>
                <w:sz w:val="18"/>
              </w:rPr>
              <w:t xml:space="preserve"> </w:t>
            </w:r>
            <w:r>
              <w:rPr>
                <w:rFonts w:hint="eastAsia" w:ascii="Times New Roman" w:hAnsi="Times New Roman" w:eastAsia="游明朝"/>
                <w:sz w:val="18"/>
              </w:rPr>
              <w:t xml:space="preserve">CA/CAGR乖離</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30%/70%維持。CAGR</w:t>
            </w:r>
            <w:r>
              <w:rPr>
                <w:rFonts w:ascii="Times New Roman" w:hAnsi="Times New Roman" w:eastAsia="游明朝"/>
                <w:sz w:val="18"/>
              </w:rPr>
              <w:t xml:space="preserve"> </w:t>
            </w:r>
            <w:r>
              <w:rPr>
                <w:rFonts w:hint="eastAsia" w:ascii="Times New Roman" w:hAnsi="Times New Roman" w:eastAsia="游明朝"/>
                <w:sz w:val="18"/>
              </w:rPr>
              <w:t xml:space="preserve">70%は市場環境の確実性評価であることを明記</w:t>
            </w:r>
          </w:p>
        </w:tc>
      </w:tr>
    </w:tbl>
    <w:bookmarkStart w:id="43" w:name="修正種別の定義"/>
    <w:p>
      <w:pPr>
        <w:pStyle w:val="Heading3"/>
      </w:pPr>
      <w:r>
        <w:rPr>
          <w:rFonts w:hint="eastAsia"/>
        </w:rPr>
        <w:t xml:space="preserve">修正種別の定義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説明</w:t>
            </w:r>
          </w:p>
        </w:tc>
      </w:tr>
      <w:tr>
        <w:tc>
          <w:tcPr/>
          <w:p>
            <w:pPr>
              <w:pStyle w:val="Compact"/>
            </w:pPr>
            <w:r>
              <w:rPr>
                <w:rStyle w:val="VerbatimChar"/>
                <w:rFonts w:ascii="Times New Roman" w:hAnsi="Times New Roman" w:eastAsia="游明朝"/>
                <w:sz w:val="18"/>
              </w:rPr>
              <w:t xml:space="preserve">confidence_adjustment</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値の変更（即座</w:t>
            </w:r>
            <w:r>
              <w:rPr>
                <w:rFonts w:ascii="Times New Roman" w:hAnsi="Times New Roman" w:eastAsia="游明朝"/>
                <w:sz w:val="18"/>
              </w:rPr>
              <w:t xml:space="preserve"> or </w:t>
            </w:r>
            <w:r>
              <w:rPr>
                <w:rFonts w:hint="eastAsia" w:ascii="Times New Roman" w:hAnsi="Times New Roman" w:eastAsia="游明朝"/>
                <w:sz w:val="18"/>
              </w:rPr>
              <w:t xml:space="preserve">条件付き）</w:t>
            </w:r>
          </w:p>
        </w:tc>
      </w:tr>
      <w:tr>
        <w:tc>
          <w:tcPr/>
          <w:p>
            <w:pPr>
              <w:pStyle w:val="Compact"/>
            </w:pPr>
            <w:r>
              <w:rPr>
                <w:rStyle w:val="VerbatimCha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値は維持し、注記・留意点を追加</w:t>
            </w:r>
          </w:p>
        </w:tc>
      </w:tr>
      <w:tr>
        <w:tc>
          <w:tcPr/>
          <w:p>
            <w:pPr>
              <w:pStyle w:val="Compact"/>
            </w:pPr>
            <w:r>
              <w:rPr>
                <w:rStyle w:val="VerbatimChar"/>
                <w:rFonts w:ascii="Times New Roman" w:hAnsi="Times New Roman" w:eastAsia="游明朝"/>
                <w:sz w:val="18"/>
              </w:rPr>
              <w:t xml:space="preserve">consistency_fix</w:t>
            </w:r>
          </w:p>
        </w:tc>
        <w:tc>
          <w:tcPr/>
          <w:p>
            <w:pPr>
              <w:pStyle w:val="Compact"/>
            </w:pPr>
            <w:r>
              <w:rPr>
                <w:rFonts w:hint="eastAsia" w:ascii="Times New Roman" w:hAnsi="Times New Roman" w:eastAsia="游明朝"/>
                <w:sz w:val="18"/>
              </w:rPr>
              <w:t xml:space="preserve">コメント文と</w:t>
            </w:r>
            <w:r>
              <w:rPr>
                <w:rFonts w:ascii="Times New Roman" w:hAnsi="Times New Roman" w:eastAsia="游明朝"/>
                <w:sz w:val="18"/>
              </w:rPr>
              <w:t xml:space="preserve"> confidence </w:t>
            </w:r>
            <w:r>
              <w:rPr>
                <w:rFonts w:hint="eastAsia" w:ascii="Times New Roman" w:hAnsi="Times New Roman" w:eastAsia="游明朝"/>
                <w:sz w:val="18"/>
              </w:rPr>
              <w:t xml:space="preserve">値の矛盾を修正</w:t>
            </w:r>
          </w:p>
        </w:tc>
      </w:tr>
    </w:tbl>
    <w:p>
      <w:r>
        <w:pict>
          <v:rect style="width:0;height:1.5pt" o:hralign="center" o:hrstd="t" o:hr="t"/>
        </w:pict>
      </w:r>
    </w:p>
    <w:p>
      <w:pPr>
        <w:pStyle w:val="FirstParagraph"/>
      </w:pPr>
      <w:r>
        <w:rPr>
          <w:i/>
          <w:iCs/>
        </w:rPr>
        <w:t xml:space="preserve">このレポートはT8 </w:t>
      </w:r>
      <w:r>
        <w:rPr>
          <w:rFonts w:hint="eastAsia"/>
          <w:i/>
          <w:iCs/>
        </w:rPr>
        <w:t xml:space="preserve">AI批判プロセス（critique.json参照）を適用した最終版です。</w:t>
      </w:r>
    </w:p>
    <w:bookmarkEnd w:id="43"/>
    <w:bookmarkEnd w:id="44"/>
    <w:bookmarkEnd w:id="45"/>
    <w:sectPr>
      <w:footnotePr>
        <w:numRestart w:val="eachSect"/>
      </w:footnotePr>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heme="minorBidi" w:eastAsia="游明朝" w:eastAsiaTheme="minorEastAsia" w:hAnsi="Times New Roman"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游明朝" w:hAnsi="Times New Roman"/>
      <w:sz w:val="21"/>
    </w:rPr>
  </w:style>
  <w:style w:styleId="BodyText" w:type="paragraph">
    <w:name w:val="Body Text"/>
    <w:basedOn w:val="Normal"/>
    <w:link w:val="BodyTextChar"/>
    <w:qFormat/>
    <w:pPr>
      <w:spacing w:after="180" w:before="180"/>
    </w:pPr>
    <w:rPr>
      <w:rFonts w:ascii="Times New Roman" w:eastAsia="游明朝" w:hAnsi="Times New Roman"/>
      <w:sz w:val="21"/>
    </w:rPr>
  </w:style>
  <w:style w:customStyle="1" w:styleId="FirstParagraph" w:type="paragraph">
    <w:name w:val="First Paragraph"/>
    <w:basedOn w:val="BodyText"/>
    <w:next w:val="BodyText"/>
    <w:qFormat/>
    <w:rPr>
      <w:rFonts w:ascii="Times New Roman" w:eastAsia="游明朝" w:hAnsi="Times New Roman"/>
      <w:sz w:val="21"/>
    </w:rPr>
  </w:style>
  <w:style w:customStyle="1" w:styleId="Compact" w:type="paragraph">
    <w:name w:val="Compact"/>
    <w:basedOn w:val="BodyText"/>
    <w:qFormat/>
    <w:pPr>
      <w:spacing w:after="36" w:before="36"/>
    </w:pPr>
    <w:rPr>
      <w:rFonts w:ascii="Times New Roman" w:eastAsia="游明朝"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游明朝"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游明朝"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游明朝"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游明朝"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游明朝" w:eastAsiaTheme="majorEastAsia" w:hAnsi="Times New Roman"/>
      <w:b/>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游明朝" w:hAnsi="Times New Roman"/>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游明朝"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2026-02-27T01:55:55Z</dcterms:created>
  <dcterms:modified xsi:type="dcterms:W3CDTF">2026-02-27T01:55:55Z</dcterms:modified>
</cp:coreProperties>
</file>

<file path=docProps/custom.xml><?xml version="1.0" encoding="utf-8"?>
<Properties xmlns="http://schemas.openxmlformats.org/officeDocument/2006/custom-properties" xmlns:vt="http://schemas.openxmlformats.org/officeDocument/2006/docPropsVTypes"/>
</file>