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poolpool-corporation競争優位性評価レポート最終版"/>
    <w:p>
      <w:pPr>
        <w:pStyle w:val="Heading1"/>
      </w:pPr>
      <w:r>
        <w:rPr>
          <w:rFonts w:hint="eastAsia"/>
        </w:rPr>
        <w:t xml:space="preserve">POOL（Pool</w:t>
      </w:r>
      <w:r>
        <w:t xml:space="preserve"> </w:t>
      </w:r>
      <w:r>
        <w:rPr>
          <w:rFonts w:hint="eastAsia"/>
        </w:rPr>
        <w:t xml:space="preserve">Corporation）競争優位性評価レポート（最終版）</w:t>
      </w:r>
    </w:p>
    <w:p>
      <w:pPr>
        <w:pStyle w:val="BlockText"/>
      </w:pPr>
      <w:r>
        <w:rPr>
          <w:b/>
          <w:bCs/>
        </w:rPr>
        <w:t xml:space="preserve">リサーチID</w:t>
      </w:r>
      <w:r>
        <w:t xml:space="preserve">: CA_eval_20260226-2105_POOL</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SEC EDGAR (MCP, 10-Q 2025-09-30), </w:t>
      </w:r>
      <w:r>
        <w:rPr>
          <w:rFonts w:hint="eastAsia"/>
        </w:rPr>
        <w:t xml:space="preserve">アナリストレポート（analyst/raw/POOL.md）</w:t>
      </w:r>
      <w:r>
        <w:t xml:space="preserve"> </w:t>
      </w:r>
      <w:r>
        <w:rPr>
          <w:b/>
          <w:bCs/>
        </w:rPr>
        <w:t xml:space="preserve">KBバージョン</w:t>
      </w:r>
      <w:r>
        <w:t xml:space="preserve">: </w:t>
      </w:r>
      <w:r>
        <w:rPr>
          <w:rFonts w:hint="eastAsia"/>
        </w:rPr>
        <w:t xml:space="preserve">v1.0（2026-02-26</w:t>
      </w:r>
      <w:r>
        <w:t xml:space="preserve"> </w:t>
      </w:r>
      <w:r>
        <w:rPr>
          <w:rFonts w:hint="eastAsia"/>
        </w:rPr>
        <w:t xml:space="preserve">アナリスト検証済み）</w:t>
      </w:r>
      <w:r>
        <w:t xml:space="preserve"> </w:t>
      </w:r>
      <w:r>
        <w:rPr>
          <w:rFonts w:hint="eastAsia"/>
          <w:b/>
          <w:bCs/>
        </w:rPr>
        <w:t xml:space="preserve">T8適用</w:t>
      </w:r>
      <w:r>
        <w:t xml:space="preserve">: </w:t>
      </w:r>
      <w:r>
        <w:rPr>
          <w:rFonts w:hint="eastAsia"/>
        </w:rPr>
        <w:t xml:space="preserve">critique.json（critical</w:t>
      </w:r>
      <w:r>
        <w:t xml:space="preserve"> </w:t>
      </w:r>
      <w:r>
        <w:rPr>
          <w:rFonts w:hint="eastAsia"/>
        </w:rPr>
        <w:t xml:space="preserve">x1件、minor</w:t>
      </w:r>
      <w:r>
        <w:t xml:space="preserve"> </w:t>
      </w:r>
      <w:r>
        <w:rPr>
          <w:rFonts w:hint="eastAsia"/>
        </w:rPr>
        <w:t xml:space="preserve">x5件）の指摘を反映済み</w:t>
      </w:r>
    </w:p>
    <w:p>
      <w:r>
        <w:pict>
          <v:rect style="width:0;height:1.5pt" o:hralign="center" o:hrstd="t" o:hr="t"/>
        </w:pict>
      </w:r>
    </w:p>
    <w:bookmarkStart w:id="10" w:name="銘柄概要"/>
    <w:p>
      <w:pPr>
        <w:pStyle w:val="Heading2"/>
      </w:pPr>
      <w:r>
        <w:t xml:space="preserve">1. </w:t>
      </w:r>
      <w:r>
        <w:rPr>
          <w:rFonts w:hint="eastAsia"/>
        </w:rPr>
        <w:t xml:space="preserve">銘柄概要</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項目</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ascii="Times New Roman" w:hAnsi="Times New Roman" w:eastAsia="游明朝"/>
                <w:sz w:val="18"/>
              </w:rPr>
              <w:t xml:space="preserve">ティッカー</w:t>
            </w:r>
          </w:p>
        </w:tc>
        <w:tc>
          <w:tcPr/>
          <w:p>
            <w:pPr>
              <w:pStyle w:val="Compact"/>
            </w:pPr>
            <w:r>
              <w:rPr>
                <w:rFonts w:ascii="Times New Roman" w:hAnsi="Times New Roman" w:eastAsia="游明朝"/>
                <w:sz w:val="18"/>
              </w:rPr>
              <w:t xml:space="preserve">POOL</w:t>
            </w:r>
          </w:p>
        </w:tc>
      </w:tr>
      <w:tr>
        <w:tc>
          <w:tcPr/>
          <w:p>
            <w:pPr>
              <w:pStyle w:val="Compact"/>
            </w:pPr>
            <w:r>
              <w:rPr>
                <w:rFonts w:hint="eastAsia" w:ascii="Times New Roman" w:hAnsi="Times New Roman" w:eastAsia="游明朝"/>
                <w:sz w:val="18"/>
              </w:rPr>
              <w:t xml:space="preserve">企業名</w:t>
            </w:r>
          </w:p>
        </w:tc>
        <w:tc>
          <w:tcPr/>
          <w:p>
            <w:pPr>
              <w:pStyle w:val="Compact"/>
            </w:pPr>
            <w:r>
              <w:rPr>
                <w:rFonts w:ascii="Times New Roman" w:hAnsi="Times New Roman" w:eastAsia="游明朝"/>
                <w:sz w:val="18"/>
              </w:rPr>
              <w:t xml:space="preserve">Pool Corporation</w:t>
            </w:r>
          </w:p>
        </w:tc>
      </w:tr>
      <w:tr>
        <w:tc>
          <w:tcPr/>
          <w:p>
            <w:pPr>
              <w:pStyle w:val="Compact"/>
            </w:pPr>
            <w:r>
              <w:rPr>
                <w:rFonts w:hint="eastAsia" w:ascii="Times New Roman" w:hAnsi="Times New Roman" w:eastAsia="游明朝"/>
                <w:sz w:val="18"/>
              </w:rPr>
              <w:t xml:space="preserve">事業概要</w:t>
            </w:r>
          </w:p>
        </w:tc>
        <w:tc>
          <w:tcPr/>
          <w:p>
            <w:pPr>
              <w:pStyle w:val="Compact"/>
            </w:pPr>
            <w:r>
              <w:rPr>
                <w:rFonts w:hint="eastAsia" w:ascii="Times New Roman" w:hAnsi="Times New Roman" w:eastAsia="游明朝"/>
                <w:sz w:val="18"/>
              </w:rPr>
              <w:t xml:space="preserve">世界最大のプール関連卸売業者。建設資材、メンテナンス用品、灌漑・造園用品を取扱い</w:t>
            </w:r>
          </w:p>
        </w:tc>
      </w:tr>
      <w:tr>
        <w:tc>
          <w:tcPr/>
          <w:p>
            <w:pPr>
              <w:pStyle w:val="Compact"/>
            </w:pPr>
            <w:r>
              <w:rPr>
                <w:rFonts w:hint="eastAsia" w:ascii="Times New Roman" w:hAnsi="Times New Roman" w:eastAsia="游明朝"/>
                <w:sz w:val="18"/>
              </w:rPr>
              <w:t xml:space="preserve">市場シェア</w:t>
            </w:r>
          </w:p>
        </w:tc>
        <w:tc>
          <w:tcPr/>
          <w:p>
            <w:pPr>
              <w:pStyle w:val="Compact"/>
            </w:pPr>
            <w:r>
              <w:rPr>
                <w:rFonts w:hint="eastAsia" w:ascii="Times New Roman" w:hAnsi="Times New Roman" w:eastAsia="游明朝"/>
                <w:sz w:val="18"/>
              </w:rPr>
              <w:t xml:space="preserve">約40%（プール用品卸売市場）</w:t>
            </w:r>
          </w:p>
        </w:tc>
      </w:tr>
      <w:tr>
        <w:tc>
          <w:tcPr/>
          <w:p>
            <w:pPr>
              <w:pStyle w:val="Compact"/>
            </w:pPr>
            <w:r>
              <w:rPr>
                <w:rFonts w:hint="eastAsia" w:ascii="Times New Roman" w:hAnsi="Times New Roman" w:eastAsia="游明朝"/>
                <w:sz w:val="18"/>
              </w:rPr>
              <w:t xml:space="preserve">売上構成</w:t>
            </w:r>
          </w:p>
        </w:tc>
        <w:tc>
          <w:tcPr/>
          <w:p>
            <w:pPr>
              <w:pStyle w:val="Compact"/>
            </w:pPr>
            <w:r>
              <w:rPr>
                <w:rFonts w:ascii="Times New Roman" w:hAnsi="Times New Roman" w:eastAsia="游明朝"/>
                <w:sz w:val="18"/>
              </w:rPr>
              <w:t xml:space="preserve">メンテナンス60% / R&amp;R 20% / </w:t>
            </w:r>
            <w:r>
              <w:rPr>
                <w:rFonts w:hint="eastAsia" w:ascii="Times New Roman" w:hAnsi="Times New Roman" w:eastAsia="游明朝"/>
                <w:sz w:val="18"/>
              </w:rPr>
              <w:t xml:space="preserve">新築20%</w:t>
            </w:r>
          </w:p>
        </w:tc>
      </w:tr>
      <w:tr>
        <w:tc>
          <w:tcPr/>
          <w:p>
            <w:pPr>
              <w:pStyle w:val="Compact"/>
            </w:pPr>
            <w:r>
              <w:rPr>
                <w:rFonts w:hint="eastAsia" w:ascii="Times New Roman" w:hAnsi="Times New Roman" w:eastAsia="游明朝"/>
                <w:sz w:val="18"/>
              </w:rPr>
              <w:t xml:space="preserve">拠点数</w:t>
            </w:r>
          </w:p>
        </w:tc>
        <w:tc>
          <w:tcPr/>
          <w:p>
            <w:pPr>
              <w:pStyle w:val="Compact"/>
            </w:pPr>
            <w:r>
              <w:rPr>
                <w:rFonts w:hint="eastAsia" w:ascii="Times New Roman" w:hAnsi="Times New Roman" w:eastAsia="游明朝"/>
                <w:sz w:val="18"/>
              </w:rPr>
              <w:t xml:space="preserve">約400セールスセンター（北米・欧州・南米・豪州）</w:t>
            </w:r>
          </w:p>
        </w:tc>
      </w:tr>
      <w:tr>
        <w:tc>
          <w:tcPr/>
          <w:p>
            <w:pPr>
              <w:pStyle w:val="Compact"/>
            </w:pPr>
            <w:r>
              <w:rPr>
                <w:rFonts w:hint="eastAsia" w:ascii="Times New Roman" w:hAnsi="Times New Roman" w:eastAsia="游明朝"/>
                <w:sz w:val="18"/>
              </w:rPr>
              <w:t xml:space="preserve">投資判断</w:t>
            </w:r>
          </w:p>
        </w:tc>
        <w:tc>
          <w:tcPr/>
          <w:p>
            <w:pPr>
              <w:pStyle w:val="Compact"/>
            </w:pPr>
            <w:r>
              <w:rPr>
                <w:rFonts w:hint="eastAsia" w:ascii="Times New Roman" w:hAnsi="Times New Roman" w:eastAsia="游明朝"/>
                <w:sz w:val="18"/>
              </w:rPr>
              <w:t xml:space="preserve">BUY（2022/10/21）→</w:t>
            </w:r>
            <w:r>
              <w:rPr>
                <w:rFonts w:ascii="Times New Roman" w:hAnsi="Times New Roman" w:eastAsia="游明朝"/>
                <w:sz w:val="18"/>
              </w:rPr>
              <w:t xml:space="preserve"> </w:t>
            </w:r>
            <w:r>
              <w:rPr>
                <w:rFonts w:hint="eastAsia" w:ascii="Times New Roman" w:hAnsi="Times New Roman" w:eastAsia="游明朝"/>
                <w:sz w:val="18"/>
              </w:rPr>
              <w:t xml:space="preserve">SELL（2025/8/15）</w:t>
            </w:r>
          </w:p>
        </w:tc>
      </w:tr>
      <w:tr>
        <w:tc>
          <w:tcPr/>
          <w:p>
            <w:pPr>
              <w:pStyle w:val="Compact"/>
            </w:pPr>
            <w:r>
              <w:rPr>
                <w:rFonts w:hint="eastAsia" w:ascii="Times New Roman" w:hAnsi="Times New Roman" w:eastAsia="游明朝"/>
                <w:sz w:val="18"/>
              </w:rPr>
              <w:t xml:space="preserve">CAGR推移</w:t>
            </w:r>
          </w:p>
        </w:tc>
        <w:tc>
          <w:tcPr/>
          <w:p>
            <w:pPr>
              <w:pStyle w:val="Compact"/>
            </w:pPr>
            <w:r>
              <w:rPr>
                <w:rFonts w:hint="eastAsia" w:ascii="Times New Roman" w:hAnsi="Times New Roman" w:eastAsia="游明朝"/>
                <w:sz w:val="18"/>
              </w:rPr>
              <w:t xml:space="preserve">HSD~LDD（2019）→</w:t>
            </w:r>
            <w:r>
              <w:rPr>
                <w:rFonts w:ascii="Times New Roman" w:hAnsi="Times New Roman" w:eastAsia="游明朝"/>
                <w:sz w:val="18"/>
              </w:rPr>
              <w:t xml:space="preserve"> </w:t>
            </w:r>
            <w:r>
              <w:rPr>
                <w:rFonts w:hint="eastAsia" w:ascii="Times New Roman" w:hAnsi="Times New Roman" w:eastAsia="游明朝"/>
                <w:sz w:val="18"/>
              </w:rPr>
              <w:t xml:space="preserve">LDD（2022）→</w:t>
            </w:r>
            <w:r>
              <w:rPr>
                <w:rFonts w:ascii="Times New Roman" w:hAnsi="Times New Roman" w:eastAsia="游明朝"/>
                <w:sz w:val="18"/>
              </w:rPr>
              <w:t xml:space="preserve"> </w:t>
            </w:r>
            <w:r>
              <w:rPr>
                <w:rFonts w:hint="eastAsia" w:ascii="Times New Roman" w:hAnsi="Times New Roman" w:eastAsia="游明朝"/>
                <w:sz w:val="18"/>
              </w:rPr>
              <w:t xml:space="preserve">9.5%（2025修正）</w:t>
            </w:r>
          </w:p>
        </w:tc>
      </w:tr>
      <w:tr>
        <w:tc>
          <w:tcPr/>
          <w:p>
            <w:pPr>
              <w:pStyle w:val="Compact"/>
            </w:pPr>
            <w:r>
              <w:rPr>
                <w:rFonts w:ascii="Times New Roman" w:hAnsi="Times New Roman" w:eastAsia="游明朝"/>
                <w:sz w:val="18"/>
              </w:rPr>
              <w:t xml:space="preserve">ROIC</w:t>
            </w:r>
          </w:p>
        </w:tc>
        <w:tc>
          <w:tcPr/>
          <w:p>
            <w:pPr>
              <w:pStyle w:val="Compact"/>
            </w:pPr>
            <w:r>
              <w:rPr>
                <w:rFonts w:hint="eastAsia" w:ascii="Times New Roman" w:hAnsi="Times New Roman" w:eastAsia="游明朝"/>
                <w:sz w:val="18"/>
              </w:rPr>
              <w:t xml:space="preserve">過去3年平均26%（Bloomberg,</w:t>
            </w:r>
            <w:r>
              <w:rPr>
                <w:rFonts w:ascii="Times New Roman" w:hAnsi="Times New Roman" w:eastAsia="游明朝"/>
                <w:sz w:val="18"/>
              </w:rPr>
              <w:t xml:space="preserve"> </w:t>
            </w:r>
            <w:r>
              <w:rPr>
                <w:rFonts w:hint="eastAsia" w:ascii="Times New Roman" w:hAnsi="Times New Roman" w:eastAsia="游明朝"/>
                <w:sz w:val="18"/>
              </w:rPr>
              <w:t xml:space="preserve">2019年時点）</w:t>
            </w:r>
          </w:p>
        </w:tc>
      </w:tr>
    </w:tbl>
    <w:bookmarkStart w:id="9" w:name="投資仮説の変遷"/>
    <w:p>
      <w:pPr>
        <w:pStyle w:val="Heading3"/>
      </w:pPr>
      <w:r>
        <w:rPr>
          <w:rFonts w:hint="eastAsia"/>
        </w:rPr>
        <w:t xml:space="preserve">投資仮説の変遷</w:t>
      </w:r>
    </w:p>
    <w:p>
      <w:pPr>
        <w:pStyle w:val="FirstParagraph"/>
      </w:pPr>
      <w:r>
        <w:rPr>
          <w:rFonts w:hint="eastAsia"/>
        </w:rPr>
        <w:t xml:space="preserve">アナリストは2022年にBUY推奨し、川中寡占ポジションとメンテナンス収益の安定性を投資仮説の核としていた。しかし2025年8月に売却を決定。主因は「メンテナンス収益を安定収益源として過大評価していた」こと及びCAGR修正（12%→9.5%）。競争優位性自体は「若干低下も不変」との判断。</w:t>
      </w:r>
    </w:p>
    <w:p>
      <w:r>
        <w:pict>
          <v:rect style="width:0;height:1.5pt" o:hralign="center" o:hrstd="t" o:hr="t"/>
        </w:pict>
      </w:r>
    </w:p>
    <w:bookmarkEnd w:id="9"/>
    <w:bookmarkEnd w:id="10"/>
    <w:bookmarkStart w:id="11"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川中寡占バーゲニングパワー</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川上・川下フラグメント×川中寡占。GPM29-30%維持</w:t>
            </w:r>
          </w:p>
        </w:tc>
        <w:tc>
          <w:tcPr/>
          <w:p>
            <w:pPr>
              <w:pStyle w:val="Compact"/>
            </w:pPr>
            <w:r>
              <w:rPr>
                <w:rFonts w:hint="eastAsia" w:ascii="Times New Roman" w:hAnsi="Times New Roman" w:eastAsia="游明朝"/>
                <w:sz w:val="18"/>
              </w:rPr>
              <w:t xml:space="preserve">純粋競合の具体名不足。90%の可能性あり</w:t>
            </w:r>
          </w:p>
        </w:tc>
      </w:tr>
      <w:tr>
        <w:tc>
          <w:tcPr/>
          <w:p>
            <w:pPr>
              <w:pStyle w:val="Compact"/>
            </w:pPr>
            <w:r>
              <w:rPr>
                <w:rFonts w:ascii="Times New Roman" w:hAnsi="Times New Roman" w:eastAsia="游明朝"/>
                <w:sz w:val="18"/>
              </w:rPr>
              <w:t xml:space="preserve">2</w:t>
            </w:r>
          </w:p>
        </w:tc>
        <w:tc>
          <w:tcPr/>
          <w:p>
            <w:pPr>
              <w:pStyle w:val="Compact"/>
            </w:pPr>
            <w:r>
              <w:rPr>
                <w:rFonts w:ascii="Times New Roman" w:hAnsi="Times New Roman" w:eastAsia="游明朝"/>
                <w:sz w:val="18"/>
              </w:rPr>
              <w:t xml:space="preserve">ディストリビューションネットワーク</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50%</w:t>
            </w:r>
          </w:p>
        </w:tc>
        <w:tc>
          <w:tcPr/>
          <w:p>
            <w:pPr>
              <w:pStyle w:val="Compact"/>
            </w:pPr>
            <w:r>
              <w:rPr>
                <w:rFonts w:hint="eastAsia" w:ascii="Times New Roman" w:hAnsi="Times New Roman" w:eastAsia="游明朝"/>
                <w:sz w:val="18"/>
              </w:rPr>
              <w:t xml:space="preserve">400拠点</w:t>
            </w:r>
            <w:r>
              <w:rPr>
                <w:rFonts w:ascii="Times New Roman" w:hAnsi="Times New Roman" w:eastAsia="游明朝"/>
                <w:sz w:val="18"/>
              </w:rPr>
              <w:t xml:space="preserve"> vs </w:t>
            </w:r>
            <w:r>
              <w:rPr>
                <w:rFonts w:hint="eastAsia" w:ascii="Times New Roman" w:hAnsi="Times New Roman" w:eastAsia="游明朝"/>
                <w:sz w:val="18"/>
              </w:rPr>
              <w:t xml:space="preserve">業界2位30拠点。品揃え20万点</w:t>
            </w:r>
          </w:p>
        </w:tc>
        <w:tc>
          <w:tcPr/>
          <w:p>
            <w:pPr>
              <w:pStyle w:val="Compact"/>
            </w:pPr>
            <w:r>
              <w:rPr>
                <w:rFonts w:hint="eastAsia" w:ascii="Times New Roman" w:hAnsi="Times New Roman" w:eastAsia="游明朝"/>
                <w:sz w:val="18"/>
              </w:rPr>
              <w:t xml:space="preserve">拠点効率データなし。#1との統合で評価上昇の可能性</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価格転嫁力</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70%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掛け算ベース実質35%の注記追加]</w:t>
            </w:r>
          </w:p>
        </w:tc>
        <w:tc>
          <w:tcPr/>
          <w:p>
            <w:pPr>
              <w:pStyle w:val="Compact"/>
            </w:pPr>
            <w:r>
              <w:rPr>
                <w:rFonts w:hint="eastAsia" w:ascii="Times New Roman" w:hAnsi="Times New Roman" w:eastAsia="游明朝"/>
                <w:sz w:val="18"/>
              </w:rPr>
              <w:t xml:space="preserve">建設業者コスト構造（Pool帰属20%）</w:t>
            </w:r>
          </w:p>
        </w:tc>
        <w:tc>
          <w:tcPr/>
          <w:p>
            <w:pPr>
              <w:pStyle w:val="Compact"/>
            </w:pPr>
            <w:r>
              <w:rPr>
                <w:rFonts w:hint="eastAsia" w:ascii="Times New Roman" w:hAnsi="Times New Roman" w:eastAsia="游明朝"/>
                <w:sz w:val="18"/>
              </w:rPr>
              <w:t xml:space="preserve">業界共通特性の面。CA×CAGR掛け算で実質35%</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M&amp;A実行能力</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30%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構造的制約の強調]</w:t>
            </w:r>
          </w:p>
        </w:tc>
        <w:tc>
          <w:tcPr/>
          <w:p>
            <w:pPr>
              <w:pStyle w:val="Compact"/>
            </w:pPr>
            <w:r>
              <w:rPr>
                <w:rFonts w:hint="eastAsia" w:ascii="Times New Roman" w:hAnsi="Times New Roman" w:eastAsia="游明朝"/>
                <w:sz w:val="18"/>
              </w:rPr>
              <w:t xml:space="preserve">40件以上のM&amp;A実績、フラグメント市場</w:t>
            </w:r>
          </w:p>
        </w:tc>
        <w:tc>
          <w:tcPr/>
          <w:p>
            <w:pPr>
              <w:pStyle w:val="Compact"/>
            </w:pPr>
            <w:r>
              <w:rPr>
                <w:rFonts w:hint="eastAsia" w:ascii="Times New Roman" w:hAnsi="Times New Roman" w:eastAsia="游明朝"/>
                <w:sz w:val="18"/>
              </w:rPr>
              <w:t xml:space="preserve">寄与度低下はCAGR最大の下方修正要因（-1.5%）</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メンテナンス収益安定性</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30% [⬇️ </w:t>
            </w: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KB蓄積フラグ]</w:t>
            </w:r>
          </w:p>
        </w:tc>
        <w:tc>
          <w:tcPr/>
          <w:p>
            <w:pPr>
              <w:pStyle w:val="Compact"/>
            </w:pPr>
            <w:r>
              <w:rPr>
                <w:rFonts w:hint="eastAsia" w:ascii="Times New Roman" w:hAnsi="Times New Roman" w:eastAsia="游明朝"/>
                <w:sz w:val="18"/>
              </w:rPr>
              <w:t xml:space="preserve">メンテナンス60%構成</w:t>
            </w:r>
          </w:p>
        </w:tc>
        <w:tc>
          <w:tcPr/>
          <w:p>
            <w:pPr>
              <w:pStyle w:val="Compact"/>
            </w:pPr>
            <w:r>
              <w:rPr>
                <w:rFonts w:hint="eastAsia" w:ascii="Times New Roman" w:hAnsi="Times New Roman" w:eastAsia="游明朝"/>
                <w:sz w:val="18"/>
              </w:rPr>
              <w:t xml:space="preserve">アナリスト自己否定。dogma</w:t>
            </w:r>
            <w:r>
              <w:rPr>
                <w:rFonts w:ascii="Times New Roman" w:hAnsi="Times New Roman" w:eastAsia="游明朝"/>
                <w:sz w:val="18"/>
              </w:rPr>
              <w:t xml:space="preserve"> </w:t>
            </w:r>
            <w:r>
              <w:rPr>
                <w:rFonts w:hint="eastAsia" w:ascii="Times New Roman" w:hAnsi="Times New Roman" w:eastAsia="游明朝"/>
                <w:sz w:val="18"/>
              </w:rPr>
              <w:t xml:space="preserve">v2.0反映候補</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Eコマース参入障壁</w:t>
            </w:r>
          </w:p>
        </w:tc>
        <w:tc>
          <w:tcPr/>
          <w:p>
            <w:pPr>
              <w:pStyle w:val="Compact"/>
            </w:pPr>
            <w:r>
              <w:rPr>
                <w:rFonts w:hint="eastAsia" w:ascii="Times New Roman" w:hAnsi="Times New Roman" w:eastAsia="游明朝"/>
                <w:b/>
                <w:bCs/>
                <w:sz w:val="18"/>
              </w:rPr>
              <w:t xml:space="preserve">30%（あまり納得しない）</w:t>
            </w:r>
            <w:r>
              <w:rPr>
                <w:rFonts w:ascii="Times New Roman" w:hAnsi="Times New Roman" w:eastAsia="游明朝"/>
                <w:sz w:val="18"/>
              </w:rPr>
              <w:t xml:space="preserve"> </w:t>
            </w:r>
            <w:r>
              <w:rPr>
                <w:rFonts w:ascii="Times New Roman" w:hAnsi="Times New Roman" w:eastAsia="游明朝"/>
                <w:sz w:val="18"/>
              </w:rPr>
              <w:t xml:space="preserve">[⬇️ </w:t>
            </w:r>
            <w:r>
              <w:rPr>
                <w:rFonts w:hint="eastAsia" w:ascii="Times New Roman" w:hAnsi="Times New Roman" w:eastAsia="游明朝"/>
                <w:sz w:val="18"/>
              </w:rPr>
              <w:t xml:space="preserve">T8修正:</w:t>
            </w:r>
            <w:r>
              <w:rPr>
                <w:rFonts w:ascii="Times New Roman" w:hAnsi="Times New Roman" w:eastAsia="游明朝"/>
                <w:sz w:val="18"/>
              </w:rPr>
              <w:t xml:space="preserve"> 50%→30%]</w:t>
            </w:r>
          </w:p>
        </w:tc>
        <w:tc>
          <w:tcPr/>
          <w:p>
            <w:pPr>
              <w:pStyle w:val="Compact"/>
            </w:pPr>
            <w:r>
              <w:rPr>
                <w:rFonts w:ascii="Times New Roman" w:hAnsi="Times New Roman" w:eastAsia="游明朝"/>
                <w:sz w:val="18"/>
              </w:rPr>
              <w:t xml:space="preserve">30%</w:t>
            </w:r>
          </w:p>
        </w:tc>
        <w:tc>
          <w:tcPr/>
          <w:p>
            <w:pPr>
              <w:pStyle w:val="Compact"/>
            </w:pPr>
            <w:r>
              <w:rPr>
                <w:rFonts w:hint="eastAsia" w:ascii="Times New Roman" w:hAnsi="Times New Roman" w:eastAsia="游明朝"/>
                <w:sz w:val="18"/>
              </w:rPr>
              <w:t xml:space="preserve">B2B品質保証、重量・引火性商品</w:t>
            </w:r>
          </w:p>
        </w:tc>
        <w:tc>
          <w:tcPr/>
          <w:p>
            <w:pPr>
              <w:pStyle w:val="Compact"/>
            </w:pPr>
            <w:r>
              <w:rPr>
                <w:rFonts w:hint="eastAsia" w:ascii="Times New Roman" w:hAnsi="Times New Roman" w:eastAsia="游明朝"/>
                <w:sz w:val="18"/>
              </w:rPr>
              <w:t xml:space="preserve">業界共通特性+補完的要素。KB3整合性で30%に修正</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収益レジリエンス</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Fixed:Variable=75:25、ROIC26%</w:t>
            </w:r>
          </w:p>
        </w:tc>
        <w:tc>
          <w:tcPr/>
          <w:p>
            <w:pPr>
              <w:pStyle w:val="Compact"/>
            </w:pPr>
            <w:r>
              <w:rPr>
                <w:rFonts w:hint="eastAsia" w:ascii="Times New Roman" w:hAnsi="Times New Roman" w:eastAsia="游明朝"/>
                <w:sz w:val="18"/>
              </w:rPr>
              <w:t xml:space="preserve">他社比較なし</w:t>
            </w:r>
          </w:p>
        </w:tc>
      </w:tr>
    </w:tbl>
    <w:p>
      <w:pPr>
        <w:pStyle w:val="BodyText"/>
      </w:pPr>
      <w:r>
        <w:rPr>
          <w:rFonts w:hint="eastAsia"/>
          <w:b/>
          <w:bCs/>
        </w:rPr>
        <w:t xml:space="preserve">平均CA確信度</w:t>
      </w:r>
      <w:r>
        <w:t xml:space="preserve">: 50% </w:t>
      </w:r>
      <w:r>
        <w:rPr>
          <w:rFonts w:hint="eastAsia"/>
        </w:rPr>
        <w:t xml:space="preserve">(T8修正後)</w:t>
      </w:r>
      <w:r>
        <w:t xml:space="preserve"> |</w:t>
      </w:r>
      <w:r>
        <w:t xml:space="preserve"> </w:t>
      </w:r>
      <w:r>
        <w:rPr>
          <w:rFonts w:hint="eastAsia"/>
          <w:b/>
          <w:bCs/>
        </w:rPr>
        <w:t xml:space="preserve">平均CAGR確信度</w:t>
      </w:r>
      <w:r>
        <w:t xml:space="preserve">: 47%</w:t>
      </w:r>
    </w:p>
    <w:p>
      <w:r>
        <w:pict>
          <v:rect style="width:0;height:1.5pt" o:hralign="center" o:hrstd="t" o:hr="t"/>
        </w:pict>
      </w:r>
    </w:p>
    <w:bookmarkEnd w:id="11"/>
    <w:bookmarkStart w:id="26" w:name="主張別詳細評価"/>
    <w:p>
      <w:pPr>
        <w:pStyle w:val="Heading2"/>
      </w:pPr>
      <w:r>
        <w:t xml:space="preserve">3. </w:t>
      </w:r>
      <w:r>
        <w:rPr>
          <w:rFonts w:hint="eastAsia"/>
        </w:rPr>
        <w:t xml:space="preserve">主張別詳細評価</w:t>
      </w:r>
    </w:p>
    <w:p>
      <w:r>
        <w:pict>
          <v:rect style="width:0;height:1.5pt" o:hralign="center" o:hrstd="t" o:hr="t"/>
        </w:pict>
      </w:r>
    </w:p>
    <w:bookmarkStart w:id="13" w:name="X702c99c6ce3dda7ab4dae4fa2eb0eabb023c8ab"/>
    <w:p>
      <w:pPr>
        <w:pStyle w:val="Heading3"/>
      </w:pPr>
      <w:r>
        <w:rPr>
          <w:rFonts w:hint="eastAsia"/>
        </w:rPr>
        <w:t xml:space="preserve">主張</w:t>
      </w:r>
      <w:r>
        <w:t xml:space="preserve"> #1: </w:t>
      </w:r>
      <w:r>
        <w:rPr>
          <w:rFonts w:hint="eastAsia"/>
        </w:rPr>
        <w:t xml:space="preserve">川中寡占ポジションに基づくバーゲニングパワー（買い手・売り手双方に対する交渉力）</w:t>
      </w:r>
    </w:p>
    <w:bookmarkStart w:id="12" w:name="ai評価-おおむね納得70"/>
    <w:p>
      <w:pPr>
        <w:pStyle w:val="Heading4"/>
      </w:pPr>
      <w:r>
        <w:rPr>
          <w:rFonts w:hint="eastAsia"/>
        </w:rPr>
        <w:t xml:space="preserve">AI評価:</w:t>
      </w:r>
      <w:r>
        <w:t xml:space="preserve"> </w:t>
      </w:r>
      <w:r>
        <w:rPr>
          <w:rFonts w:hint="eastAsia"/>
        </w:rPr>
        <w:t xml:space="preserve">おおむね納得（70%）</w:t>
      </w:r>
    </w:p>
    <w:p>
      <w:pPr>
        <w:pStyle w:val="FirstParagraph"/>
      </w:pPr>
      <w:r>
        <w:rPr>
          <w:rFonts w:hint="eastAsia"/>
        </w:rPr>
        <w:t xml:space="preserve">プール用品のバリューチェーンにおいて、川上（2,200以上のサプライヤー）と川下（12万の顧客）がフラグメントな中、川中の当社が約40%のシェアで寡占的ポジションを占める。この構造はORLY#2（フラグメント市場×規模・密度→90%）に類似するが、</w:t>
      </w:r>
      <w:r>
        <w:rPr>
          <w:rFonts w:hint="eastAsia"/>
        </w:rPr>
        <w:t xml:space="preserve">純粋競合との具体的比較データが不足</w:t>
      </w:r>
      <w:r>
        <w:rPr>
          <w:rFonts w:hint="eastAsia"/>
        </w:rPr>
        <w:t xml:space="preserve">しているため70%に留まる。</w:t>
      </w:r>
    </w:p>
    <w:p>
      <w:pPr>
        <w:pStyle w:val="BodyText"/>
      </w:pPr>
      <w:r>
        <w:rPr>
          <w:rFonts w:hint="eastAsia"/>
          <w:b/>
          <w:bCs/>
        </w:rPr>
        <w:t xml:space="preserve">納得できる点</w:t>
      </w:r>
      <w:r>
        <w:t xml:space="preserve">: </w:t>
      </w:r>
      <w:r>
        <w:rPr>
          <w:rFonts w:hint="eastAsia"/>
        </w:rPr>
        <w:t xml:space="preserve">川上フラグメント×川下フラグメント×川中寡占という産業構造は明確。売上減少局面でもGPM29-30%を維持していることが交渉力の定量的裏付け（SEC</w:t>
      </w:r>
      <w:r>
        <w:t xml:space="preserve"> EDGAR Q3 2025: GPM </w:t>
      </w:r>
      <w:r>
        <w:rPr>
          <w:rFonts w:hint="eastAsia"/>
        </w:rPr>
        <w:t xml:space="preserve">29.6%で検証済み）。</w:t>
      </w:r>
    </w:p>
    <w:p>
      <w:pPr>
        <w:pStyle w:val="BodyText"/>
      </w:pPr>
      <w:r>
        <w:rPr>
          <w:rFonts w:hint="eastAsia"/>
          <w:b/>
          <w:bCs/>
        </w:rPr>
        <w:t xml:space="preserve">懸念点</w:t>
      </w:r>
      <w:r>
        <w:t xml:space="preserve">: </w:t>
      </w:r>
      <w:r>
        <w:rPr>
          <w:rFonts w:hint="eastAsia"/>
        </w:rPr>
        <w:t xml:space="preserve">業界2位の具体名が示されておらず、拠点数格差（400</w:t>
      </w:r>
      <w:r>
        <w:t xml:space="preserve"> vs </w:t>
      </w:r>
      <w:r>
        <w:rPr>
          <w:rFonts w:hint="eastAsia"/>
        </w:rPr>
        <w:t xml:space="preserve">30）以外の差別化軸が不明確。純粋競合比較（パターンG/ルール7）が弱い。</w:t>
      </w:r>
    </w:p>
    <w:p>
      <w:pPr>
        <w:pStyle w:val="BlockText"/>
      </w:pPr>
      <w:r>
        <w:rPr>
          <w:rFonts w:hint="eastAsia"/>
          <w:b/>
          <w:bCs/>
        </w:rPr>
        <w:t xml:space="preserve">[注1A]</w:t>
      </w:r>
      <w:r>
        <w:rPr>
          <w:b/>
          <w:bCs/>
        </w:rPr>
        <w:t xml:space="preserve"> </w:t>
      </w:r>
      <w:r>
        <w:rPr>
          <w:rFonts w:hint="eastAsia"/>
          <w:b/>
          <w:bCs/>
        </w:rPr>
        <w:t xml:space="preserve">T8批判</w:t>
      </w:r>
      <w:r>
        <w:rPr>
          <w:b/>
          <w:bCs/>
        </w:rPr>
        <w:t xml:space="preserve"> (minor): </w:t>
      </w:r>
      <w:r>
        <w:rPr>
          <w:rFonts w:hint="eastAsia"/>
          <w:b/>
          <w:bCs/>
        </w:rPr>
        <w:t xml:space="preserve">90%到達の境界条件の明確化</w:t>
      </w:r>
    </w:p>
    <w:p>
      <w:pPr>
        <w:pStyle w:val="BlockText"/>
      </w:pPr>
      <w:r>
        <w:rPr>
          <w:rFonts w:hint="eastAsia"/>
        </w:rPr>
        <w:t xml:space="preserve">ORLY#2（90%）との構造的類似性が高いにもかかわらず、70%に留めた理由が「密度データの具体性が不足」のみでは不十分。ORLY#2が90%を得た核心は「配送網内での物流管理を効率よく行える」点の具体的説明と、市場の成長余地データ。POOLの400拠点ネットワークもこれに匹敵しうる可能性がある。</w:t>
      </w:r>
    </w:p>
    <w:p>
      <w:pPr>
        <w:pStyle w:val="BlockText"/>
      </w:pPr>
      <w:r>
        <w:rPr>
          <w:rFonts w:hint="eastAsia"/>
          <w:b/>
          <w:bCs/>
        </w:rPr>
        <w:t xml:space="preserve">T8の判断</w:t>
      </w:r>
      <w:r>
        <w:t xml:space="preserve">: CA </w:t>
      </w:r>
      <w:r>
        <w:rPr>
          <w:rFonts w:hint="eastAsia"/>
        </w:rPr>
        <w:t xml:space="preserve">70%は適切。純粋競合の具体名（SRS</w:t>
      </w:r>
      <w:r>
        <w:t xml:space="preserve"> </w:t>
      </w:r>
      <w:r>
        <w:rPr>
          <w:rFonts w:hint="eastAsia"/>
        </w:rPr>
        <w:t xml:space="preserve">Distribution等）との物流効率比較や、市場の飽和度データが追加されれば90%の可能性がある。アナリストフィードバックで確認推奨。</w:t>
      </w:r>
    </w:p>
    <w:p>
      <w:pPr>
        <w:pStyle w:val="BlockText"/>
      </w:pPr>
      <w:r>
        <w:rPr>
          <w:rFonts w:hint="eastAsia"/>
          <w:b/>
          <w:bCs/>
        </w:rPr>
        <w:t xml:space="preserve">[注1B]</w:t>
      </w:r>
      <w:r>
        <w:rPr>
          <w:b/>
          <w:bCs/>
        </w:rPr>
        <w:t xml:space="preserve"> </w:t>
      </w:r>
      <w:r>
        <w:rPr>
          <w:rFonts w:hint="eastAsia"/>
          <w:b/>
          <w:bCs/>
        </w:rPr>
        <w:t xml:space="preserve">T8批判</w:t>
      </w:r>
      <w:r>
        <w:rPr>
          <w:b/>
          <w:bCs/>
        </w:rPr>
        <w:t xml:space="preserve"> (minor): </w:t>
      </w:r>
      <w:r>
        <w:rPr>
          <w:rFonts w:hint="eastAsia"/>
          <w:b/>
          <w:bCs/>
        </w:rPr>
        <w:t xml:space="preserve">Claim#1と#2の統合可能性</w:t>
      </w:r>
    </w:p>
    <w:p>
      <w:pPr>
        <w:pStyle w:val="BlockText"/>
      </w:pPr>
      <w:r>
        <w:rPr>
          <w:rFonts w:hint="eastAsia"/>
        </w:rPr>
        <w:t xml:space="preserve">Claim#1（バーゲニングパワー）とClaim#2（ディストリビューションネットワーク）は実質的に同一の構造的優位性（規模・ネットワーク）の異なる側面。ORLY#2はこれらを一つの主張にまとめて90%としている。統合した場合、業界構造合致（ルール11）がより明確になり、70%超の評価の可能性がある。</w:t>
      </w:r>
    </w:p>
    <w:p>
      <w:pPr>
        <w:pStyle w:val="BlockText"/>
      </w:pPr>
      <w:r>
        <w:rPr>
          <w:rFonts w:hint="eastAsia"/>
          <w:b/>
          <w:bCs/>
        </w:rPr>
        <w:t xml:space="preserve">T8の判断</w:t>
      </w:r>
      <w:r>
        <w:t xml:space="preserve">: </w:t>
      </w:r>
      <w:r>
        <w:rPr>
          <w:rFonts w:hint="eastAsia"/>
        </w:rPr>
        <w:t xml:space="preserve">分割は問題ではないが、統合した場合の評価可能性を注記。アナリストに「#1+#2を統合した場合の評価」についてフィードバックを求める。</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能力vs結果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バーゲニングパワーは構造的能力</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「交渉力」は名詞属性</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川中寡占は業界で際立つ</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バリューチェーン構造+GPMの定量裏付け</w:t>
            </w:r>
          </w:p>
        </w:tc>
      </w:tr>
      <w:tr>
        <w:tc>
          <w:tcPr/>
          <w:p>
            <w:pPr>
              <w:pStyle w:val="Compact"/>
            </w:pPr>
            <w:r>
              <w:rPr>
                <w:rFonts w:ascii="Times New Roman" w:hAnsi="Times New Roman" w:eastAsia="游明朝"/>
                <w:sz w:val="18"/>
              </w:rPr>
              <w:t xml:space="preserve">R5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GPM維持→OPレバ基盤は間接的</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構造的/補完的</w:t>
            </w:r>
          </w:p>
        </w:tc>
        <w:tc>
          <w:tcPr/>
          <w:p>
            <w:pPr>
              <w:pStyle w:val="Compact"/>
            </w:pPr>
            <w:r>
              <w:rPr>
                <w:rFonts w:hint="eastAsia" w:ascii="Times New Roman" w:hAnsi="Times New Roman" w:eastAsia="游明朝"/>
                <w:sz w:val="18"/>
              </w:rPr>
              <w:t xml:space="preserve">構造的</w:t>
            </w:r>
          </w:p>
        </w:tc>
        <w:tc>
          <w:tcPr/>
          <w:p>
            <w:pPr>
              <w:pStyle w:val="Compact"/>
            </w:pPr>
            <w:r>
              <w:rPr>
                <w:rFonts w:hint="eastAsia" w:ascii="Times New Roman" w:hAnsi="Times New Roman" w:eastAsia="游明朝"/>
                <w:sz w:val="18"/>
              </w:rPr>
              <w:t xml:space="preserve">事業モデルの核心</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業界2位の具体名なし</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構造的ポジションを評価</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No error</w:t>
            </w:r>
          </w:p>
        </w:tc>
        <w:tc>
          <w:tcPr/>
          <w:p>
            <w:pPr>
              <w:pStyle w:val="Compact"/>
            </w:pPr>
            <w:r>
              <w:rPr>
                <w:rFonts w:hint="eastAsia" w:ascii="Times New Roman" w:hAnsi="Times New Roman" w:eastAsia="游明朝"/>
                <w:sz w:val="18"/>
              </w:rPr>
              <w:t xml:space="preserve">GPM検証済み</w:t>
            </w: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該当なし</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Strong fit</w:t>
            </w:r>
          </w:p>
        </w:tc>
        <w:tc>
          <w:tcPr/>
          <w:p>
            <w:pPr>
              <w:pStyle w:val="Compact"/>
            </w:pPr>
            <w:r>
              <w:rPr>
                <w:rFonts w:hint="eastAsia" w:ascii="Times New Roman" w:hAnsi="Times New Roman" w:eastAsia="游明朝"/>
                <w:sz w:val="18"/>
              </w:rPr>
              <w:t xml:space="preserve">フラグメント×寡占は明確な合致</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①主②従</w:t>
            </w:r>
          </w:p>
        </w:tc>
        <w:tc>
          <w:tcPr/>
          <w:p>
            <w:pPr>
              <w:pStyle w:val="Compact"/>
            </w:pPr>
            <w:r>
              <w:rPr>
                <w:rFonts w:hint="eastAsia" w:ascii="Times New Roman" w:hAnsi="Times New Roman" w:eastAsia="游明朝"/>
                <w:sz w:val="18"/>
              </w:rPr>
              <w:t xml:space="preserve">主（①）</w:t>
            </w:r>
          </w:p>
        </w:tc>
        <w:tc>
          <w:tcPr/>
          <w:p>
            <w:pPr>
              <w:pStyle w:val="Compact"/>
            </w:pPr>
            <w:r>
              <w:rPr>
                <w:rFonts w:hint="eastAsia" w:ascii="Times New Roman" w:hAnsi="Times New Roman" w:eastAsia="游明朝"/>
                <w:sz w:val="18"/>
              </w:rPr>
              <w:t xml:space="preserve">期初レポートから抽出</w:t>
            </w:r>
          </w:p>
        </w:tc>
      </w:tr>
    </w:tbl>
    <w:p>
      <w:pPr>
        <w:pStyle w:val="BodyText"/>
      </w:pPr>
      <w:r>
        <w:rPr>
          <w:rFonts w:hint="eastAsia"/>
          <w:b/>
          <w:bCs/>
        </w:rPr>
        <w:t xml:space="preserve">検出パターン</w:t>
      </w:r>
      <w:r>
        <w:t xml:space="preserve">: </w:t>
      </w:r>
      <w:r>
        <w:rPr>
          <w:rFonts w:hint="eastAsia"/>
        </w:rPr>
        <w:t xml:space="preserve">IV（構造的市場ポジション）、I（定量的差別化）、III（能力&gt;結果）</w:t>
      </w:r>
    </w:p>
    <w:p>
      <w:pPr>
        <w:pStyle w:val="BodyText"/>
      </w:pPr>
      <w:r>
        <w:rPr>
          <w:rFonts w:hint="eastAsia"/>
          <w:b/>
          <w:bCs/>
        </w:rPr>
        <w:t xml:space="preserve">CAGR接続（70%）</w:t>
      </w:r>
      <w:r>
        <w:t xml:space="preserve">: </w:t>
      </w:r>
      <w:r>
        <w:rPr>
          <w:rFonts w:hint="eastAsia"/>
        </w:rPr>
        <w:t xml:space="preserve">バーゲニングパワー→仕入コスト優位→GPM維持/拡大→OPレバレッジ1-2%の基盤。GPM推移は開示データで検証可能（パターンII部分適合）。</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 </w:t>
      </w:r>
      <w:r>
        <w:rPr>
          <w:rFonts w:hint="eastAsia"/>
        </w:rPr>
        <w:t xml:space="preserve">AI評価（T8修正後の最終値）</w:t>
      </w:r>
    </w:p>
    <w:p>
      <w:r>
        <w:pict>
          <v:rect style="width:0;height:1.5pt" o:hralign="center" o:hrstd="t" o:hr="t"/>
        </w:pict>
      </w:r>
    </w:p>
    <w:bookmarkEnd w:id="12"/>
    <w:bookmarkEnd w:id="13"/>
    <w:bookmarkStart w:id="15" w:name="主張-2-地域密度と販売網による顧客利便性ディストリビューションネットワーク"/>
    <w:p>
      <w:pPr>
        <w:pStyle w:val="Heading3"/>
      </w:pPr>
      <w:r>
        <w:rPr>
          <w:rFonts w:hint="eastAsia"/>
        </w:rPr>
        <w:t xml:space="preserve">主張</w:t>
      </w:r>
      <w:r>
        <w:t xml:space="preserve"> #2: </w:t>
      </w:r>
      <w:r>
        <w:rPr>
          <w:rFonts w:hint="eastAsia"/>
        </w:rPr>
        <w:t xml:space="preserve">地域密度と販売網による顧客利便性（ディストリビューションネットワーク）</w:t>
      </w:r>
    </w:p>
    <w:bookmarkStart w:id="14" w:name="ai評価-おおむね納得70-1"/>
    <w:p>
      <w:pPr>
        <w:pStyle w:val="Heading4"/>
      </w:pPr>
      <w:r>
        <w:rPr>
          <w:rFonts w:hint="eastAsia"/>
        </w:rPr>
        <w:t xml:space="preserve">AI評価:</w:t>
      </w:r>
      <w:r>
        <w:t xml:space="preserve"> </w:t>
      </w:r>
      <w:r>
        <w:rPr>
          <w:rFonts w:hint="eastAsia"/>
        </w:rPr>
        <w:t xml:space="preserve">おおむね納得（70%）</w:t>
      </w:r>
    </w:p>
    <w:p>
      <w:pPr>
        <w:pStyle w:val="FirstParagraph"/>
      </w:pPr>
      <w:r>
        <w:rPr>
          <w:rFonts w:hint="eastAsia"/>
        </w:rPr>
        <w:t xml:space="preserve">約400拠点のセールスセンターを顧客密度の高い地域に配置し、CSLs・自社トラック・サードパーティ運送を組み合わせた配送網を構築。プール建設業者にとって工期短縮が最重要課題であり、</w:t>
      </w:r>
      <w:r>
        <w:rPr>
          <w:rFonts w:hint="eastAsia"/>
        </w:rPr>
        <w:t xml:space="preserve">品揃え・即時性が価格よりも重要となる業界特性</w:t>
      </w:r>
      <w:r>
        <w:rPr>
          <w:rFonts w:hint="eastAsia"/>
        </w:rPr>
        <w:t xml:space="preserve">と合致する。</w:t>
      </w:r>
    </w:p>
    <w:p>
      <w:pPr>
        <w:pStyle w:val="BodyText"/>
      </w:pPr>
      <w:r>
        <w:rPr>
          <w:rFonts w:hint="eastAsia"/>
          <w:b/>
          <w:bCs/>
        </w:rPr>
        <w:t xml:space="preserve">納得できる点</w:t>
      </w:r>
      <w:r>
        <w:t xml:space="preserve">: </w:t>
      </w:r>
      <w:r>
        <w:rPr>
          <w:rFonts w:hint="eastAsia"/>
        </w:rPr>
        <w:t xml:space="preserve">400拠点</w:t>
      </w:r>
      <w:r>
        <w:t xml:space="preserve"> vs </w:t>
      </w:r>
      <w:r>
        <w:rPr>
          <w:rFonts w:hint="eastAsia"/>
        </w:rPr>
        <w:t xml:space="preserve">業界2位30拠点の格差は圧倒的。50カテゴリー・20万点以上の品揃え。</w:t>
      </w:r>
    </w:p>
    <w:p>
      <w:pPr>
        <w:pStyle w:val="BodyText"/>
      </w:pPr>
      <w:r>
        <w:rPr>
          <w:rFonts w:hint="eastAsia"/>
          <w:b/>
          <w:bCs/>
        </w:rPr>
        <w:t xml:space="preserve">懸念点</w:t>
      </w:r>
      <w:r>
        <w:t xml:space="preserve">: </w:t>
      </w:r>
      <w:r>
        <w:rPr>
          <w:rFonts w:hint="eastAsia"/>
        </w:rPr>
        <w:t xml:space="preserve">個別拠点の売上効率データが非開示。CAGR接続においてシェアゲイン+1%への具体的メカニズムが不透明。</w:t>
      </w:r>
    </w:p>
    <w:p>
      <w:pPr>
        <w:pStyle w:val="BodyText"/>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理由</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能力vs結果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配送網は能力</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「ネットワーク」「利便性」</w:t>
            </w:r>
          </w:p>
        </w:tc>
      </w:tr>
      <w:tr>
        <w:tc>
          <w:tcPr/>
          <w:p>
            <w:pPr>
              <w:pStyle w:val="Compact"/>
            </w:pPr>
            <w:r>
              <w:rPr>
                <w:rFonts w:ascii="Times New Roman" w:hAnsi="Times New Roman" w:eastAsia="游明朝"/>
                <w:sz w:val="18"/>
              </w:rPr>
              <w:t xml:space="preserve">R3 </w:t>
            </w:r>
            <w:r>
              <w:rPr>
                <w:rFonts w:hint="eastAsia" w:ascii="Times New Roman" w:hAnsi="Times New Roman" w:eastAsia="游明朝"/>
                <w:sz w:val="18"/>
              </w:rPr>
              <w:t xml:space="preserve">相対的優位</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400 vs </w:t>
            </w:r>
            <w:r>
              <w:rPr>
                <w:rFonts w:hint="eastAsia" w:ascii="Times New Roman" w:hAnsi="Times New Roman" w:eastAsia="游明朝"/>
                <w:sz w:val="18"/>
              </w:rPr>
              <w:t xml:space="preserve">30の格差</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説明力</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拠点配置ロジック+コスト構造</w:t>
            </w:r>
          </w:p>
        </w:tc>
      </w:tr>
      <w:tr>
        <w:tc>
          <w:tcPr/>
          <w:p>
            <w:pPr>
              <w:pStyle w:val="Compact"/>
            </w:pPr>
            <w:r>
              <w:rPr>
                <w:rFonts w:ascii="Times New Roman" w:hAnsi="Times New Roman" w:eastAsia="游明朝"/>
                <w:sz w:val="18"/>
              </w:rPr>
              <w:t xml:space="preserve">R5 </w:t>
            </w:r>
            <w:r>
              <w:rPr>
                <w:rFonts w:hint="eastAsia" w:ascii="Times New Roman" w:hAnsi="Times New Roman" w:eastAsia="游明朝"/>
                <w:sz w:val="18"/>
              </w:rPr>
              <w:t xml:space="preserve">CAGR接続</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シェアゲインメカニズム不透明</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構造的/補完的</w:t>
            </w:r>
          </w:p>
        </w:tc>
        <w:tc>
          <w:tcPr/>
          <w:p>
            <w:pPr>
              <w:pStyle w:val="Compact"/>
            </w:pPr>
            <w:r>
              <w:rPr>
                <w:rFonts w:hint="eastAsia" w:ascii="Times New Roman" w:hAnsi="Times New Roman" w:eastAsia="游明朝"/>
                <w:sz w:val="18"/>
              </w:rPr>
              <w:t xml:space="preserve">構造的</w:t>
            </w:r>
          </w:p>
        </w:tc>
        <w:tc>
          <w:tcPr/>
          <w:p>
            <w:pPr>
              <w:pStyle w:val="Compact"/>
            </w:pPr>
            <w:r>
              <w:rPr>
                <w:rFonts w:hint="eastAsia" w:ascii="Times New Roman" w:hAnsi="Times New Roman" w:eastAsia="游明朝"/>
                <w:sz w:val="18"/>
              </w:rPr>
              <w:t xml:space="preserve">卸売業の核心</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拠点数格差が明確</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配送網は構造的力</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No error</w:t>
            </w:r>
          </w:p>
        </w:tc>
        <w:tc>
          <w:tcPr/>
          <w:p>
            <w:pPr>
              <w:pStyle w:val="Compact"/>
            </w:pPr>
          </w:p>
        </w:tc>
      </w:tr>
      <w:tr>
        <w:tc>
          <w:tcPr/>
          <w:p>
            <w:pPr>
              <w:pStyle w:val="Compact"/>
            </w:pPr>
            <w:r>
              <w:rPr>
                <w:rFonts w:ascii="Times New Roman" w:hAnsi="Times New Roman" w:eastAsia="游明朝"/>
                <w:sz w:val="18"/>
              </w:rPr>
              <w:t xml:space="preserve">R10 ネガティブケース</w:t>
            </w:r>
          </w:p>
        </w:tc>
        <w:tc>
          <w:tcPr/>
          <w:p>
            <w:pPr>
              <w:pStyle w:val="Compact"/>
            </w:pPr>
            <w:r>
              <w:rPr>
                <w:rFonts w:ascii="Times New Roman" w:hAnsi="Times New Roman" w:eastAsia="游明朝"/>
                <w:sz w:val="18"/>
              </w:rPr>
              <w:t xml:space="preserve">N/A</w:t>
            </w:r>
          </w:p>
        </w:tc>
        <w:tc>
          <w:tcPr/>
          <w:p>
            <w:pPr>
              <w:pStyle w:val="Compact"/>
            </w:pP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業界構造合致</w:t>
            </w:r>
          </w:p>
        </w:tc>
        <w:tc>
          <w:tcPr/>
          <w:p>
            <w:pPr>
              <w:pStyle w:val="Compact"/>
            </w:pPr>
            <w:r>
              <w:rPr>
                <w:rFonts w:ascii="Times New Roman" w:hAnsi="Times New Roman" w:eastAsia="游明朝"/>
                <w:sz w:val="18"/>
              </w:rPr>
              <w:t xml:space="preserve">Strong fit</w:t>
            </w:r>
          </w:p>
        </w:tc>
        <w:tc>
          <w:tcPr/>
          <w:p>
            <w:pPr>
              <w:pStyle w:val="Compact"/>
            </w:pPr>
            <w:r>
              <w:rPr>
                <w:rFonts w:hint="eastAsia" w:ascii="Times New Roman" w:hAnsi="Times New Roman" w:eastAsia="游明朝"/>
                <w:sz w:val="18"/>
              </w:rPr>
              <w:t xml:space="preserve">利便性重視の業界で密度優位</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①主②従</w:t>
            </w:r>
          </w:p>
        </w:tc>
        <w:tc>
          <w:tcPr/>
          <w:p>
            <w:pPr>
              <w:pStyle w:val="Compact"/>
            </w:pPr>
            <w:r>
              <w:rPr>
                <w:rFonts w:hint="eastAsia" w:ascii="Times New Roman" w:hAnsi="Times New Roman" w:eastAsia="游明朝"/>
                <w:sz w:val="18"/>
              </w:rPr>
              <w:t xml:space="preserve">主（①）</w:t>
            </w:r>
          </w:p>
        </w:tc>
        <w:tc>
          <w:tcPr/>
          <w:p>
            <w:pPr>
              <w:pStyle w:val="Compact"/>
            </w:pPr>
            <w:r>
              <w:rPr>
                <w:rFonts w:hint="eastAsia" w:ascii="Times New Roman" w:hAnsi="Times New Roman" w:eastAsia="游明朝"/>
                <w:sz w:val="18"/>
              </w:rPr>
              <w:t xml:space="preserve">期初レポート</w:t>
            </w:r>
          </w:p>
        </w:tc>
      </w:tr>
    </w:tbl>
    <w:p>
      <w:pPr>
        <w:pStyle w:val="BodyText"/>
      </w:pPr>
      <w:r>
        <w:rPr>
          <w:rFonts w:hint="eastAsia"/>
          <w:b/>
          <w:bCs/>
        </w:rPr>
        <w:t xml:space="preserve">検出パターン</w:t>
      </w:r>
      <w:r>
        <w:t xml:space="preserve">: </w:t>
      </w:r>
      <w:r>
        <w:rPr>
          <w:rFonts w:hint="eastAsia"/>
        </w:rPr>
        <w:t xml:space="preserve">IV（構造的市場ポジション）、I（定量的差別化）</w:t>
      </w:r>
    </w:p>
    <w:p>
      <w:pPr>
        <w:pStyle w:val="BodyText"/>
      </w:pPr>
      <w:r>
        <w:rPr>
          <w:rFonts w:hint="eastAsia"/>
          <w:b/>
          <w:bCs/>
        </w:rPr>
        <w:t xml:space="preserve">CAGR接続（50%）</w:t>
      </w:r>
      <w:r>
        <w:t xml:space="preserve">: </w:t>
      </w:r>
      <w:r>
        <w:rPr>
          <w:rFonts w:hint="eastAsia"/>
        </w:rPr>
        <w:t xml:space="preserve">配送網利便性→顧客維持・シェアゲイン→売上成長。シェアゲイン+1%の具体的数値メカニズムが不透明なため50%。</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 </w:t>
      </w:r>
      <w:r>
        <w:rPr>
          <w:rFonts w:hint="eastAsia"/>
        </w:rPr>
        <w:t xml:space="preserve">AI評価（T8修正後の最終値）</w:t>
      </w:r>
    </w:p>
    <w:p>
      <w:r>
        <w:pict>
          <v:rect style="width:0;height:1.5pt" o:hralign="center" o:hrstd="t" o:hr="t"/>
        </w:pict>
      </w:r>
    </w:p>
    <w:bookmarkEnd w:id="14"/>
    <w:bookmarkEnd w:id="15"/>
    <w:bookmarkStart w:id="17" w:name="主張-3-プール建設業者のコスト構造に基づく価格転嫁力"/>
    <w:p>
      <w:pPr>
        <w:pStyle w:val="Heading3"/>
      </w:pPr>
      <w:r>
        <w:rPr>
          <w:rFonts w:hint="eastAsia"/>
        </w:rPr>
        <w:t xml:space="preserve">主張</w:t>
      </w:r>
      <w:r>
        <w:t xml:space="preserve"> #3: </w:t>
      </w:r>
      <w:r>
        <w:rPr>
          <w:rFonts w:hint="eastAsia"/>
        </w:rPr>
        <w:t xml:space="preserve">プール建設業者のコスト構造に基づく価格転嫁力</w:t>
      </w:r>
    </w:p>
    <w:bookmarkStart w:id="16" w:name="ai評価-まあ納得50-t8修正-cagr接続に掛け算ベース注記追加"/>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w:t>
      </w:r>
      <w:r>
        <w:rPr>
          <w:rFonts w:hint="eastAsia"/>
        </w:rPr>
        <w:t xml:space="preserve">CAGR接続に掛け算ベース注記追加]</w:t>
      </w:r>
    </w:p>
    <w:p>
      <w:pPr>
        <w:pStyle w:val="FirstParagraph"/>
      </w:pPr>
      <w:r>
        <w:rPr>
          <w:rFonts w:hint="eastAsia"/>
        </w:rPr>
        <w:t xml:space="preserve">プール建設業者にとってPool関連コストは全体の約20%に過ぎず、値上げの影響は限定的。工期短縮の方が価格より重要であり、年1-2%の値上げが可能。ただし</w:t>
      </w:r>
      <w:r>
        <w:rPr>
          <w:rFonts w:hint="eastAsia"/>
        </w:rPr>
        <w:t xml:space="preserve">これは業界構造に基づく特性であり、当社固有の能力とは言い切れない</w:t>
      </w:r>
      <w:r>
        <w:t xml:space="preserve">。</w:t>
      </w:r>
    </w:p>
    <w:p>
      <w:pPr>
        <w:pStyle w:val="BodyText"/>
      </w:pPr>
      <w:r>
        <w:rPr>
          <w:rFonts w:hint="eastAsia"/>
          <w:b/>
          <w:bCs/>
        </w:rPr>
        <w:t xml:space="preserve">納得できる点</w:t>
      </w:r>
      <w:r>
        <w:t xml:space="preserve">: </w:t>
      </w:r>
      <w:r>
        <w:rPr>
          <w:rFonts w:hint="eastAsia"/>
        </w:rPr>
        <w:t xml:space="preserve">建設業者のコスト構造データ（人件費40-60%,</w:t>
      </w:r>
      <w:r>
        <w:t xml:space="preserve"> </w:t>
      </w:r>
      <w:r>
        <w:rPr>
          <w:rFonts w:hint="eastAsia"/>
        </w:rPr>
        <w:t xml:space="preserve">Pool帰属20%）が具体的。Fluidra</w:t>
      </w:r>
      <w:r>
        <w:t xml:space="preserve"> </w:t>
      </w:r>
      <w:r>
        <w:rPr>
          <w:rFonts w:hint="eastAsia"/>
        </w:rPr>
        <w:t xml:space="preserve">CFOの「顧客の値上げ許容度は5%が限度」というコメントが裏付け。</w:t>
      </w:r>
    </w:p>
    <w:p>
      <w:pPr>
        <w:pStyle w:val="BodyText"/>
      </w:pPr>
      <w:r>
        <w:rPr>
          <w:rFonts w:hint="eastAsia"/>
          <w:b/>
          <w:bCs/>
        </w:rPr>
        <w:t xml:space="preserve">懸念点</w:t>
      </w:r>
      <w:r>
        <w:t xml:space="preserve">: </w:t>
      </w:r>
      <w:r>
        <w:rPr>
          <w:rFonts w:hint="eastAsia"/>
        </w:rPr>
        <w:t xml:space="preserve">業界共通特性（パターンB）の面あり。当社固有の差別化はClaim#1の規模による追加交渉力との組み合わせに依存。</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w:t>
      </w:r>
      <w:r>
        <w:rPr>
          <w:rFonts w:hint="eastAsia"/>
          <w:b/>
          <w:bCs/>
        </w:rPr>
        <w:t xml:space="preserve">CA×CAGR掛け算ベースの実質納得度</w:t>
      </w:r>
    </w:p>
    <w:p>
      <w:pPr>
        <w:pStyle w:val="BlockText"/>
      </w:pPr>
      <w:r>
        <w:t xml:space="preserve">dogma v1.0 </w:t>
      </w:r>
      <w:r>
        <w:rPr>
          <w:rFonts w:hint="eastAsia"/>
        </w:rPr>
        <w:t xml:space="preserve">§3.1「最終納得度は『優位性』×『CAGR前提』の掛け算で評価すべき」に従えば、CA</w:t>
      </w:r>
      <w:r>
        <w:t xml:space="preserve"> 50% × CAGR 70% = </w:t>
      </w:r>
      <w:r>
        <w:rPr>
          <w:rFonts w:hint="eastAsia"/>
        </w:rPr>
        <w:t xml:space="preserve">実質的な最終納得度35%程度。CAGR</w:t>
      </w:r>
      <w:r>
        <w:t xml:space="preserve"> </w:t>
      </w:r>
      <w:r>
        <w:rPr>
          <w:rFonts w:hint="eastAsia"/>
        </w:rPr>
        <w:t xml:space="preserve">70%は「優位性が100%存在するとした前提」での評価である点を注記。</w:t>
      </w:r>
    </w:p>
    <w:p>
      <w:pPr>
        <w:pStyle w:val="BlockText"/>
      </w:pPr>
      <w:r>
        <w:rPr>
          <w:rFonts w:hint="eastAsia"/>
          <w:b/>
          <w:bCs/>
        </w:rPr>
        <w:t xml:space="preserve">T8の判断</w:t>
      </w:r>
      <w:r>
        <w:t xml:space="preserve">: CA 50%、CAGR </w:t>
      </w:r>
      <w:r>
        <w:rPr>
          <w:rFonts w:hint="eastAsia"/>
        </w:rPr>
        <w:t xml:space="preserve">70%はそれぞれ適切。ただし掛け算ベースでの実質納得度（35%程度）を考慮すると、この主張のCAGR寄与は見かけほど高くない。</w:t>
      </w:r>
    </w:p>
    <w:p>
      <w:pPr>
        <w:pStyle w:val="FirstParagraph"/>
      </w:pPr>
      <w:r>
        <w:rPr>
          <w:rFonts w:hint="eastAsia"/>
          <w:b/>
          <w:bCs/>
        </w:rPr>
        <w:t xml:space="preserve">CAGR接続（70%、掛け算ベース実質35%）</w:t>
      </w:r>
      <w:r>
        <w:t xml:space="preserve">: </w:t>
      </w:r>
      <w:r>
        <w:rPr>
          <w:rFonts w:hint="eastAsia"/>
        </w:rPr>
        <w:t xml:space="preserve">価格転嫁力→年間1-2%のinflation</w:t>
      </w:r>
      <w:r>
        <w:t xml:space="preserve"> </w:t>
      </w:r>
      <w:r>
        <w:rPr>
          <w:rFonts w:hint="eastAsia"/>
        </w:rPr>
        <w:t xml:space="preserve">pricing→売上成長。1ステップで直接的。ただしCAGR</w:t>
      </w:r>
      <w:r>
        <w:t xml:space="preserve"> </w:t>
      </w:r>
      <w:r>
        <w:rPr>
          <w:rFonts w:hint="eastAsia"/>
        </w:rPr>
        <w:t xml:space="preserve">70%は「優位性が100%存在する前提」での評価。CA</w:t>
      </w:r>
      <w:r>
        <w:t xml:space="preserve"> </w:t>
      </w:r>
      <w:r>
        <w:rPr>
          <w:rFonts w:hint="eastAsia"/>
        </w:rPr>
        <w:t xml:space="preserve">50%との掛け算では実質35%。</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 </w:t>
      </w:r>
      <w:r>
        <w:rPr>
          <w:rFonts w:hint="eastAsia"/>
        </w:rPr>
        <w:t xml:space="preserve">AI評価（T8修正後の最終値）</w:t>
      </w:r>
    </w:p>
    <w:p>
      <w:r>
        <w:pict>
          <v:rect style="width:0;height:1.5pt" o:hralign="center" o:hrstd="t" o:hr="t"/>
        </w:pict>
      </w:r>
    </w:p>
    <w:bookmarkEnd w:id="16"/>
    <w:bookmarkEnd w:id="17"/>
    <w:bookmarkStart w:id="19" w:name="主張-4-同業コンソリデーションによるma実行能力とシェアゲイン力"/>
    <w:p>
      <w:pPr>
        <w:pStyle w:val="Heading3"/>
      </w:pPr>
      <w:r>
        <w:rPr>
          <w:rFonts w:hint="eastAsia"/>
        </w:rPr>
        <w:t xml:space="preserve">主張</w:t>
      </w:r>
      <w:r>
        <w:t xml:space="preserve"> #4: </w:t>
      </w:r>
      <w:r>
        <w:rPr>
          <w:rFonts w:hint="eastAsia"/>
        </w:rPr>
        <w:t xml:space="preserve">同業コンソリデーションによるM&amp;A実行能力とシェアゲイン力</w:t>
      </w:r>
    </w:p>
    <w:bookmarkStart w:id="18" w:name="ai評価-まあ納得50-t8修正-ma寄与低下の構造的制約を強調"/>
    <w:p>
      <w:pPr>
        <w:pStyle w:val="Heading4"/>
      </w:pPr>
      <w:r>
        <w:rPr>
          <w:rFonts w:hint="eastAsia"/>
        </w:rPr>
        <w:t xml:space="preserve">AI評価:</w:t>
      </w:r>
      <w:r>
        <w:t xml:space="preserve"> </w:t>
      </w:r>
      <w:r>
        <w:rPr>
          <w:rFonts w:hint="eastAsia"/>
        </w:rPr>
        <w:t xml:space="preserve">まあ納得（50%）</w:t>
      </w:r>
      <w:r>
        <w:t xml:space="preserve"> [⬇️ </w:t>
      </w:r>
      <w:r>
        <w:rPr>
          <w:rFonts w:hint="eastAsia"/>
        </w:rPr>
        <w:t xml:space="preserve">T8修正:</w:t>
      </w:r>
      <w:r>
        <w:t xml:space="preserve"> </w:t>
      </w:r>
      <w:r>
        <w:rPr>
          <w:rFonts w:hint="eastAsia"/>
        </w:rPr>
        <w:t xml:space="preserve">M&amp;A寄与低下の構造的制約を強調]</w:t>
      </w:r>
    </w:p>
    <w:p>
      <w:pPr>
        <w:pStyle w:val="FirstParagraph"/>
      </w:pPr>
      <w:r>
        <w:rPr>
          <w:rFonts w:hint="eastAsia"/>
        </w:rPr>
        <w:t xml:space="preserve">1993年のPE傘下入り以降40以上のM&amp;Aを実施。パパママショップが太宗のフラグメント市場でコンソリデーションを推進。ただし</w:t>
      </w:r>
      <w:r>
        <w:rPr>
          <w:rFonts w:hint="eastAsia"/>
        </w:rPr>
        <w:t xml:space="preserve">M&amp;A能力の具体的プロセス記述（選定基準、PMI手法、断念例）が不足</w:t>
      </w:r>
      <w:r>
        <w:rPr>
          <w:rFonts w:hint="eastAsia"/>
        </w:rPr>
        <w:t xml:space="preserve">。さらにアナリスト自身がM&amp;A寄与度の低下を指摘（1-2%→0.5%）。</w:t>
      </w:r>
    </w:p>
    <w:p>
      <w:pPr>
        <w:pStyle w:val="BodyText"/>
      </w:pPr>
      <w:r>
        <w:rPr>
          <w:rFonts w:hint="eastAsia"/>
          <w:b/>
          <w:bCs/>
        </w:rPr>
        <w:t xml:space="preserve">納得できる点</w:t>
      </w:r>
      <w:r>
        <w:t xml:space="preserve">: </w:t>
      </w:r>
      <w:r>
        <w:rPr>
          <w:rFonts w:hint="eastAsia"/>
        </w:rPr>
        <w:t xml:space="preserve">フラグメント市場×コンソリデーションはORLY#5（90%）に構造的に類似。PE時代の29件買収と長い実績。</w:t>
      </w:r>
    </w:p>
    <w:p>
      <w:pPr>
        <w:pStyle w:val="BodyText"/>
      </w:pPr>
      <w:r>
        <w:rPr>
          <w:rFonts w:hint="eastAsia"/>
          <w:b/>
          <w:bCs/>
        </w:rPr>
        <w:t xml:space="preserve">懸念点</w:t>
      </w:r>
      <w:r>
        <w:t xml:space="preserve">: </w:t>
      </w:r>
      <w:r>
        <w:rPr>
          <w:rFonts w:hint="eastAsia"/>
        </w:rPr>
        <w:t xml:space="preserve">M&amp;A「戦略」と「能力」の区別が不明確（パターンF）。選定基準・断念例の記述なし。寄与度低下は「ルール10の逆方向」。</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(critical): </w:t>
      </w:r>
      <w:r>
        <w:rPr>
          <w:rFonts w:hint="eastAsia"/>
          <w:b/>
          <w:bCs/>
        </w:rPr>
        <w:t xml:space="preserve">M&amp;A寄与低下はCAGR最大の下方修正要因</w:t>
      </w:r>
    </w:p>
    <w:p>
      <w:pPr>
        <w:pStyle w:val="BlockText"/>
      </w:pPr>
      <w:r>
        <w:rPr>
          <w:rFonts w:hint="eastAsia"/>
        </w:rPr>
        <w:t xml:space="preserve">CAGR全体の修正幅（12%→9.5%</w:t>
      </w:r>
      <w:r>
        <w:t xml:space="preserve"> = </w:t>
      </w:r>
      <w:r>
        <w:rPr>
          <w:rFonts w:hint="eastAsia"/>
        </w:rPr>
        <w:t xml:space="preserve">-2.5%）のうち、M&amp;A寄与の低下（1-2%→0.5%、中央値で-1.25%）は最大の下方修正要因。これは一時的な環境変化ではなく、「事業規模の拡大に伴いM&amp;A寄与度1-2%維持のハードルが高まった」という構造的制約。FY25</w:t>
      </w:r>
      <w:r>
        <w:t xml:space="preserve"> </w:t>
      </w:r>
      <w:r>
        <w:rPr>
          <w:rFonts w:hint="eastAsia"/>
        </w:rPr>
        <w:t xml:space="preserve">M&amp;A予算25-50MはPSR1xでも売上対比1%未満。KB1ルール10の逆方向（断念能力の喪失ではなく「機会の縮小」）として、CAGR接続の確度を構造的に制約する要因。</w:t>
      </w:r>
    </w:p>
    <w:p>
      <w:pPr>
        <w:pStyle w:val="BlockText"/>
      </w:pPr>
      <w:r>
        <w:rPr>
          <w:rFonts w:hint="eastAsia"/>
          <w:b/>
          <w:bCs/>
        </w:rPr>
        <w:t xml:space="preserve">T8の判断</w:t>
      </w:r>
      <w:r>
        <w:t xml:space="preserve">: CA 50%、CAGR </w:t>
      </w:r>
      <w:r>
        <w:rPr>
          <w:rFonts w:hint="eastAsia"/>
        </w:rPr>
        <w:t xml:space="preserve">30%は適切。M&amp;A寄与低下が「構造的制約」であることを明示的に強調。将来的にM&amp;A寄与が回復する場合の条件（大型案件の成功等）も記載すべきだが、現時点では30%が妥当。</w:t>
      </w:r>
    </w:p>
    <w:p>
      <w:pPr>
        <w:pStyle w:val="FirstParagraph"/>
      </w:pPr>
      <w:r>
        <w:rPr>
          <w:rFonts w:hint="eastAsia"/>
          <w:b/>
          <w:bCs/>
        </w:rPr>
        <w:t xml:space="preserve">CAGR接続（30%）</w:t>
      </w:r>
      <w:r>
        <w:t xml:space="preserve">: </w:t>
      </w:r>
      <w:r>
        <w:rPr>
          <w:rFonts w:hint="eastAsia"/>
        </w:rPr>
        <w:t xml:space="preserve">M&amp;A→新規拠点・顧客獲得→売上成長。アナリスト修正でM&amp;A寄与1-2%→0.5%。</w:t>
      </w:r>
      <w:r>
        <w:rPr>
          <w:rFonts w:hint="eastAsia"/>
        </w:rPr>
        <w:t xml:space="preserve">CAGR全体の最大の下方修正要因（-1.25%、構造的制約）</w:t>
      </w:r>
      <w:r>
        <w:t xml:space="preserve">。</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 </w:t>
      </w:r>
      <w:r>
        <w:rPr>
          <w:rFonts w:hint="eastAsia"/>
        </w:rPr>
        <w:t xml:space="preserve">AI評価（T8修正後の最終値）</w:t>
      </w:r>
    </w:p>
    <w:p>
      <w:r>
        <w:pict>
          <v:rect style="width:0;height:1.5pt" o:hralign="center" o:hrstd="t" o:hr="t"/>
        </w:pict>
      </w:r>
    </w:p>
    <w:bookmarkEnd w:id="18"/>
    <w:bookmarkEnd w:id="19"/>
    <w:bookmarkStart w:id="21" w:name="主張-5-メンテナンス関連売上60による収益ベースの安定性"/>
    <w:p>
      <w:pPr>
        <w:pStyle w:val="Heading3"/>
      </w:pPr>
      <w:r>
        <w:rPr>
          <w:rFonts w:hint="eastAsia"/>
        </w:rPr>
        <w:t xml:space="preserve">主張</w:t>
      </w:r>
      <w:r>
        <w:t xml:space="preserve"> #5: </w:t>
      </w:r>
      <w:r>
        <w:rPr>
          <w:rFonts w:hint="eastAsia"/>
        </w:rPr>
        <w:t xml:space="preserve">メンテナンス関連売上（60%）による収益ベースの安定性</w:t>
      </w:r>
    </w:p>
    <w:bookmarkStart w:id="20" w:name="ai評価-あまり納得しない30-t8修正-dogma-v2.0反映候補フラグ追加"/>
    <w:p>
      <w:pPr>
        <w:pStyle w:val="Heading4"/>
      </w:pPr>
      <w:r>
        <w:rPr>
          <w:rFonts w:hint="eastAsia"/>
        </w:rPr>
        <w:t xml:space="preserve">AI評価:</w:t>
      </w:r>
      <w:r>
        <w:t xml:space="preserve"> </w:t>
      </w:r>
      <w:r>
        <w:rPr>
          <w:rFonts w:hint="eastAsia"/>
        </w:rPr>
        <w:t xml:space="preserve">あまり納得しない（30%）</w:t>
      </w:r>
      <w:r>
        <w:t xml:space="preserve"> [⬇️ </w:t>
      </w:r>
      <w:r>
        <w:rPr>
          <w:rFonts w:hint="eastAsia"/>
        </w:rPr>
        <w:t xml:space="preserve">T8修正:</w:t>
      </w:r>
      <w:r>
        <w:t xml:space="preserve"> dogma </w:t>
      </w:r>
      <w:r>
        <w:rPr>
          <w:rFonts w:hint="eastAsia"/>
        </w:rPr>
        <w:t xml:space="preserve">v2.0反映候補フラグ追加]</w:t>
      </w:r>
    </w:p>
    <w:p>
      <w:pPr>
        <w:pStyle w:val="FirstParagraph"/>
      </w:pPr>
      <w:r>
        <w:rPr>
          <w:rFonts w:hint="eastAsia"/>
        </w:rPr>
        <w:t xml:space="preserve">売上高の約60%がメンテナンス関連で安定的に推移する構造…という当初仮説は、</w:t>
      </w:r>
      <w:r>
        <w:rPr>
          <w:rFonts w:hint="eastAsia"/>
        </w:rPr>
        <w:t xml:space="preserve">アナリスト自身が2025年の売却レポートで「過大評価していた」と認定</w:t>
      </w:r>
      <w:r>
        <w:rPr>
          <w:rFonts w:hint="eastAsia"/>
        </w:rPr>
        <w:t xml:space="preserve">。化学薬品以外のheater/pumpは顧客の節約志向で買い控えが発生し、数量ベースで-3~6%下落するビジネスであることが判明。</w:t>
      </w:r>
    </w:p>
    <w:p>
      <w:pPr>
        <w:pStyle w:val="BodyText"/>
      </w:pPr>
      <w:r>
        <w:rPr>
          <w:rFonts w:hint="eastAsia"/>
          <w:b/>
          <w:bCs/>
        </w:rPr>
        <w:t xml:space="preserve">納得できる点</w:t>
      </w:r>
      <w:r>
        <w:t xml:space="preserve">: </w:t>
      </w:r>
      <w:r>
        <w:rPr>
          <w:rFonts w:hint="eastAsia"/>
        </w:rPr>
        <w:t xml:space="preserve">メンテナンス60%構成という事実は正しい。installed</w:t>
      </w:r>
      <w:r>
        <w:t xml:space="preserve"> pool </w:t>
      </w:r>
      <w:r>
        <w:rPr>
          <w:rFonts w:hint="eastAsia"/>
        </w:rPr>
        <w:t xml:space="preserve">baseの成長（2%）自体は業界構造として存在する。</w:t>
      </w:r>
    </w:p>
    <w:p>
      <w:pPr>
        <w:pStyle w:val="BodyText"/>
      </w:pPr>
      <w:r>
        <w:rPr>
          <w:rFonts w:hint="eastAsia"/>
          <w:b/>
          <w:bCs/>
        </w:rPr>
        <w:t xml:space="preserve">懸念点</w:t>
      </w:r>
      <w:r>
        <w:t xml:space="preserve">: </w:t>
      </w:r>
      <w:r>
        <w:rPr>
          <w:rFonts w:hint="eastAsia"/>
        </w:rPr>
        <w:t xml:space="preserve">アナリスト自身の自己否定が最も重要な判断材料。「最終顧客にとってのPool用品の必要性、メンテナンスという響きに囚われて中身の検証が不十分であった」（アナリスト反省）。分類基準の恣意性も指摘。</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w:t>
      </w:r>
      <w:r>
        <w:rPr>
          <w:rFonts w:hint="eastAsia"/>
          <w:b/>
          <w:bCs/>
        </w:rPr>
        <w:t xml:space="preserve">アナリスト自己否定パターンのKB蓄積フラグ</w:t>
      </w:r>
    </w:p>
    <w:p>
      <w:pPr>
        <w:pStyle w:val="BlockText"/>
      </w:pPr>
      <w:r>
        <w:rPr>
          <w:rFonts w:hint="eastAsia"/>
        </w:rPr>
        <w:t xml:space="preserve">この「アナリストが投資後に自ら優位性仮説を否定した事例」はKB3の34件に存在しない全く新しいパターン。「安定収益」「メンテナンス収益」といった響きの良い概念に対する批判的検証の必要性を示す重要な教訓。</w:t>
      </w:r>
    </w:p>
    <w:p>
      <w:pPr>
        <w:pStyle w:val="BlockText"/>
      </w:pPr>
      <w:r>
        <w:rPr>
          <w:rFonts w:hint="eastAsia"/>
          <w:b/>
          <w:bCs/>
        </w:rPr>
        <w:t xml:space="preserve">T8の判断</w:t>
      </w:r>
      <w:r>
        <w:t xml:space="preserve">: </w:t>
      </w:r>
      <w:r>
        <w:rPr>
          <w:rFonts w:hint="eastAsia"/>
        </w:rPr>
        <w:t xml:space="preserve">30%は適切。この事例をdogma</w:t>
      </w:r>
      <w:r>
        <w:t xml:space="preserve"> </w:t>
      </w:r>
      <w:r>
        <w:rPr>
          <w:rFonts w:hint="eastAsia"/>
        </w:rPr>
        <w:t xml:space="preserve">v2.0で「却下基準#7:</w:t>
      </w:r>
      <w:r>
        <w:t xml:space="preserve"> </w:t>
      </w:r>
      <w:r>
        <w:rPr>
          <w:rFonts w:hint="eastAsia"/>
        </w:rPr>
        <w:t xml:space="preserve">投資後に判明した仮説の誤り」として追加を検討すべきとフラグ。他銘柄の「安定収益」仮説評価にも適用可能な一般的教訓として記録。</w:t>
      </w:r>
    </w:p>
    <w:p>
      <w:pPr>
        <w:pStyle w:val="FirstParagraph"/>
      </w:pPr>
      <w:r>
        <w:rPr>
          <w:rFonts w:hint="eastAsia"/>
          <w:b/>
          <w:bCs/>
        </w:rPr>
        <w:t xml:space="preserve">CAGR接続（30%）</w:t>
      </w:r>
      <w:r>
        <w:t xml:space="preserve">: </w:t>
      </w:r>
      <w:r>
        <w:rPr>
          <w:rFonts w:hint="eastAsia"/>
        </w:rPr>
        <w:t xml:space="preserve">安定性仮説の弱体化がCAGR市場成長の下方修正（6%→4%）の主因。</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 </w:t>
      </w:r>
      <w:r>
        <w:rPr>
          <w:rFonts w:hint="eastAsia"/>
        </w:rPr>
        <w:t xml:space="preserve">AI評価（T8修正後の最終値）</w:t>
      </w:r>
    </w:p>
    <w:p>
      <w:r>
        <w:pict>
          <v:rect style="width:0;height:1.5pt" o:hralign="center" o:hrstd="t" o:hr="t"/>
        </w:pict>
      </w:r>
    </w:p>
    <w:bookmarkEnd w:id="20"/>
    <w:bookmarkEnd w:id="21"/>
    <w:bookmarkStart w:id="23" w:name="主張-6-eコマース参入障壁に守られたb2b卸売モデル"/>
    <w:p>
      <w:pPr>
        <w:pStyle w:val="Heading3"/>
      </w:pPr>
      <w:r>
        <w:rPr>
          <w:rFonts w:hint="eastAsia"/>
        </w:rPr>
        <w:t xml:space="preserve">主張</w:t>
      </w:r>
      <w:r>
        <w:t xml:space="preserve"> #6: </w:t>
      </w:r>
      <w:r>
        <w:rPr>
          <w:rFonts w:hint="eastAsia"/>
        </w:rPr>
        <w:t xml:space="preserve">Eコマース参入障壁に守られたB2B卸売モデル</w:t>
      </w:r>
    </w:p>
    <w:bookmarkStart w:id="22" w:name="ai評価-あまり納得しない30-t8修正-5030"/>
    <w:p>
      <w:pPr>
        <w:pStyle w:val="Heading4"/>
      </w:pPr>
      <w:r>
        <w:rPr>
          <w:rFonts w:hint="eastAsia"/>
        </w:rPr>
        <w:t xml:space="preserve">AI評価:</w:t>
      </w:r>
      <w:r>
        <w:t xml:space="preserve"> </w:t>
      </w:r>
      <w:r>
        <w:rPr>
          <w:rFonts w:hint="eastAsia"/>
        </w:rPr>
        <w:t xml:space="preserve">あまり納得しない（30%）</w:t>
      </w:r>
      <w:r>
        <w:t xml:space="preserve"> [⬇️ </w:t>
      </w:r>
      <w:r>
        <w:rPr>
          <w:rFonts w:hint="eastAsia"/>
        </w:rPr>
        <w:t xml:space="preserve">T8修正:</w:t>
      </w:r>
      <w:r>
        <w:t xml:space="preserve"> 50%→30%]</w:t>
      </w:r>
    </w:p>
    <w:p>
      <w:pPr>
        <w:pStyle w:val="FirstParagraph"/>
      </w:pPr>
      <w:r>
        <w:rPr>
          <w:rFonts w:hint="eastAsia"/>
        </w:rPr>
        <w:t xml:space="preserve">B2B商品で品質保証が重要、重量品・引火性商品が多くEコマースに向かない。Amazonの脅威は限定的。ただし</w:t>
      </w:r>
      <w:r>
        <w:rPr>
          <w:rFonts w:hint="eastAsia"/>
        </w:rPr>
        <w:t xml:space="preserve">業界全体に共通する特性であり、当社固有の優位性ではない</w:t>
      </w:r>
      <w:r>
        <w:rPr>
          <w:rFonts w:hint="eastAsia"/>
        </w:rPr>
        <w:t xml:space="preserve">（パターンB該当）。補完的要素（ルール6）。</w:t>
      </w:r>
    </w:p>
    <w:p>
      <w:pPr>
        <w:pStyle w:val="BodyText"/>
      </w:pPr>
      <w:r>
        <w:rPr>
          <w:rFonts w:hint="eastAsia"/>
          <w:b/>
          <w:bCs/>
        </w:rPr>
        <w:t xml:space="preserve">納得できる点</w:t>
      </w:r>
      <w:r>
        <w:t xml:space="preserve">: </w:t>
      </w:r>
      <w:r>
        <w:rPr>
          <w:rFonts w:hint="eastAsia"/>
        </w:rPr>
        <w:t xml:space="preserve">B2B品質保証、重量・引火性という物理的特性は他の小売業にはない固有性。</w:t>
      </w:r>
    </w:p>
    <w:p>
      <w:pPr>
        <w:pStyle w:val="BodyText"/>
      </w:pPr>
      <w:r>
        <w:rPr>
          <w:rFonts w:hint="eastAsia"/>
          <w:b/>
          <w:bCs/>
        </w:rPr>
        <w:t xml:space="preserve">懸念点</w:t>
      </w:r>
      <w:r>
        <w:t xml:space="preserve">: </w:t>
      </w:r>
      <w:r>
        <w:rPr>
          <w:rFonts w:hint="eastAsia"/>
        </w:rPr>
        <w:t xml:space="preserve">パパママショップも同じ参入障壁の恩恵。メーカー中抜きリスク・小売Buying</w:t>
      </w:r>
      <w:r>
        <w:t xml:space="preserve"> </w:t>
      </w:r>
      <w:r>
        <w:rPr>
          <w:rFonts w:hint="eastAsia"/>
        </w:rPr>
        <w:t xml:space="preserve">Group形成リスクは潜在的に存在。</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(minor): </w:t>
      </w:r>
      <w:r>
        <w:rPr>
          <w:rFonts w:hint="eastAsia"/>
          <w:b/>
          <w:bCs/>
        </w:rPr>
        <w:t xml:space="preserve">KB3整合性に基づくconfidence引き下げ</w:t>
      </w:r>
    </w:p>
    <w:p>
      <w:pPr>
        <w:pStyle w:val="BlockText"/>
      </w:pPr>
      <w:r>
        <w:rPr>
          <w:rFonts w:hint="eastAsia"/>
        </w:rPr>
        <w:t xml:space="preserve">COST#6（ガソリン販売,</w:t>
      </w:r>
      <w:r>
        <w:t xml:space="preserve"> </w:t>
      </w:r>
      <w:r>
        <w:rPr>
          <w:rFonts w:hint="eastAsia"/>
        </w:rPr>
        <w:t xml:space="preserve">20%）は「業界共通で差別化にならない」+「補完的要素」として20%。POOLのEコマース参入障壁も同様のパターンB+ルール6（補完的）であり、KB3整合性に照らして50%は高すぎる。B2B品質保証と物理的特性はCOST#6よりやや固有性があるため20%ではなく30%とするが、50%は楽観的。</w:t>
      </w:r>
    </w:p>
    <w:p>
      <w:pPr>
        <w:pStyle w:val="BlockText"/>
      </w:pPr>
      <w:r>
        <w:rPr>
          <w:rFonts w:hint="eastAsia"/>
          <w:b/>
          <w:bCs/>
        </w:rPr>
        <w:t xml:space="preserve">T8の判断</w:t>
      </w:r>
      <w:r>
        <w:t xml:space="preserve">: CA confidence </w:t>
      </w:r>
      <w:r>
        <w:rPr>
          <w:rFonts w:hint="eastAsia"/>
        </w:rPr>
        <w:t xml:space="preserve">を50%→30%に引き下げ。業界共通特性（パターンB）+補完的要素（ルール6）の組み合わせでは、KB3実績に照らして30%が妥当。</w:t>
      </w:r>
    </w:p>
    <w:p>
      <w:pPr>
        <w:pStyle w:val="FirstParagraph"/>
      </w:pPr>
      <w:r>
        <w:rPr>
          <w:rFonts w:hint="eastAsia"/>
          <w:b/>
          <w:bCs/>
        </w:rPr>
        <w:t xml:space="preserve">CAGR接続（30%）</w:t>
      </w:r>
      <w:r>
        <w:t xml:space="preserve">: </w:t>
      </w:r>
      <w:r>
        <w:rPr>
          <w:rFonts w:hint="eastAsia"/>
        </w:rPr>
        <w:t xml:space="preserve">ダウンサイドプロテクションのみ。直接的CAGR寄与なし。</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 </w:t>
      </w:r>
      <w:r>
        <w:rPr>
          <w:rFonts w:hint="eastAsia"/>
        </w:rPr>
        <w:t xml:space="preserve">AI評価（T8修正後の最終値）</w:t>
      </w:r>
    </w:p>
    <w:p>
      <w:r>
        <w:pict>
          <v:rect style="width:0;height:1.5pt" o:hralign="center" o:hrstd="t" o:hr="t"/>
        </w:pict>
      </w:r>
    </w:p>
    <w:bookmarkEnd w:id="22"/>
    <w:bookmarkEnd w:id="23"/>
    <w:bookmarkStart w:id="25" w:name="主張-7-レジリエントな収益構造roic維持力"/>
    <w:p>
      <w:pPr>
        <w:pStyle w:val="Heading3"/>
      </w:pPr>
      <w:r>
        <w:rPr>
          <w:rFonts w:hint="eastAsia"/>
        </w:rPr>
        <w:t xml:space="preserve">主張</w:t>
      </w:r>
      <w:r>
        <w:t xml:space="preserve"> #7: </w:t>
      </w:r>
      <w:r>
        <w:rPr>
          <w:rFonts w:hint="eastAsia"/>
        </w:rPr>
        <w:t xml:space="preserve">レジリエントな収益構造（ROIC維持力）</w:t>
      </w:r>
    </w:p>
    <w:bookmarkStart w:id="24" w:name="ai評価-まあ納得50"/>
    <w:p>
      <w:pPr>
        <w:pStyle w:val="Heading4"/>
      </w:pPr>
      <w:r>
        <w:rPr>
          <w:rFonts w:hint="eastAsia"/>
        </w:rPr>
        <w:t xml:space="preserve">AI評価:</w:t>
      </w:r>
      <w:r>
        <w:t xml:space="preserve"> </w:t>
      </w:r>
      <w:r>
        <w:rPr>
          <w:rFonts w:hint="eastAsia"/>
        </w:rPr>
        <w:t xml:space="preserve">まあ納得（50%）</w:t>
      </w:r>
    </w:p>
    <w:p>
      <w:pPr>
        <w:pStyle w:val="FirstParagraph"/>
      </w:pPr>
      <w:r>
        <w:rPr>
          <w:rFonts w:hint="eastAsia"/>
        </w:rPr>
        <w:t xml:space="preserve">Fixed:Variable=75:25のコスト構造と限界利益率約24%により、売上変動の利益影響を吸収。ROIC過去3年平均26%を維持。アナリストも「レジリエントな収益構造なのでROICは中々低下しない」とコメント。</w:t>
      </w:r>
    </w:p>
    <w:p>
      <w:pPr>
        <w:pStyle w:val="BodyText"/>
      </w:pPr>
      <w:r>
        <w:rPr>
          <w:rFonts w:hint="eastAsia"/>
          <w:b/>
          <w:bCs/>
        </w:rPr>
        <w:t xml:space="preserve">納得できる点</w:t>
      </w:r>
      <w:r>
        <w:t xml:space="preserve">: </w:t>
      </w:r>
      <w:r>
        <w:rPr>
          <w:rFonts w:hint="eastAsia"/>
        </w:rPr>
        <w:t xml:space="preserve">コスト構造データ（ヒアリングベースだが具体的）。ROIC水準と維持力。</w:t>
      </w:r>
    </w:p>
    <w:p>
      <w:pPr>
        <w:pStyle w:val="BodyText"/>
      </w:pPr>
      <w:r>
        <w:rPr>
          <w:rFonts w:hint="eastAsia"/>
          <w:b/>
          <w:bCs/>
        </w:rPr>
        <w:t xml:space="preserve">懸念点</w:t>
      </w:r>
      <w:r>
        <w:t xml:space="preserve">:</w:t>
      </w:r>
      <w:r>
        <w:t xml:space="preserve"> </w:t>
      </w:r>
      <w:r>
        <w:rPr>
          <w:rFonts w:hint="eastAsia"/>
        </w:rPr>
        <w:t xml:space="preserve">他の卸売業者との収益構造比較がない</w:t>
      </w:r>
      <w:r>
        <w:rPr>
          <w:rFonts w:hint="eastAsia"/>
        </w:rPr>
        <w:t xml:space="preserve">（ルール7不足）。Fixed:Variable比率はヒアリングベースで外部検証困難。</w:t>
      </w:r>
    </w:p>
    <w:p>
      <w:pPr>
        <w:pStyle w:val="BodyText"/>
      </w:pPr>
      <w:r>
        <w:rPr>
          <w:rFonts w:hint="eastAsia"/>
          <w:b/>
          <w:bCs/>
        </w:rPr>
        <w:t xml:space="preserve">CAGR接続（50%）</w:t>
      </w:r>
      <w:r>
        <w:t xml:space="preserve">: </w:t>
      </w:r>
      <w:r>
        <w:rPr>
          <w:rFonts w:hint="eastAsia"/>
        </w:rPr>
        <w:t xml:space="preserve">収益レジリエンス→OPレバレッジ1-2%の基盤+ダウンサイドプロテクション。間接的だがROIC推移で検証可能。</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 </w:t>
      </w:r>
      <w:r>
        <w:rPr>
          <w:rFonts w:hint="eastAsia"/>
        </w:rPr>
        <w:t xml:space="preserve">AI評価（T8修正後の最終値）</w:t>
      </w:r>
    </w:p>
    <w:p>
      <w:r>
        <w:pict>
          <v:rect style="width:0;height:1.5pt" o:hralign="center" o:hrstd="t" o:hr="t"/>
        </w:pict>
      </w:r>
    </w:p>
    <w:bookmarkEnd w:id="24"/>
    <w:bookmarkEnd w:id="25"/>
    <w:bookmarkEnd w:id="26"/>
    <w:bookmarkStart w:id="32" w:name="総合評価"/>
    <w:p>
      <w:pPr>
        <w:pStyle w:val="Heading2"/>
      </w:pPr>
      <w:r>
        <w:t xml:space="preserve">4. </w:t>
      </w:r>
      <w:r>
        <w:rPr>
          <w:rFonts w:hint="eastAsia"/>
        </w:rPr>
        <w:t xml:space="preserve">総合評価</w:t>
      </w:r>
    </w:p>
    <w:bookmarkStart w:id="27"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w:t>
      </w:r>
      <w:r>
        <w:br/>
      </w:r>
      <w:r>
        <w:rPr>
          <w:rStyle w:val="VerbatimChar"/>
        </w:rPr>
        <w:t xml:space="preserve">  #1 </w:t>
      </w:r>
      <w:r>
        <w:rPr>
          <w:rStyle w:val="VerbatimChar"/>
          <w:rFonts w:hint="eastAsia"/>
        </w:rPr>
        <w:t xml:space="preserve">川中寡占バーゲニングパワー（70%）</w:t>
      </w:r>
      <w:r>
        <w:rPr>
          <w:rStyle w:val="VerbatimChar"/>
        </w:rPr>
        <w:t xml:space="preserve"> ←→ #2 </w:t>
      </w:r>
      <w:r>
        <w:rPr>
          <w:rStyle w:val="VerbatimChar"/>
          <w:rFonts w:hint="eastAsia"/>
        </w:rPr>
        <w:t xml:space="preserve">ディストリビューションネットワーク（70%）</w:t>
      </w:r>
      <w:r>
        <w:br/>
      </w:r>
      <w:r>
        <w:rPr>
          <w:rStyle w:val="VerbatimChar"/>
        </w:rPr>
        <w:t xml:space="preserve">       ↑ </w:t>
      </w:r>
      <w:r>
        <w:rPr>
          <w:rStyle w:val="VerbatimChar"/>
          <w:rFonts w:hint="eastAsia"/>
        </w:rPr>
        <w:t xml:space="preserve">相互補完（規模→交渉力</w:t>
      </w:r>
      <w:r>
        <w:rPr>
          <w:rStyle w:val="VerbatimChar"/>
        </w:rPr>
        <w:t xml:space="preserve"> &amp; </w:t>
      </w:r>
      <w:r>
        <w:rPr>
          <w:rStyle w:val="VerbatimChar"/>
          <w:rFonts w:hint="eastAsia"/>
        </w:rPr>
        <w:t xml:space="preserve">規模→配送網）</w:t>
      </w:r>
      <w:r>
        <w:br/>
      </w:r>
      <w:r>
        <w:rPr>
          <w:rStyle w:val="VerbatimChar"/>
        </w:rPr>
        <w:t xml:space="preserve">       |  </w:t>
      </w:r>
      <w:r>
        <w:rPr>
          <w:rStyle w:val="VerbatimChar"/>
          <w:rFonts w:hint="eastAsia"/>
        </w:rPr>
        <w:t xml:space="preserve">[T8修正]</w:t>
      </w:r>
      <w:r>
        <w:rPr>
          <w:rStyle w:val="VerbatimChar"/>
        </w:rPr>
        <w:t xml:space="preserve"> </w:t>
      </w:r>
      <w:r>
        <w:rPr>
          <w:rStyle w:val="VerbatimChar"/>
          <w:rFonts w:hint="eastAsia"/>
        </w:rPr>
        <w:t xml:space="preserve">統合した場合70%超の可能性あり</w:t>
      </w:r>
      <w:r>
        <w:br/>
      </w:r>
      <w:r>
        <w:rPr>
          <w:rStyle w:val="VerbatimChar"/>
        </w:rPr>
        <w:t xml:space="preserve">       |</w:t>
      </w:r>
      <w:r>
        <w:br/>
      </w:r>
      <w:r>
        <w:rPr>
          <w:rStyle w:val="VerbatimChar"/>
        </w:rPr>
        <w:t xml:space="preserve">  #3 </w:t>
      </w:r>
      <w:r>
        <w:rPr>
          <w:rStyle w:val="VerbatimChar"/>
          <w:rFonts w:hint="eastAsia"/>
        </w:rPr>
        <w:t xml:space="preserve">価格転嫁力（50%）──</w:t>
      </w:r>
      <w:r>
        <w:rPr>
          <w:rStyle w:val="VerbatimChar"/>
        </w:rPr>
        <w:t xml:space="preserve"> </w:t>
      </w:r>
      <w:r>
        <w:rPr>
          <w:rStyle w:val="VerbatimChar"/>
          <w:rFonts w:hint="eastAsia"/>
        </w:rPr>
        <w:t xml:space="preserve">業界構造由来、#1と重複面あり</w:t>
      </w:r>
      <w:r>
        <w:br/>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CA×CAGR掛け算ベースで実質35%</w:t>
      </w:r>
      <w:r>
        <w:br/>
      </w:r>
      <w:r>
        <w:rPr>
          <w:rStyle w:val="VerbatimChar"/>
        </w:rPr>
        <w:t xml:space="preserve">  #7 </w:t>
      </w:r>
      <w:r>
        <w:rPr>
          <w:rStyle w:val="VerbatimChar"/>
          <w:rFonts w:hint="eastAsia"/>
        </w:rPr>
        <w:t xml:space="preserve">収益レジリエンス（50%）──</w:t>
      </w:r>
      <w:r>
        <w:rPr>
          <w:rStyle w:val="VerbatimChar"/>
        </w:rPr>
        <w:t xml:space="preserve"> </w:t>
      </w:r>
      <w:r>
        <w:rPr>
          <w:rStyle w:val="VerbatimChar"/>
          <w:rFonts w:hint="eastAsia"/>
        </w:rPr>
        <w:t xml:space="preserve">#1の結果としてのGPM維持</w:t>
      </w:r>
      <w:r>
        <w:br/>
      </w:r>
      <w:r>
        <w:br/>
      </w:r>
      <w:r>
        <w:rPr>
          <w:rStyle w:val="VerbatimChar"/>
          <w:rFonts w:hint="eastAsia"/>
        </w:rPr>
        <w:t xml:space="preserve">【成長ドライバー（構造的に弱体化中）】</w:t>
      </w:r>
      <w:r>
        <w:br/>
      </w:r>
      <w:r>
        <w:rPr>
          <w:rStyle w:val="VerbatimChar"/>
        </w:rPr>
        <w:t xml:space="preserve">  #4 </w:t>
      </w:r>
      <w:r>
        <w:rPr>
          <w:rStyle w:val="VerbatimChar"/>
          <w:rFonts w:hint="eastAsia"/>
        </w:rPr>
        <w:t xml:space="preserve">M&amp;A実行能力（50%）</w:t>
      </w:r>
      <w:r>
        <w:br/>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寄与度低下はCAGR最大の下方修正要因（-1.25%、構造的制約）</w:t>
      </w:r>
      <w:r>
        <w:br/>
      </w:r>
      <w:r>
        <w:br/>
      </w:r>
      <w:r>
        <w:rPr>
          <w:rStyle w:val="VerbatimChar"/>
        </w:rPr>
        <w:t xml:space="preserve">【ダウンサイドプロテクション】</w:t>
      </w:r>
      <w:r>
        <w:br/>
      </w:r>
      <w:r>
        <w:rPr>
          <w:rStyle w:val="VerbatimChar"/>
        </w:rPr>
        <w:t xml:space="preserve">  #6 </w:t>
      </w:r>
      <w:r>
        <w:rPr>
          <w:rStyle w:val="VerbatimChar"/>
          <w:rFonts w:hint="eastAsia"/>
        </w:rPr>
        <w:t xml:space="preserve">Eコマース参入障壁（30%）──</w:t>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50%→30%（業界共通+補完的）</w:t>
      </w:r>
      <w:r>
        <w:br/>
      </w:r>
      <w:r>
        <w:br/>
      </w:r>
      <w:r>
        <w:rPr>
          <w:rStyle w:val="VerbatimChar"/>
          <w:rFonts w:hint="eastAsia"/>
        </w:rPr>
        <w:t xml:space="preserve">【弱体化した仮説】</w:t>
      </w:r>
      <w:r>
        <w:br/>
      </w:r>
      <w:r>
        <w:rPr>
          <w:rStyle w:val="VerbatimChar"/>
        </w:rPr>
        <w:t xml:space="preserve">  #5 </w:t>
      </w:r>
      <w:r>
        <w:rPr>
          <w:rStyle w:val="VerbatimChar"/>
          <w:rFonts w:hint="eastAsia"/>
        </w:rPr>
        <w:t xml:space="preserve">メンテナンス安定性（30%）──</w:t>
      </w:r>
      <w:r>
        <w:rPr>
          <w:rStyle w:val="VerbatimChar"/>
        </w:rPr>
        <w:t xml:space="preserve"> </w:t>
      </w:r>
      <w:r>
        <w:rPr>
          <w:rStyle w:val="VerbatimChar"/>
          <w:rFonts w:hint="eastAsia"/>
        </w:rPr>
        <w:t xml:space="preserve">アナリスト自己否定</w:t>
      </w:r>
      <w:r>
        <w:br/>
      </w:r>
      <w:r>
        <w:rPr>
          <w:rStyle w:val="VerbatimChar"/>
        </w:rPr>
        <w:t xml:space="preserve">       </w:t>
      </w:r>
      <w:r>
        <w:rPr>
          <w:rStyle w:val="VerbatimChar"/>
          <w:rFonts w:hint="eastAsia"/>
        </w:rPr>
        <w:t xml:space="preserve">[T8修正]</w:t>
      </w:r>
      <w:r>
        <w:rPr>
          <w:rStyle w:val="VerbatimChar"/>
        </w:rPr>
        <w:t xml:space="preserve"> dogma </w:t>
      </w:r>
      <w:r>
        <w:rPr>
          <w:rStyle w:val="VerbatimChar"/>
          <w:rFonts w:hint="eastAsia"/>
        </w:rPr>
        <w:t xml:space="preserve">v2.0反映候補フラグ</w:t>
      </w:r>
    </w:p>
    <w:bookmarkEnd w:id="27"/>
    <w:bookmarkStart w:id="28" w:name="強み"/>
    <w:p>
      <w:pPr>
        <w:pStyle w:val="Heading3"/>
      </w:pPr>
      <w:r>
        <w:rPr>
          <w:rFonts w:hint="eastAsia"/>
        </w:rPr>
        <w:t xml:space="preserve">強み</w:t>
      </w:r>
    </w:p>
    <w:p>
      <w:pPr>
        <w:pStyle w:val="Compact"/>
        <w:numPr>
          <w:ilvl w:val="0"/>
          <w:numId w:val="1001"/>
        </w:numPr>
      </w:pPr>
      <w:r>
        <w:rPr>
          <w:rFonts w:hint="eastAsia"/>
          <w:b/>
          <w:bCs/>
        </w:rPr>
        <w:t xml:space="preserve">業界構造との明確な合致</w:t>
      </w:r>
      <w:r>
        <w:t xml:space="preserve">: </w:t>
      </w:r>
      <w:r>
        <w:rPr>
          <w:rFonts w:hint="eastAsia"/>
        </w:rPr>
        <w:t xml:space="preserve">川上・川下フラグメント×川中寡占は、ORLY（フラグメント市場×規模・密度）に匹敵する構造的優位性。ルール11の高評価条件を部分的に満たす。</w:t>
      </w:r>
    </w:p>
    <w:p>
      <w:pPr>
        <w:pStyle w:val="Compact"/>
        <w:numPr>
          <w:ilvl w:val="0"/>
          <w:numId w:val="1001"/>
        </w:numPr>
      </w:pPr>
      <w:r>
        <w:rPr>
          <w:rFonts w:hint="eastAsia"/>
          <w:b/>
          <w:bCs/>
        </w:rPr>
        <w:t xml:space="preserve">定量的裏付けの存在</w:t>
      </w:r>
      <w:r>
        <w:t xml:space="preserve">: </w:t>
      </w:r>
      <w:r>
        <w:rPr>
          <w:rFonts w:hint="eastAsia"/>
        </w:rPr>
        <w:t xml:space="preserve">GPM29-30%の安定推移、400拠点</w:t>
      </w:r>
      <w:r>
        <w:t xml:space="preserve"> vs </w:t>
      </w:r>
      <w:r>
        <w:rPr>
          <w:rFonts w:hint="eastAsia"/>
        </w:rPr>
        <w:t xml:space="preserve">30拠点の格差、ROIC26%等、数値による説得力がある。</w:t>
      </w:r>
    </w:p>
    <w:p>
      <w:pPr>
        <w:pStyle w:val="Compact"/>
        <w:numPr>
          <w:ilvl w:val="0"/>
          <w:numId w:val="1001"/>
        </w:numPr>
      </w:pPr>
      <w:r>
        <w:rPr>
          <w:rFonts w:hint="eastAsia"/>
          <w:b/>
          <w:bCs/>
        </w:rPr>
        <w:t xml:space="preserve">アナリスト自身の反省事例</w:t>
      </w:r>
      <w:r>
        <w:t xml:space="preserve">: </w:t>
      </w:r>
      <w:r>
        <w:rPr>
          <w:rFonts w:hint="eastAsia"/>
        </w:rPr>
        <w:t xml:space="preserve">Claim#5（メンテナンス安定性）の自己否定は、投資仮説の検証プロセスとして極めて有益な情報。</w:t>
      </w:r>
    </w:p>
    <w:bookmarkEnd w:id="28"/>
    <w:bookmarkStart w:id="29" w:name="弱み留意点t8修正後"/>
    <w:p>
      <w:pPr>
        <w:pStyle w:val="Heading3"/>
      </w:pPr>
      <w:r>
        <w:rPr>
          <w:rFonts w:hint="eastAsia"/>
        </w:rPr>
        <w:t xml:space="preserve">弱み・留意点（T8修正後）</w:t>
      </w:r>
    </w:p>
    <w:p>
      <w:pPr>
        <w:pStyle w:val="Compact"/>
        <w:numPr>
          <w:ilvl w:val="0"/>
          <w:numId w:val="1002"/>
        </w:numPr>
      </w:pPr>
      <w:r>
        <w:rPr>
          <w:rFonts w:hint="eastAsia"/>
          <w:b/>
          <w:bCs/>
        </w:rPr>
        <w:t xml:space="preserve">純粋競合比較の全面的欠如</w:t>
      </w:r>
      <w:r>
        <w:t xml:space="preserve">: </w:t>
      </w:r>
      <w:r>
        <w:rPr>
          <w:rFonts w:hint="eastAsia"/>
        </w:rPr>
        <w:t xml:space="preserve">全7主張で具体的な純粋競合名と比較データが不足（ルール7/パターンG）。</w:t>
      </w:r>
    </w:p>
    <w:p>
      <w:pPr>
        <w:pStyle w:val="Compact"/>
        <w:numPr>
          <w:ilvl w:val="0"/>
          <w:numId w:val="1002"/>
        </w:numPr>
      </w:pPr>
      <w:r>
        <w:rPr>
          <w:rFonts w:hint="eastAsia"/>
          <w:b/>
          <w:bCs/>
        </w:rPr>
        <w:t xml:space="preserve">M&amp;A寄与度の構造的低下</w:t>
      </w:r>
      <w:r>
        <w:t xml:space="preserve">: </w:t>
      </w:r>
      <w:r>
        <w:rPr>
          <w:rFonts w:hint="eastAsia"/>
        </w:rPr>
        <w:t xml:space="preserve">CAGR最大の下方修正要因（-1.25%）。事業規模拡大に伴う構造的制約。</w:t>
      </w:r>
    </w:p>
    <w:p>
      <w:pPr>
        <w:pStyle w:val="Compact"/>
        <w:numPr>
          <w:ilvl w:val="0"/>
          <w:numId w:val="1002"/>
        </w:numPr>
      </w:pPr>
      <w:r>
        <w:rPr>
          <w:rFonts w:hint="eastAsia"/>
          <w:b/>
          <w:bCs/>
        </w:rPr>
        <w:t xml:space="preserve">メンテナンス安定性仮説の崩壊</w:t>
      </w:r>
      <w:r>
        <w:t xml:space="preserve">: </w:t>
      </w:r>
      <w:r>
        <w:rPr>
          <w:rFonts w:hint="eastAsia"/>
        </w:rPr>
        <w:t xml:space="preserve">投資仮説の核の一つが否定。「安定収益の響きに囚われない検証」の教訓。</w:t>
      </w:r>
    </w:p>
    <w:p>
      <w:pPr>
        <w:pStyle w:val="Compact"/>
        <w:numPr>
          <w:ilvl w:val="0"/>
          <w:numId w:val="1002"/>
        </w:numPr>
      </w:pPr>
      <w:r>
        <w:rPr>
          <w:rFonts w:hint="eastAsia"/>
          <w:b/>
          <w:bCs/>
        </w:rPr>
        <w:t xml:space="preserve">Eコマース参入障壁の過大評価</w:t>
      </w:r>
      <w:r>
        <w:t xml:space="preserve">: </w:t>
      </w:r>
      <w:r>
        <w:rPr>
          <w:rFonts w:hint="eastAsia"/>
        </w:rPr>
        <w:t xml:space="preserve">業界共通特性を固有の優位性として50%評価していたものを30%に修正。</w:t>
      </w:r>
    </w:p>
    <w:bookmarkEnd w:id="29"/>
    <w:bookmarkStart w:id="30"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3"/>
        </w:numPr>
      </w:pPr>
      <w:r>
        <w:rPr>
          <w:rFonts w:hint="eastAsia"/>
          <w:b/>
          <w:bCs/>
        </w:rPr>
        <w:t xml:space="preserve">純粋競合比較の全面的欠如（ルール7・パターンG）</w:t>
      </w:r>
      <w:r>
        <w:t xml:space="preserve">: </w:t>
      </w:r>
      <w:r>
        <w:rPr>
          <w:rFonts w:hint="eastAsia"/>
        </w:rPr>
        <w:t xml:space="preserve">全7主張中5主張で純粋競合との具体的比較が欠如。プール用品卸売業界の2位企業名が一切示されておらず、KB3ではORLY#1（AZO対比）等のように具体的競合名が高評価要因であったことと対照的。アナリストフィードバックで純粋競合の具体名を確認すべき。</w:t>
      </w:r>
    </w:p>
    <w:p>
      <w:pPr>
        <w:numPr>
          <w:ilvl w:val="0"/>
          <w:numId w:val="1003"/>
        </w:numPr>
      </w:pPr>
      <w:r>
        <w:rPr>
          <w:rFonts w:hint="eastAsia"/>
          <w:b/>
          <w:bCs/>
        </w:rPr>
        <w:t xml:space="preserve">アナリスト自己否定パターンのKB蓄積</w:t>
      </w:r>
      <w:r>
        <w:t xml:space="preserve">: </w:t>
      </w:r>
      <w:r>
        <w:rPr>
          <w:rFonts w:hint="eastAsia"/>
        </w:rPr>
        <w:t xml:space="preserve">Claim#5はKB3に存在しない新パターン。「安定収益」の見かけに囚われない中身の検証という教訓は、dogma</w:t>
      </w:r>
      <w:r>
        <w:t xml:space="preserve"> </w:t>
      </w:r>
      <w:r>
        <w:rPr>
          <w:rFonts w:hint="eastAsia"/>
        </w:rPr>
        <w:t xml:space="preserve">v2.0で「却下基準#7」として追加検討を推奨。</w:t>
      </w:r>
    </w:p>
    <w:bookmarkEnd w:id="30"/>
    <w:bookmarkStart w:id="31" w:name="kb3との対比"/>
    <w:p>
      <w:pPr>
        <w:pStyle w:val="Heading3"/>
      </w:pPr>
      <w:r>
        <w:rPr>
          <w:rFonts w:hint="eastAsia"/>
        </w:rPr>
        <w:t xml:space="preserve">KB3との対比</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36"/>
        <w:gridCol w:w="1810"/>
        <w:gridCol w:w="1810"/>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KB3銘柄</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類似点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相違点</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参考スコア</w:t>
            </w:r>
          </w:p>
        </w:tc>
      </w:tr>
      <w:tr>
        <w:tc>
          <w:tcPr/>
          <w:p>
            <w:pPr>
              <w:pStyle w:val="Compact"/>
            </w:pPr>
            <w:r>
              <w:rPr>
                <w:rFonts w:ascii="Times New Roman" w:hAnsi="Times New Roman" w:eastAsia="游明朝"/>
                <w:sz w:val="18"/>
              </w:rPr>
              <w:t xml:space="preserve">ORLY</w:t>
            </w:r>
          </w:p>
        </w:tc>
        <w:tc>
          <w:tcPr/>
          <w:p>
            <w:pPr>
              <w:pStyle w:val="Compact"/>
            </w:pPr>
            <w:r>
              <w:rPr>
                <w:rFonts w:hint="eastAsia" w:ascii="Times New Roman" w:hAnsi="Times New Roman" w:eastAsia="游明朝"/>
                <w:sz w:val="18"/>
              </w:rPr>
              <w:t xml:space="preserve">フラグメント市場×規模・密度の構造合致</w:t>
            </w:r>
          </w:p>
        </w:tc>
        <w:tc>
          <w:tcPr/>
          <w:p>
            <w:pPr>
              <w:pStyle w:val="Compact"/>
            </w:pPr>
            <w:r>
              <w:rPr>
                <w:rFonts w:hint="eastAsia" w:ascii="Times New Roman" w:hAnsi="Times New Roman" w:eastAsia="游明朝"/>
                <w:sz w:val="18"/>
              </w:rPr>
              <w:t xml:space="preserve">ORLYは店舗密度データが具体的、POOLは拠点効率データ不足</w:t>
            </w:r>
          </w:p>
        </w:tc>
        <w:tc>
          <w:tcPr/>
          <w:p>
            <w:pPr>
              <w:pStyle w:val="Compact"/>
            </w:pPr>
            <w:r>
              <w:rPr>
                <w:rFonts w:hint="eastAsia" w:ascii="Times New Roman" w:hAnsi="Times New Roman" w:eastAsia="游明朝"/>
                <w:sz w:val="18"/>
              </w:rPr>
              <w:t xml:space="preserve">ORLY平均63%</w:t>
            </w:r>
            <w:r>
              <w:rPr>
                <w:rFonts w:ascii="Times New Roman" w:hAnsi="Times New Roman" w:eastAsia="游明朝"/>
                <w:sz w:val="18"/>
              </w:rPr>
              <w:t xml:space="preserve"> vs </w:t>
            </w:r>
            <w:r>
              <w:rPr>
                <w:rFonts w:hint="eastAsia" w:ascii="Times New Roman" w:hAnsi="Times New Roman" w:eastAsia="游明朝"/>
                <w:sz w:val="18"/>
              </w:rPr>
              <w:t xml:space="preserve">POOL平均50%</w:t>
            </w:r>
          </w:p>
        </w:tc>
      </w:tr>
      <w:tr>
        <w:tc>
          <w:tcPr/>
          <w:p>
            <w:pPr>
              <w:pStyle w:val="Compact"/>
            </w:pPr>
            <w:r>
              <w:rPr>
                <w:rFonts w:ascii="Times New Roman" w:hAnsi="Times New Roman" w:eastAsia="游明朝"/>
                <w:sz w:val="18"/>
              </w:rPr>
              <w:t xml:space="preserve">COST</w:t>
            </w:r>
          </w:p>
        </w:tc>
        <w:tc>
          <w:tcPr/>
          <w:p>
            <w:pPr>
              <w:pStyle w:val="Compact"/>
            </w:pPr>
            <w:r>
              <w:rPr>
                <w:rFonts w:hint="eastAsia" w:ascii="Times New Roman" w:hAnsi="Times New Roman" w:eastAsia="游明朝"/>
                <w:sz w:val="18"/>
              </w:rPr>
              <w:t xml:space="preserve">卸売/小売の交渉力、PB交渉ツール</w:t>
            </w:r>
          </w:p>
        </w:tc>
        <w:tc>
          <w:tcPr/>
          <w:p>
            <w:pPr>
              <w:pStyle w:val="Compact"/>
            </w:pPr>
            <w:r>
              <w:rPr>
                <w:rFonts w:hint="eastAsia" w:ascii="Times New Roman" w:hAnsi="Times New Roman" w:eastAsia="游明朝"/>
                <w:sz w:val="18"/>
              </w:rPr>
              <w:t xml:space="preserve">COSTは会員データで検証可能、POOLは顧客データ非開示</w:t>
            </w:r>
          </w:p>
        </w:tc>
        <w:tc>
          <w:tcPr/>
          <w:p>
            <w:pPr>
              <w:pStyle w:val="Compact"/>
            </w:pPr>
            <w:r>
              <w:rPr>
                <w:rFonts w:hint="eastAsia" w:ascii="Times New Roman" w:hAnsi="Times New Roman" w:eastAsia="游明朝"/>
                <w:sz w:val="18"/>
              </w:rPr>
              <w:t xml:space="preserve">COST平均39%</w:t>
            </w:r>
            <w:r>
              <w:rPr>
                <w:rFonts w:ascii="Times New Roman" w:hAnsi="Times New Roman" w:eastAsia="游明朝"/>
                <w:sz w:val="18"/>
              </w:rPr>
              <w:t xml:space="preserve"> vs </w:t>
            </w:r>
            <w:r>
              <w:rPr>
                <w:rFonts w:hint="eastAsia" w:ascii="Times New Roman" w:hAnsi="Times New Roman" w:eastAsia="游明朝"/>
                <w:sz w:val="18"/>
              </w:rPr>
              <w:t xml:space="preserve">POOL平均50%</w:t>
            </w:r>
          </w:p>
        </w:tc>
      </w:tr>
      <w:tr>
        <w:tc>
          <w:tcPr/>
          <w:p>
            <w:pPr>
              <w:pStyle w:val="Compact"/>
            </w:pPr>
            <w:r>
              <w:rPr>
                <w:rFonts w:ascii="Times New Roman" w:hAnsi="Times New Roman" w:eastAsia="游明朝"/>
                <w:sz w:val="18"/>
              </w:rPr>
              <w:t xml:space="preserve">CHD</w:t>
            </w:r>
          </w:p>
        </w:tc>
        <w:tc>
          <w:tcPr/>
          <w:p>
            <w:pPr>
              <w:pStyle w:val="Compact"/>
            </w:pPr>
            <w:r>
              <w:rPr>
                <w:rFonts w:hint="eastAsia" w:ascii="Times New Roman" w:hAnsi="Times New Roman" w:eastAsia="游明朝"/>
                <w:sz w:val="18"/>
              </w:rPr>
              <w:t xml:space="preserve">M&amp;A実行能力</w:t>
            </w:r>
          </w:p>
        </w:tc>
        <w:tc>
          <w:tcPr/>
          <w:p>
            <w:pPr>
              <w:pStyle w:val="Compact"/>
            </w:pPr>
            <w:r>
              <w:rPr>
                <w:rFonts w:hint="eastAsia" w:ascii="Times New Roman" w:hAnsi="Times New Roman" w:eastAsia="游明朝"/>
                <w:sz w:val="18"/>
              </w:rPr>
              <w:t xml:space="preserve">CHDは選定基準・断念例が具体的、POOLは実績列挙のみ</w:t>
            </w:r>
          </w:p>
        </w:tc>
        <w:tc>
          <w:tcPr/>
          <w:p>
            <w:pPr>
              <w:pStyle w:val="Compact"/>
            </w:pPr>
            <w:r>
              <w:rPr>
                <w:rFonts w:ascii="Times New Roman" w:hAnsi="Times New Roman" w:eastAsia="游明朝"/>
                <w:sz w:val="18"/>
              </w:rPr>
              <w:t xml:space="preserve">CHD#1:70% vs POOL#4:50%</w:t>
            </w:r>
          </w:p>
        </w:tc>
      </w:tr>
    </w:tbl>
    <w:p>
      <w:r>
        <w:pict>
          <v:rect style="width:0;height:1.5pt" o:hralign="center" o:hrstd="t" o:hr="t"/>
        </w:pict>
      </w:r>
    </w:p>
    <w:bookmarkEnd w:id="31"/>
    <w:bookmarkEnd w:id="32"/>
    <w:bookmarkStart w:id="42"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40" w:name="評価スケール"/>
    <w:p>
      <w:pPr>
        <w:pStyle w:val="Heading3"/>
      </w:pPr>
      <w:r>
        <w:rPr>
          <w:rFonts w:hint="eastAsia"/>
        </w:rPr>
        <w:t xml:space="preserve">評価スケール</w:t>
      </w:r>
    </w:p>
    <w:p>
      <w:pPr>
        <w:pStyle w:val="Compact"/>
        <w:numPr>
          <w:ilvl w:val="0"/>
          <w:numId w:val="1004"/>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4"/>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4"/>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4"/>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4"/>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3" w:name="川中寡占バーゲニングパワー"/>
    <w:p>
      <w:pPr>
        <w:pStyle w:val="Heading4"/>
      </w:pPr>
      <w:r>
        <w:t xml:space="preserve">#1 </w:t>
      </w:r>
      <w:r>
        <w:rPr>
          <w:rFonts w:hint="eastAsia"/>
        </w:rPr>
        <w:t xml:space="preserve">川中寡占バーゲニングパワー</w:t>
      </w:r>
    </w:p>
    <w:p>
      <w:pPr>
        <w:pStyle w:val="FirstParagraph"/>
      </w:pPr>
      <w:r>
        <w:rPr>
          <w:rFonts w:hint="eastAsia"/>
          <w:b/>
          <w:bCs/>
        </w:rPr>
        <w:t xml:space="preserve">AI評価（T8修正後）</w:t>
      </w:r>
      <w:r>
        <w:t xml:space="preserve">: </w:t>
      </w:r>
      <w:r>
        <w:rPr>
          <w:rFonts w:hint="eastAsia"/>
        </w:rPr>
        <w:t xml:space="preserve">70%（90%の可能性あり）</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3"/>
    <w:bookmarkStart w:id="34" w:name="ディストリビューションネットワーク"/>
    <w:p>
      <w:pPr>
        <w:pStyle w:val="Heading4"/>
      </w:pPr>
      <w:r>
        <w:t xml:space="preserve">#2 ディストリビューションネットワーク</w:t>
      </w:r>
    </w:p>
    <w:p>
      <w:pPr>
        <w:pStyle w:val="FirstParagraph"/>
      </w:pPr>
      <w:r>
        <w:rPr>
          <w:rFonts w:hint="eastAsia"/>
          <w:b/>
          <w:bCs/>
        </w:rPr>
        <w:t xml:space="preserve">AI評価（T8修正後）</w:t>
      </w:r>
      <w:r>
        <w:t xml:space="preserve">: </w:t>
      </w:r>
      <w:r>
        <w:rPr>
          <w:rFonts w:hint="eastAsia"/>
        </w:rPr>
        <w:t xml:space="preserve">70%（#1と統合で上昇可能性）</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価格転嫁力"/>
    <w:p>
      <w:pPr>
        <w:pStyle w:val="Heading4"/>
      </w:pPr>
      <w:r>
        <w:t xml:space="preserve">#3 </w:t>
      </w:r>
      <w:r>
        <w:rPr>
          <w:rFonts w:hint="eastAsia"/>
        </w:rPr>
        <w:t xml:space="preserve">価格転嫁力</w:t>
      </w:r>
    </w:p>
    <w:p>
      <w:pPr>
        <w:pStyle w:val="FirstParagraph"/>
      </w:pPr>
      <w:r>
        <w:rPr>
          <w:rFonts w:hint="eastAsia"/>
          <w:b/>
          <w:bCs/>
        </w:rPr>
        <w:t xml:space="preserve">AI評価（T8修正後）</w:t>
      </w:r>
      <w:r>
        <w:t xml:space="preserve">: </w:t>
      </w:r>
      <w:r>
        <w:rPr>
          <w:rFonts w:hint="eastAsia"/>
        </w:rPr>
        <w:t xml:space="preserve">50%（掛け算実質35%）</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ma実行能力"/>
    <w:p>
      <w:pPr>
        <w:pStyle w:val="Heading4"/>
      </w:pPr>
      <w:r>
        <w:t xml:space="preserve">#4 </w:t>
      </w:r>
      <w:r>
        <w:rPr>
          <w:rFonts w:hint="eastAsia"/>
        </w:rPr>
        <w:t xml:space="preserve">M&amp;A実行能力</w:t>
      </w:r>
    </w:p>
    <w:p>
      <w:pPr>
        <w:pStyle w:val="FirstParagraph"/>
      </w:pPr>
      <w:r>
        <w:rPr>
          <w:rFonts w:hint="eastAsia"/>
          <w:b/>
          <w:bCs/>
        </w:rPr>
        <w:t xml:space="preserve">AI評価（T8修正後）</w:t>
      </w:r>
      <w:r>
        <w:t xml:space="preserve">: </w:t>
      </w:r>
      <w:r>
        <w:rPr>
          <w:rFonts w:hint="eastAsia"/>
        </w:rPr>
        <w:t xml:space="preserve">50%（CAGR構造的制約）</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メンテナンス安定性"/>
    <w:p>
      <w:pPr>
        <w:pStyle w:val="Heading4"/>
      </w:pPr>
      <w:r>
        <w:t xml:space="preserve">#5 </w:t>
      </w:r>
      <w:r>
        <w:rPr>
          <w:rFonts w:hint="eastAsia"/>
        </w:rPr>
        <w:t xml:space="preserve">メンテナンス安定性</w:t>
      </w:r>
    </w:p>
    <w:p>
      <w:pPr>
        <w:pStyle w:val="FirstParagraph"/>
      </w:pPr>
      <w:r>
        <w:rPr>
          <w:rFonts w:hint="eastAsia"/>
          <w:b/>
          <w:bCs/>
        </w:rPr>
        <w:t xml:space="preserve">AI評価（T8修正後）</w:t>
      </w:r>
      <w:r>
        <w:t xml:space="preserve">: </w:t>
      </w:r>
      <w:r>
        <w:rPr>
          <w:rFonts w:hint="eastAsia"/>
        </w:rPr>
        <w:t xml:space="preserve">30%（自己否定済み）</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eコマース参入障壁"/>
    <w:p>
      <w:pPr>
        <w:pStyle w:val="Heading4"/>
      </w:pPr>
      <w:r>
        <w:t xml:space="preserve">#6 </w:t>
      </w:r>
      <w:r>
        <w:rPr>
          <w:rFonts w:hint="eastAsia"/>
        </w:rPr>
        <w:t xml:space="preserve">Eコマース参入障壁</w:t>
      </w:r>
    </w:p>
    <w:p>
      <w:pPr>
        <w:pStyle w:val="FirstParagraph"/>
      </w:pPr>
      <w:r>
        <w:rPr>
          <w:rFonts w:hint="eastAsia"/>
          <w:b/>
          <w:bCs/>
        </w:rPr>
        <w:t xml:space="preserve">AI評価（T8修正後）</w:t>
      </w:r>
      <w:r>
        <w:t xml:space="preserve">: </w:t>
      </w:r>
      <w:r>
        <w:rPr>
          <w:rFonts w:hint="eastAsia"/>
        </w:rPr>
        <w:t xml:space="preserve">30%（T8で50%→30%修正）</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8"/>
    <w:bookmarkStart w:id="39" w:name="収益レジリエンス"/>
    <w:p>
      <w:pPr>
        <w:pStyle w:val="Heading4"/>
      </w:pPr>
      <w:r>
        <w:t xml:space="preserve">#7 </w:t>
      </w:r>
      <w:r>
        <w:rPr>
          <w:rFonts w:hint="eastAsia"/>
        </w:rPr>
        <w:t xml:space="preserve">収益レジリエンス</w:t>
      </w:r>
    </w:p>
    <w:p>
      <w:pPr>
        <w:pStyle w:val="FirstParagraph"/>
      </w:pPr>
      <w:r>
        <w:rPr>
          <w:rFonts w:hint="eastAsia"/>
          <w:b/>
          <w:bCs/>
        </w:rPr>
        <w:t xml:space="preserve">AI評価（T8修正後）</w:t>
      </w:r>
      <w:r>
        <w:t xml:space="preserve">: 50%</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39"/>
    <w:bookmarkEnd w:id="40"/>
    <w:bookmarkStart w:id="41" w:name="追加フィードバック欄"/>
    <w:p>
      <w:pPr>
        <w:pStyle w:val="Heading3"/>
      </w:pPr>
      <w:r>
        <w:rPr>
          <w:rFonts w:hint="eastAsia"/>
        </w:rPr>
        <w:t xml:space="preserve">追加フィードバック欄</w:t>
      </w:r>
    </w:p>
    <w:p>
      <w:pPr>
        <w:pStyle w:val="Compact"/>
        <w:numPr>
          <w:ilvl w:val="0"/>
          <w:numId w:val="1005"/>
        </w:numPr>
      </w:pPr>
      <w:r>
        <w:rPr>
          <w:rFonts w:hint="eastAsia"/>
          <w:b/>
          <w:bCs/>
        </w:rPr>
        <w:t xml:space="preserve">Claim#1+#2統合について</w:t>
      </w:r>
      <w:r>
        <w:t xml:space="preserve">: </w:t>
      </w:r>
      <w:r>
        <w:rPr>
          <w:rFonts w:hint="eastAsia"/>
        </w:rPr>
        <w:t xml:space="preserve">川中寡占ポジション（交渉力+配送網）を一つの優位性として評価した場合、90%（ルール11最高評価）に値すると考えますか？</w:t>
      </w:r>
    </w:p>
    <w:p>
      <w:pPr>
        <w:pStyle w:val="Compact"/>
        <w:numPr>
          <w:ilvl w:val="0"/>
          <w:numId w:val="1005"/>
        </w:numPr>
      </w:pPr>
      <w:r>
        <w:rPr>
          <w:rFonts w:hint="eastAsia"/>
          <w:b/>
          <w:bCs/>
        </w:rPr>
        <w:t xml:space="preserve">純粋競合について</w:t>
      </w:r>
      <w:r>
        <w:t xml:space="preserve">: </w:t>
      </w:r>
      <w:r>
        <w:rPr>
          <w:rFonts w:hint="eastAsia"/>
        </w:rPr>
        <w:t xml:space="preserve">プール用品卸売業界で当社の純粋競合として具体的に意識されている企業はありますか？（SRS</w:t>
      </w:r>
      <w:r>
        <w:t xml:space="preserve"> Distribution、Heritage Pool </w:t>
      </w:r>
      <w:r>
        <w:rPr>
          <w:rFonts w:hint="eastAsia"/>
        </w:rPr>
        <w:t xml:space="preserve">Supply等）</w:t>
      </w:r>
    </w:p>
    <w:p>
      <w:pPr>
        <w:pStyle w:val="Compact"/>
        <w:numPr>
          <w:ilvl w:val="0"/>
          <w:numId w:val="1005"/>
        </w:numPr>
      </w:pPr>
      <w:r>
        <w:rPr>
          <w:rFonts w:hint="eastAsia"/>
          <w:b/>
          <w:bCs/>
        </w:rPr>
        <w:t xml:space="preserve">Claim#5の教訓</w:t>
      </w:r>
      <w:r>
        <w:t xml:space="preserve">: </w:t>
      </w:r>
      <w:r>
        <w:rPr>
          <w:rFonts w:hint="eastAsia"/>
        </w:rPr>
        <w:t xml:space="preserve">メンテナンス安定性の過大評価は他銘柄の「安定収益」仮説にも適用可能な一般的教訓と考えますか？</w:t>
      </w:r>
    </w:p>
    <w:p>
      <w:pPr>
        <w:pStyle w:val="Compact"/>
        <w:numPr>
          <w:ilvl w:val="0"/>
          <w:numId w:val="1005"/>
        </w:numPr>
      </w:pPr>
      <w:r>
        <w:rPr>
          <w:rFonts w:hint="eastAsia"/>
          <w:b/>
          <w:bCs/>
        </w:rPr>
        <w:t xml:space="preserve">M&amp;A寄与の将来</w:t>
      </w:r>
      <w:r>
        <w:t xml:space="preserve">: </w:t>
      </w:r>
      <w:r>
        <w:rPr>
          <w:rFonts w:hint="eastAsia"/>
        </w:rPr>
        <w:t xml:space="preserve">M&amp;A寄与度0.5%は「新しいノーマル」ですか？大型案件（商業用プール等）による回復の可能性はありますか？</w:t>
      </w:r>
    </w:p>
    <w:p>
      <w:pPr>
        <w:pStyle w:val="Compact"/>
        <w:numPr>
          <w:ilvl w:val="0"/>
          <w:numId w:val="1005"/>
        </w:numPr>
      </w:pPr>
      <w:r>
        <w:rPr>
          <w:rFonts w:hint="eastAsia"/>
          <w:b/>
          <w:bCs/>
        </w:rPr>
        <w:t xml:space="preserve">投資仮説の瓦解と競争優位性</w:t>
      </w:r>
      <w:r>
        <w:t xml:space="preserve">: </w:t>
      </w:r>
      <w:r>
        <w:rPr>
          <w:rFonts w:hint="eastAsia"/>
        </w:rPr>
        <w:t xml:space="preserve">競争優位性は「若干低下も不変」とのご判断ですが、具体的にどの程度の低下と認識されていますか？</w:t>
      </w:r>
    </w:p>
    <w:p>
      <w:r>
        <w:pict>
          <v:rect style="width:0;height:1.5pt" o:hralign="center" o:hrstd="t" o:hr="t"/>
        </w:pict>
      </w:r>
    </w:p>
    <w:bookmarkEnd w:id="41"/>
    <w:bookmarkEnd w:id="42"/>
    <w:bookmarkStart w:id="44"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90%到達の境界条件を明確化。純粋競合データがあれば90%の可能性</w:t>
            </w:r>
          </w:p>
        </w:tc>
      </w:tr>
      <w:tr>
        <w:tc>
          <w:tcPr/>
          <w:p>
            <w:pPr>
              <w:pStyle w:val="Compact"/>
            </w:pPr>
            <w:r>
              <w:rPr>
                <w:rFonts w:hint="eastAsia" w:ascii="Times New Roman" w:hAnsi="Times New Roman" w:eastAsia="游明朝"/>
                <w:sz w:val="18"/>
              </w:rPr>
              <w:t xml:space="preserve">主張#1+#2</w:t>
            </w:r>
            <w:r>
              <w:rPr>
                <w:rFonts w:ascii="Times New Roman" w:hAnsi="Times New Roman" w:eastAsia="游明朝"/>
                <w:sz w:val="18"/>
              </w:rPr>
              <w:t xml:space="preserve"> </w:t>
            </w:r>
            <w:r>
              <w:rPr>
                <w:rFonts w:hint="eastAsia" w:ascii="Times New Roman" w:hAnsi="Times New Roman" w:eastAsia="游明朝"/>
                <w:sz w:val="18"/>
              </w:rPr>
              <w:t xml:space="preserve">統合</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統合した場合70%超の評価可能性を注記</w:t>
            </w:r>
          </w:p>
        </w:tc>
      </w:tr>
      <w:tr>
        <w:tc>
          <w:tcPr/>
          <w:p>
            <w:pPr>
              <w:pStyle w:val="Compact"/>
            </w:pPr>
            <w:r>
              <w:rPr>
                <w:rFonts w:hint="eastAsia" w:ascii="Times New Roman" w:hAnsi="Times New Roman" w:eastAsia="游明朝"/>
                <w:sz w:val="18"/>
              </w:rPr>
              <w:t xml:space="preserve">主張#3</w:t>
            </w:r>
            <w:r>
              <w:rPr>
                <w:rFonts w:ascii="Times New Roman" w:hAnsi="Times New Roman" w:eastAsia="游明朝"/>
                <w:sz w:val="18"/>
              </w:rPr>
              <w:t xml:space="preserve"> CAGR</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CA×CAGR掛け算ベースの実質納得度（35%）を注記</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CAGR</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M&amp;A寄与低下がCAGR最大の下方修正要因（-1.25%、構造的制約）であることを強調</w:t>
            </w:r>
          </w:p>
        </w:tc>
      </w:tr>
      <w:tr>
        <w:tc>
          <w:tcPr/>
          <w:p>
            <w:pPr>
              <w:pStyle w:val="Compact"/>
            </w:pPr>
            <w:r>
              <w:rPr>
                <w:rFonts w:hint="eastAsia" w:ascii="Times New Roman" w:hAnsi="Times New Roman" w:eastAsia="游明朝"/>
                <w:sz w:val="18"/>
              </w:rPr>
              <w:t xml:space="preserve">主張#5</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アナリスト自己否定パターンをdogma</w:t>
            </w:r>
            <w:r>
              <w:rPr>
                <w:rFonts w:ascii="Times New Roman" w:hAnsi="Times New Roman" w:eastAsia="游明朝"/>
                <w:sz w:val="18"/>
              </w:rPr>
              <w:t xml:space="preserve"> </w:t>
            </w:r>
            <w:r>
              <w:rPr>
                <w:rFonts w:hint="eastAsia" w:ascii="Times New Roman" w:hAnsi="Times New Roman" w:eastAsia="游明朝"/>
                <w:sz w:val="18"/>
              </w:rPr>
              <w:t xml:space="preserve">v2.0反映候補としてフラグ</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confidence_adjustment</w:t>
            </w:r>
          </w:p>
        </w:tc>
        <w:tc>
          <w:tcPr/>
          <w:p>
            <w:pPr>
              <w:pStyle w:val="Compact"/>
            </w:pPr>
            <w:r>
              <w:rPr>
                <w:rFonts w:hint="eastAsia" w:ascii="Times New Roman" w:hAnsi="Times New Roman" w:eastAsia="游明朝"/>
                <w:sz w:val="18"/>
              </w:rPr>
              <w:t xml:space="preserve">50%→30%に引き下げ（業界共通特性+補完的要素、KB3整合性）</w:t>
            </w:r>
          </w:p>
        </w:tc>
      </w:tr>
    </w:tbl>
    <w:bookmarkStart w:id="43"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3"/>
    <w:bookmarkEnd w:id="44"/>
    <w:bookmarkEnd w:id="45"/>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2026-02-27T01:55:55Z</dcterms:created>
  <dcterms:modified xsi:type="dcterms:W3CDTF">2026-02-27T01:55:55Z</dcterms:modified>
</cp:coreProperties>
</file>

<file path=docProps/custom.xml><?xml version="1.0" encoding="utf-8"?>
<Properties xmlns="http://schemas.openxmlformats.org/officeDocument/2006/custom-properties" xmlns:vt="http://schemas.openxmlformats.org/officeDocument/2006/docPropsVTypes"/>
</file>