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4c3f5da78ac7f6b090fb3a990070bc19d08bed"/>
    <w:p>
      <w:pPr>
        <w:pStyle w:val="Heading1"/>
      </w:pPr>
      <w:r>
        <w:rPr>
          <w:rFonts w:hint="eastAsia"/>
        </w:rPr>
        <w:t xml:space="preserve">LRCX（Lam</w:t>
      </w:r>
      <w:r>
        <w:t xml:space="preserve"> Research </w:t>
      </w:r>
      <w:r>
        <w:rPr>
          <w:rFonts w:hint="eastAsia"/>
        </w:rPr>
        <w:t xml:space="preserve">Corporation）競争優位性評価レポート（最終版）</w:t>
      </w:r>
    </w:p>
    <w:p>
      <w:pPr>
        <w:pStyle w:val="BlockText"/>
      </w:pPr>
      <w:r>
        <w:rPr>
          <w:b/>
          <w:bCs/>
        </w:rPr>
        <w:t xml:space="preserve">リサーチID</w:t>
      </w:r>
      <w:r>
        <w:t xml:space="preserve">: CA_eval_20260226-2119_LRCX</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SEC EDGAR (MCP 10-Q), </w:t>
      </w:r>
      <w:r>
        <w:rPr>
          <w:rFonts w:hint="eastAsia"/>
        </w:rPr>
        <w:t xml:space="preserve">アナリストレポート（analyst/raw/LRCS</w:t>
      </w:r>
      <w:r>
        <w:t xml:space="preserve"> </w:t>
      </w:r>
      <w:r>
        <w:rPr>
          <w:rFonts w:hint="eastAsia"/>
        </w:rPr>
        <w:t xml:space="preserve">US.md）</w:t>
      </w:r>
      <w:r>
        <w:t xml:space="preserve"> </w:t>
      </w:r>
      <w:r>
        <w:rPr>
          <w:b/>
          <w:bCs/>
        </w:rPr>
        <w:t xml:space="preserve">KBバージョン</w:t>
      </w:r>
      <w:r>
        <w:t xml:space="preserve">: dogma v1.0 (2026-02-26), KB1 8files, KB2 12files, KB3 5files</w:t>
      </w:r>
      <w:r>
        <w:t xml:space="preserve"> </w:t>
      </w:r>
      <w:r>
        <w:rPr>
          <w:rFonts w:hint="eastAsia"/>
          <w:b/>
          <w:bCs/>
        </w:rPr>
        <w:t xml:space="preserve">T8適用</w:t>
      </w:r>
      <w:r>
        <w:t xml:space="preserve">: </w:t>
      </w:r>
      <w:r>
        <w:rPr>
          <w:rFonts w:hint="eastAsia"/>
        </w:rPr>
        <w:t xml:space="preserve">critique.json（critical</w:t>
      </w:r>
      <w:r>
        <w:t xml:space="preserve"> </w:t>
      </w:r>
      <w:r>
        <w:rPr>
          <w:rFonts w:hint="eastAsia"/>
        </w:rPr>
        <w:t xml:space="preserve">x1件、minor</w:t>
      </w:r>
      <w:r>
        <w:t xml:space="preserve"> </w:t>
      </w:r>
      <w:r>
        <w:rPr>
          <w:rFonts w:hint="eastAsia"/>
        </w:rPr>
        <w:t xml:space="preserve">x4件）の指摘を反映済み</w:t>
      </w:r>
    </w:p>
    <w:p>
      <w:r>
        <w:pict>
          <v:rect style="width:0;height:1.5pt" o:hralign="center" o:hrstd="t" o:hr="t"/>
        </w:pict>
      </w:r>
    </w:p>
    <w:bookmarkStart w:id="9" w:name="銘柄概要"/>
    <w:p>
      <w:pPr>
        <w:pStyle w:val="Heading2"/>
      </w:pPr>
      <w:r>
        <w:t xml:space="preserve">1. </w:t>
      </w:r>
      <w:r>
        <w:rPr>
          <w:rFonts w:hint="eastAsia"/>
        </w:rPr>
        <w:t xml:space="preserve">銘柄概要</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ascii="Times New Roman" w:hAnsi="Times New Roman" w:eastAsia="游明朝"/>
                <w:sz w:val="18"/>
              </w:rPr>
              <w:t xml:space="preserve">ティッカー</w:t>
            </w:r>
          </w:p>
        </w:tc>
        <w:tc>
          <w:tcPr/>
          <w:p>
            <w:pPr>
              <w:pStyle w:val="Compact"/>
            </w:pPr>
            <w:r>
              <w:rPr>
                <w:rFonts w:ascii="Times New Roman" w:hAnsi="Times New Roman" w:eastAsia="游明朝"/>
                <w:sz w:val="18"/>
              </w:rPr>
              <w:t xml:space="preserve">LRCX</w:t>
            </w:r>
          </w:p>
        </w:tc>
      </w:tr>
      <w:tr>
        <w:tc>
          <w:tcPr/>
          <w:p>
            <w:pPr>
              <w:pStyle w:val="Compact"/>
            </w:pPr>
            <w:r>
              <w:rPr>
                <w:rFonts w:hint="eastAsia" w:ascii="Times New Roman" w:hAnsi="Times New Roman" w:eastAsia="游明朝"/>
                <w:sz w:val="18"/>
              </w:rPr>
              <w:t xml:space="preserve">企業名</w:t>
            </w:r>
          </w:p>
        </w:tc>
        <w:tc>
          <w:tcPr/>
          <w:p>
            <w:pPr>
              <w:pStyle w:val="Compact"/>
            </w:pPr>
            <w:r>
              <w:rPr>
                <w:rFonts w:ascii="Times New Roman" w:hAnsi="Times New Roman" w:eastAsia="游明朝"/>
                <w:sz w:val="18"/>
              </w:rPr>
              <w:t xml:space="preserve">Lam Research Corporation</w:t>
            </w:r>
          </w:p>
        </w:tc>
      </w:tr>
      <w:tr>
        <w:tc>
          <w:tcPr/>
          <w:p>
            <w:pPr>
              <w:pStyle w:val="Compact"/>
            </w:pPr>
            <w:r>
              <w:rPr>
                <w:rFonts w:ascii="Times New Roman" w:hAnsi="Times New Roman" w:eastAsia="游明朝"/>
                <w:sz w:val="18"/>
              </w:rPr>
              <w:t xml:space="preserve">セクター</w:t>
            </w:r>
          </w:p>
        </w:tc>
        <w:tc>
          <w:tcPr/>
          <w:p>
            <w:pPr>
              <w:pStyle w:val="Compact"/>
            </w:pPr>
            <w:r>
              <w:rPr>
                <w:rFonts w:hint="eastAsia" w:ascii="Times New Roman" w:hAnsi="Times New Roman" w:eastAsia="游明朝"/>
                <w:sz w:val="18"/>
              </w:rPr>
              <w:t xml:space="preserve">半導体製造装置（前工程）</w:t>
            </w:r>
          </w:p>
        </w:tc>
      </w:tr>
      <w:tr>
        <w:tc>
          <w:tcPr/>
          <w:p>
            <w:pPr>
              <w:pStyle w:val="Compact"/>
            </w:pPr>
            <w:r>
              <w:rPr>
                <w:rFonts w:hint="eastAsia" w:ascii="Times New Roman" w:hAnsi="Times New Roman" w:eastAsia="游明朝"/>
                <w:sz w:val="18"/>
              </w:rPr>
              <w:t xml:space="preserve">設立</w:t>
            </w:r>
          </w:p>
        </w:tc>
        <w:tc>
          <w:tcPr/>
          <w:p>
            <w:pPr>
              <w:pStyle w:val="Compact"/>
            </w:pPr>
            <w:r>
              <w:rPr>
                <w:rFonts w:hint="eastAsia" w:ascii="Times New Roman" w:hAnsi="Times New Roman" w:eastAsia="游明朝"/>
                <w:sz w:val="18"/>
              </w:rPr>
              <w:t xml:space="preserve">1980年</w:t>
            </w:r>
          </w:p>
        </w:tc>
      </w:tr>
      <w:tr>
        <w:tc>
          <w:tcPr/>
          <w:p>
            <w:pPr>
              <w:pStyle w:val="Compact"/>
            </w:pPr>
            <w:r>
              <w:rPr>
                <w:rFonts w:hint="eastAsia" w:ascii="Times New Roman" w:hAnsi="Times New Roman" w:eastAsia="游明朝"/>
                <w:sz w:val="18"/>
              </w:rPr>
              <w:t xml:space="preserve">主要製品</w:t>
            </w:r>
          </w:p>
        </w:tc>
        <w:tc>
          <w:tcPr/>
          <w:p>
            <w:pPr>
              <w:pStyle w:val="Compact"/>
            </w:pPr>
            <w:r>
              <w:rPr>
                <w:rFonts w:hint="eastAsia" w:ascii="Times New Roman" w:hAnsi="Times New Roman" w:eastAsia="游明朝"/>
                <w:sz w:val="18"/>
              </w:rPr>
              <w:t xml:space="preserve">エッチング装置（60%）、成膜装置CVD/ALD（30%）、洗浄装置（10%）</w:t>
            </w:r>
          </w:p>
        </w:tc>
      </w:tr>
      <w:tr>
        <w:tc>
          <w:tcPr/>
          <w:p>
            <w:pPr>
              <w:pStyle w:val="Compact"/>
            </w:pPr>
            <w:r>
              <w:rPr>
                <w:rFonts w:hint="eastAsia" w:ascii="Times New Roman" w:hAnsi="Times New Roman" w:eastAsia="游明朝"/>
                <w:sz w:val="18"/>
              </w:rPr>
              <w:t xml:space="preserve">売上構成</w:t>
            </w:r>
          </w:p>
        </w:tc>
        <w:tc>
          <w:tcPr/>
          <w:p>
            <w:pPr>
              <w:pStyle w:val="Compact"/>
            </w:pPr>
            <w:r>
              <w:rPr>
                <w:rFonts w:hint="eastAsia" w:ascii="Times New Roman" w:hAnsi="Times New Roman" w:eastAsia="游明朝"/>
                <w:sz w:val="18"/>
              </w:rPr>
              <w:t xml:space="preserve">装置67%、サービス(CSBG)33%</w:t>
            </w:r>
          </w:p>
        </w:tc>
      </w:tr>
      <w:tr>
        <w:tc>
          <w:tcPr/>
          <w:p>
            <w:pPr>
              <w:pStyle w:val="Compact"/>
            </w:pPr>
            <w:r>
              <w:rPr>
                <w:rFonts w:ascii="Times New Roman" w:hAnsi="Times New Roman" w:eastAsia="游明朝"/>
                <w:sz w:val="18"/>
              </w:rPr>
              <w:t xml:space="preserve">エンドマーケット</w:t>
            </w:r>
          </w:p>
        </w:tc>
        <w:tc>
          <w:tcPr/>
          <w:p>
            <w:pPr>
              <w:pStyle w:val="Compact"/>
            </w:pPr>
            <w:r>
              <w:rPr>
                <w:rFonts w:ascii="Times New Roman" w:hAnsi="Times New Roman" w:eastAsia="游明朝"/>
                <w:sz w:val="18"/>
              </w:rPr>
              <w:t xml:space="preserve">メモリ45%(NAND20%/DRAM25%)、ファウンドリ45%、ロジック10%</w:t>
            </w:r>
          </w:p>
        </w:tc>
      </w:tr>
      <w:tr>
        <w:tc>
          <w:tcPr/>
          <w:p>
            <w:pPr>
              <w:pStyle w:val="Compact"/>
            </w:pPr>
            <w:r>
              <w:rPr>
                <w:rFonts w:hint="eastAsia" w:ascii="Times New Roman" w:hAnsi="Times New Roman" w:eastAsia="游明朝"/>
                <w:sz w:val="18"/>
              </w:rPr>
              <w:t xml:space="preserve">WFE市場シェア</w:t>
            </w:r>
          </w:p>
        </w:tc>
        <w:tc>
          <w:tcPr/>
          <w:p>
            <w:pPr>
              <w:pStyle w:val="Compact"/>
            </w:pPr>
            <w:r>
              <w:rPr>
                <w:rFonts w:hint="eastAsia" w:ascii="Times New Roman" w:hAnsi="Times New Roman" w:eastAsia="游明朝"/>
                <w:sz w:val="18"/>
              </w:rPr>
              <w:t xml:space="preserve">11.8%（世界3位、ASML/AMATに次ぐ）</w:t>
            </w:r>
          </w:p>
        </w:tc>
      </w:tr>
      <w:tr>
        <w:tc>
          <w:tcPr/>
          <w:p>
            <w:pPr>
              <w:pStyle w:val="Compact"/>
            </w:pPr>
            <w:r>
              <w:rPr>
                <w:rFonts w:hint="eastAsia" w:ascii="Times New Roman" w:hAnsi="Times New Roman" w:eastAsia="游明朝"/>
                <w:sz w:val="18"/>
              </w:rPr>
              <w:t xml:space="preserve">直近業績</w:t>
            </w:r>
          </w:p>
        </w:tc>
        <w:tc>
          <w:tcPr/>
          <w:p>
            <w:pPr>
              <w:pStyle w:val="Compact"/>
            </w:pPr>
            <w:r>
              <w:rPr>
                <w:rFonts w:ascii="Times New Roman" w:hAnsi="Times New Roman" w:eastAsia="游明朝"/>
                <w:sz w:val="18"/>
              </w:rPr>
              <w:t xml:space="preserve">Q2 FY26: Revenue $5.34B, GPM 49.6%, OPM 33.9%, EPS $1.26</w:t>
            </w:r>
          </w:p>
        </w:tc>
      </w:tr>
      <w:tr>
        <w:tc>
          <w:tcPr/>
          <w:p>
            <w:pPr>
              <w:pStyle w:val="Compact"/>
            </w:pPr>
            <w:r>
              <w:rPr>
                <w:rFonts w:hint="eastAsia" w:ascii="Times New Roman" w:hAnsi="Times New Roman" w:eastAsia="游明朝"/>
                <w:sz w:val="18"/>
              </w:rPr>
              <w:t xml:space="preserve">アナリスト判断</w:t>
            </w:r>
          </w:p>
        </w:tc>
        <w:tc>
          <w:tcPr/>
          <w:p>
            <w:pPr>
              <w:pStyle w:val="Compact"/>
            </w:pPr>
            <w:r>
              <w:rPr>
                <w:rFonts w:hint="eastAsia" w:ascii="Times New Roman" w:hAnsi="Times New Roman" w:eastAsia="游明朝"/>
                <w:sz w:val="18"/>
              </w:rPr>
              <w:t xml:space="preserve">SELL（2024/06～）。EPS</w:t>
            </w:r>
            <w:r>
              <w:rPr>
                <w:rFonts w:ascii="Times New Roman" w:hAnsi="Times New Roman" w:eastAsia="游明朝"/>
                <w:sz w:val="18"/>
              </w:rPr>
              <w:t xml:space="preserve"> CAGR </w:t>
            </w:r>
            <w:r>
              <w:rPr>
                <w:rFonts w:hint="eastAsia" w:ascii="Times New Roman" w:hAnsi="Times New Roman" w:eastAsia="游明朝"/>
                <w:sz w:val="18"/>
              </w:rPr>
              <w:t xml:space="preserve">+11%（売上+8%,</w:t>
            </w:r>
            <w:r>
              <w:rPr>
                <w:rFonts w:ascii="Times New Roman" w:hAnsi="Times New Roman" w:eastAsia="游明朝"/>
                <w:sz w:val="18"/>
              </w:rPr>
              <w:t xml:space="preserve"> </w:t>
            </w:r>
            <w:r>
              <w:rPr>
                <w:rFonts w:hint="eastAsia" w:ascii="Times New Roman" w:hAnsi="Times New Roman" w:eastAsia="游明朝"/>
                <w:sz w:val="18"/>
              </w:rPr>
              <w:t xml:space="preserve">Buyback+3%）</w:t>
            </w:r>
          </w:p>
        </w:tc>
      </w:tr>
    </w:tbl>
    <w:p>
      <w:r>
        <w:pict>
          <v:rect style="width:0;height:1.5pt" o:hralign="center" o:hrstd="t" o:hr="t"/>
        </w:pict>
      </w:r>
    </w:p>
    <w:bookmarkEnd w:id="9"/>
    <w:bookmarkStart w:id="10"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3D </w:t>
            </w:r>
            <w:r>
              <w:rPr>
                <w:rFonts w:hint="eastAsia" w:ascii="Times New Roman" w:hAnsi="Times New Roman" w:eastAsia="游明朝"/>
                <w:sz w:val="18"/>
              </w:rPr>
              <w:t xml:space="preserve">NANDドライエッチング技術的独占ポジション</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TEL本格浸透時50%低下リスク]</w:t>
            </w:r>
          </w:p>
        </w:tc>
        <w:tc>
          <w:tcPr/>
          <w:p>
            <w:pPr>
              <w:pStyle w:val="Compact"/>
            </w:pPr>
            <w:r>
              <w:rPr>
                <w:rFonts w:ascii="Times New Roman" w:hAnsi="Times New Roman" w:eastAsia="游明朝"/>
                <w:sz w:val="18"/>
              </w:rPr>
              <w:t xml:space="preserve">シェア~100%, Cryo 3.0, TSV 100%</w:t>
            </w:r>
          </w:p>
        </w:tc>
        <w:tc>
          <w:tcPr/>
          <w:p>
            <w:pPr>
              <w:pStyle w:val="Compact"/>
            </w:pPr>
            <w:r>
              <w:rPr>
                <w:rFonts w:hint="eastAsia" w:ascii="Times New Roman" w:hAnsi="Times New Roman" w:eastAsia="游明朝"/>
                <w:sz w:val="18"/>
              </w:rPr>
              <w:t xml:space="preserve">TEL参入,</w:t>
            </w:r>
            <w:r>
              <w:rPr>
                <w:rFonts w:ascii="Times New Roman" w:hAnsi="Times New Roman" w:eastAsia="游明朝"/>
                <w:sz w:val="18"/>
              </w:rPr>
              <w:t xml:space="preserve"> </w:t>
            </w:r>
            <w:r>
              <w:rPr>
                <w:rFonts w:hint="eastAsia" w:ascii="Times New Roman" w:hAnsi="Times New Roman" w:eastAsia="游明朝"/>
                <w:sz w:val="18"/>
              </w:rPr>
              <w:t xml:space="preserve">AMAT攻勢,</w:t>
            </w:r>
            <w:r>
              <w:rPr>
                <w:rFonts w:ascii="Times New Roman" w:hAnsi="Times New Roman" w:eastAsia="游明朝"/>
                <w:sz w:val="18"/>
              </w:rPr>
              <w:t xml:space="preserve"> High-NA EUV</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半導体前工程インテンシティ上昇恩恵</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70%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#6との二重カウントリスク注記]</w:t>
            </w:r>
          </w:p>
        </w:tc>
        <w:tc>
          <w:tcPr/>
          <w:p>
            <w:pPr>
              <w:pStyle w:val="Compact"/>
            </w:pPr>
            <w:r>
              <w:rPr>
                <w:rFonts w:ascii="Times New Roman" w:hAnsi="Times New Roman" w:eastAsia="游明朝"/>
                <w:sz w:val="18"/>
              </w:rPr>
              <w:t xml:space="preserve">Content per chip +20%yoy, </w:t>
            </w:r>
            <w:r>
              <w:rPr>
                <w:rFonts w:hint="eastAsia" w:ascii="Times New Roman" w:hAnsi="Times New Roman" w:eastAsia="游明朝"/>
                <w:sz w:val="18"/>
              </w:rPr>
              <w:t xml:space="preserve">3D化</w:t>
            </w:r>
          </w:p>
        </w:tc>
        <w:tc>
          <w:tcPr/>
          <w:p>
            <w:pPr>
              <w:pStyle w:val="Compact"/>
            </w:pPr>
            <w:r>
              <w:rPr>
                <w:rFonts w:hint="eastAsia" w:ascii="Times New Roman" w:hAnsi="Times New Roman" w:eastAsia="游明朝"/>
                <w:sz w:val="18"/>
              </w:rPr>
              <w:t xml:space="preserve">SPE全般恩恵,</w:t>
            </w:r>
            <w:r>
              <w:rPr>
                <w:rFonts w:ascii="Times New Roman" w:hAnsi="Times New Roman" w:eastAsia="游明朝"/>
                <w:sz w:val="18"/>
              </w:rPr>
              <w:t xml:space="preserve"> </w:t>
            </w:r>
            <w:r>
              <w:rPr>
                <w:rFonts w:hint="eastAsia" w:ascii="Times New Roman" w:hAnsi="Times New Roman" w:eastAsia="游明朝"/>
                <w:sz w:val="18"/>
              </w:rPr>
              <w:t xml:space="preserve">差別化不十分</w:t>
            </w:r>
          </w:p>
        </w:tc>
      </w:tr>
      <w:tr>
        <w:tc>
          <w:tcPr/>
          <w:p>
            <w:pPr>
              <w:pStyle w:val="Compact"/>
            </w:pPr>
            <w:r>
              <w:rPr>
                <w:rFonts w:ascii="Times New Roman" w:hAnsi="Times New Roman" w:eastAsia="游明朝"/>
                <w:sz w:val="18"/>
              </w:rPr>
              <w:t xml:space="preserve">3</w:t>
            </w:r>
          </w:p>
        </w:tc>
        <w:tc>
          <w:tcPr/>
          <w:p>
            <w:pPr>
              <w:pStyle w:val="Compact"/>
            </w:pPr>
            <w:r>
              <w:rPr>
                <w:rFonts w:ascii="Times New Roman" w:hAnsi="Times New Roman" w:eastAsia="游明朝"/>
                <w:sz w:val="18"/>
              </w:rPr>
              <w:t xml:space="preserve">Installed </w:t>
            </w:r>
            <w:r>
              <w:rPr>
                <w:rFonts w:hint="eastAsia" w:ascii="Times New Roman" w:hAnsi="Times New Roman" w:eastAsia="游明朝"/>
                <w:sz w:val="18"/>
              </w:rPr>
              <w:t xml:space="preserve">Base(84K台)データFB+サービス基盤</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「安定収入源」表現を修正]</w:t>
            </w:r>
          </w:p>
        </w:tc>
        <w:tc>
          <w:tcPr/>
          <w:p>
            <w:pPr>
              <w:pStyle w:val="Compact"/>
            </w:pPr>
            <w:r>
              <w:rPr>
                <w:rFonts w:hint="eastAsia" w:ascii="Times New Roman" w:hAnsi="Times New Roman" w:eastAsia="游明朝"/>
                <w:sz w:val="18"/>
              </w:rPr>
              <w:t xml:space="preserve">84,000台(+30%),</w:t>
            </w:r>
            <w:r>
              <w:rPr>
                <w:rFonts w:ascii="Times New Roman" w:hAnsi="Times New Roman" w:eastAsia="游明朝"/>
                <w:sz w:val="18"/>
              </w:rPr>
              <w:t xml:space="preserve"> </w:t>
            </w:r>
            <w:r>
              <w:rPr>
                <w:rFonts w:hint="eastAsia" w:ascii="Times New Roman" w:hAnsi="Times New Roman" w:eastAsia="游明朝"/>
                <w:sz w:val="18"/>
              </w:rPr>
              <w:t xml:space="preserve">売上1/3</w:t>
            </w:r>
          </w:p>
        </w:tc>
        <w:tc>
          <w:tcPr/>
          <w:p>
            <w:pPr>
              <w:pStyle w:val="Compact"/>
            </w:pPr>
            <w:r>
              <w:rPr>
                <w:rFonts w:hint="eastAsia" w:ascii="Times New Roman" w:hAnsi="Times New Roman" w:eastAsia="游明朝"/>
                <w:sz w:val="18"/>
              </w:rPr>
              <w:t xml:space="preserve">ダウンサイクル減収実績,</w:t>
            </w:r>
            <w:r>
              <w:rPr>
                <w:rFonts w:ascii="Times New Roman" w:hAnsi="Times New Roman" w:eastAsia="游明朝"/>
                <w:sz w:val="18"/>
              </w:rPr>
              <w:t xml:space="preserve"> </w:t>
            </w:r>
            <w:r>
              <w:rPr>
                <w:rFonts w:hint="eastAsia" w:ascii="Times New Roman" w:hAnsi="Times New Roman" w:eastAsia="游明朝"/>
                <w:sz w:val="18"/>
              </w:rPr>
              <w:t xml:space="preserve">競合類似</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スイッチングコスト（装置移行コスト）</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双方向アノテーション追加]</w:t>
            </w:r>
          </w:p>
        </w:tc>
        <w:tc>
          <w:tcPr/>
          <w:p>
            <w:pPr>
              <w:pStyle w:val="Compact"/>
            </w:pPr>
            <w:r>
              <w:rPr>
                <w:rFonts w:ascii="Times New Roman" w:hAnsi="Times New Roman" w:eastAsia="游明朝"/>
                <w:sz w:val="18"/>
              </w:rPr>
              <w:t xml:space="preserve">IR </w:t>
            </w:r>
            <w:r>
              <w:rPr>
                <w:rFonts w:hint="eastAsia" w:ascii="Times New Roman" w:hAnsi="Times New Roman" w:eastAsia="游明朝"/>
                <w:sz w:val="18"/>
              </w:rPr>
              <w:t xml:space="preserve">VP発言,</w:t>
            </w:r>
            <w:r>
              <w:rPr>
                <w:rFonts w:ascii="Times New Roman" w:hAnsi="Times New Roman" w:eastAsia="游明朝"/>
                <w:sz w:val="18"/>
              </w:rPr>
              <w:t xml:space="preserve"> </w:t>
            </w:r>
            <w:r>
              <w:rPr>
                <w:rFonts w:hint="eastAsia" w:ascii="Times New Roman" w:hAnsi="Times New Roman" w:eastAsia="游明朝"/>
                <w:sz w:val="18"/>
              </w:rPr>
              <w:t xml:space="preserve">アナリスト再評価</w:t>
            </w:r>
          </w:p>
        </w:tc>
        <w:tc>
          <w:tcPr/>
          <w:p>
            <w:pPr>
              <w:pStyle w:val="Compact"/>
            </w:pPr>
            <w:r>
              <w:rPr>
                <w:rFonts w:hint="eastAsia" w:ascii="Times New Roman" w:hAnsi="Times New Roman" w:eastAsia="游明朝"/>
                <w:sz w:val="18"/>
              </w:rPr>
              <w:t xml:space="preserve">定量裏付けなし</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R&amp;D投資力と技術開発能力</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R&amp;D/売上~10%,</w:t>
            </w:r>
            <w:r>
              <w:rPr>
                <w:rFonts w:ascii="Times New Roman" w:hAnsi="Times New Roman" w:eastAsia="游明朝"/>
                <w:sz w:val="18"/>
              </w:rPr>
              <w:t xml:space="preserve"> </w:t>
            </w:r>
            <w:r>
              <w:rPr>
                <w:rFonts w:hint="eastAsia" w:ascii="Times New Roman" w:hAnsi="Times New Roman" w:eastAsia="游明朝"/>
                <w:sz w:val="18"/>
              </w:rPr>
              <w:t xml:space="preserve">28%従事</w:t>
            </w:r>
          </w:p>
        </w:tc>
        <w:tc>
          <w:tcPr/>
          <w:p>
            <w:pPr>
              <w:pStyle w:val="Compact"/>
            </w:pPr>
            <w:r>
              <w:rPr>
                <w:rFonts w:hint="eastAsia" w:ascii="Times New Roman" w:hAnsi="Times New Roman" w:eastAsia="游明朝"/>
                <w:sz w:val="18"/>
              </w:rPr>
              <w:t xml:space="preserve">TEL/AMAT対比R&amp;D規模劣位</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エッチング市場高シェア（60%）</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#1の結果指標として位置づけ明確化]</w:t>
            </w:r>
          </w:p>
        </w:tc>
        <w:tc>
          <w:tcPr/>
          <w:p>
            <w:pPr>
              <w:pStyle w:val="Compact"/>
            </w:pPr>
            <w:r>
              <w:rPr>
                <w:rFonts w:ascii="Times New Roman" w:hAnsi="Times New Roman" w:eastAsia="游明朝"/>
                <w:sz w:val="18"/>
              </w:rPr>
              <w:t xml:space="preserve">シェア60%, </w:t>
            </w:r>
            <w:r>
              <w:rPr>
                <w:rFonts w:hint="eastAsia" w:ascii="Times New Roman" w:hAnsi="Times New Roman" w:eastAsia="游明朝"/>
                <w:sz w:val="18"/>
              </w:rPr>
              <w:t xml:space="preserve">20年で+15%</w:t>
            </w:r>
          </w:p>
        </w:tc>
        <w:tc>
          <w:tcPr/>
          <w:p>
            <w:pPr>
              <w:pStyle w:val="Compact"/>
            </w:pPr>
            <w:r>
              <w:rPr>
                <w:rFonts w:hint="eastAsia" w:ascii="Times New Roman" w:hAnsi="Times New Roman" w:eastAsia="游明朝"/>
                <w:sz w:val="18"/>
              </w:rPr>
              <w:t xml:space="preserve">シェア=結果,</w:t>
            </w:r>
            <w:r>
              <w:rPr>
                <w:rFonts w:ascii="Times New Roman" w:hAnsi="Times New Roman" w:eastAsia="游明朝"/>
                <w:sz w:val="18"/>
              </w:rPr>
              <w:t xml:space="preserve"> </w:t>
            </w:r>
            <w:r>
              <w:rPr>
                <w:rFonts w:hint="eastAsia" w:ascii="Times New Roman" w:hAnsi="Times New Roman" w:eastAsia="游明朝"/>
                <w:sz w:val="18"/>
              </w:rPr>
              <w:t xml:space="preserve">ロス▲1%織込</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FCF還元方針と自社株買い</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FCF還元75-100%,</w:t>
            </w:r>
            <w:r>
              <w:rPr>
                <w:rFonts w:ascii="Times New Roman" w:hAnsi="Times New Roman" w:eastAsia="游明朝"/>
                <w:sz w:val="18"/>
              </w:rPr>
              <w:t xml:space="preserve"> </w:t>
            </w:r>
            <w:r>
              <w:rPr>
                <w:rFonts w:hint="eastAsia" w:ascii="Times New Roman" w:hAnsi="Times New Roman" w:eastAsia="游明朝"/>
                <w:sz w:val="18"/>
              </w:rPr>
              <w:t xml:space="preserve">+3%/年</w:t>
            </w:r>
          </w:p>
        </w:tc>
        <w:tc>
          <w:tcPr/>
          <w:p>
            <w:pPr>
              <w:pStyle w:val="Compact"/>
            </w:pPr>
            <w:r>
              <w:rPr>
                <w:rFonts w:hint="eastAsia" w:ascii="Times New Roman" w:hAnsi="Times New Roman" w:eastAsia="游明朝"/>
                <w:sz w:val="18"/>
              </w:rPr>
              <w:t xml:space="preserve">戦略≠優位性</w:t>
            </w:r>
          </w:p>
        </w:tc>
      </w:tr>
    </w:tbl>
    <w:p>
      <w:pPr>
        <w:pStyle w:val="BodyText"/>
      </w:pPr>
      <w:r>
        <w:rPr>
          <w:rFonts w:hint="eastAsia"/>
          <w:b/>
          <w:bCs/>
        </w:rPr>
        <w:t xml:space="preserve">平均CA確信度</w:t>
      </w:r>
      <w:r>
        <w:t xml:space="preserve">: 47% |</w:t>
      </w:r>
      <w:r>
        <w:t xml:space="preserve"> </w:t>
      </w:r>
      <w:r>
        <w:rPr>
          <w:rFonts w:hint="eastAsia"/>
          <w:b/>
          <w:bCs/>
        </w:rPr>
        <w:t xml:space="preserve">平均CAGR確信度</w:t>
      </w:r>
      <w:r>
        <w:t xml:space="preserve">: 59%</w:t>
      </w:r>
    </w:p>
    <w:p>
      <w:pPr>
        <w:pStyle w:val="BodyText"/>
      </w:pPr>
      <w:r>
        <w:t xml:space="preserve">※ </w:t>
      </w:r>
      <w:r>
        <w:rPr>
          <w:rFonts w:hint="eastAsia"/>
        </w:rPr>
        <w:t xml:space="preserve">T8修正で</w:t>
      </w:r>
      <w:r>
        <w:t xml:space="preserve"> confidence </w:t>
      </w:r>
      <w:r>
        <w:rPr>
          <w:rFonts w:hint="eastAsia"/>
        </w:rPr>
        <w:t xml:space="preserve">が変更された主張は</w:t>
      </w:r>
      <w:r>
        <w:t xml:space="preserve"> </w:t>
      </w:r>
      <w:r>
        <w:rPr>
          <w:rStyle w:val="VerbatimChar"/>
          <w:rFonts w:hint="eastAsia"/>
        </w:rPr>
        <w:t xml:space="preserve">[T8修正]</w:t>
      </w:r>
      <w:r>
        <w:t xml:space="preserve"> </w:t>
      </w:r>
      <w:r>
        <w:rPr>
          <w:rFonts w:hint="eastAsia"/>
        </w:rPr>
        <w:t xml:space="preserve">を付記</w:t>
      </w:r>
      <w:r>
        <w:t xml:space="preserve"> </w:t>
      </w:r>
      <w:r>
        <w:t xml:space="preserve">※ confidence </w:t>
      </w:r>
      <w:r>
        <w:rPr>
          <w:rFonts w:hint="eastAsia"/>
        </w:rPr>
        <w:t xml:space="preserve">値自体は変更なしだがアノテーション追加のみの場合も</w:t>
      </w:r>
      <w:r>
        <w:t xml:space="preserve"> </w:t>
      </w:r>
      <w:r>
        <w:rPr>
          <w:rStyle w:val="VerbatimChar"/>
          <w:rFonts w:hint="eastAsia"/>
        </w:rPr>
        <w:t xml:space="preserve">[T8修正]</w:t>
      </w:r>
      <w:r>
        <w:t xml:space="preserve"> </w:t>
      </w:r>
      <w:r>
        <w:rPr>
          <w:rFonts w:hint="eastAsia"/>
        </w:rPr>
        <w:t xml:space="preserve">を付記</w:t>
      </w:r>
    </w:p>
    <w:p>
      <w:r>
        <w:pict>
          <v:rect style="width:0;height:1.5pt" o:hralign="center" o:hrstd="t" o:hr="t"/>
        </w:pict>
      </w:r>
    </w:p>
    <w:bookmarkEnd w:id="10"/>
    <w:bookmarkStart w:id="25" w:name="主張別詳細評価"/>
    <w:p>
      <w:pPr>
        <w:pStyle w:val="Heading2"/>
      </w:pPr>
      <w:r>
        <w:t xml:space="preserve">3. </w:t>
      </w:r>
      <w:r>
        <w:rPr>
          <w:rFonts w:hint="eastAsia"/>
        </w:rPr>
        <w:t xml:space="preserve">主張別詳細評価</w:t>
      </w:r>
    </w:p>
    <w:p>
      <w:r>
        <w:pict>
          <v:rect style="width:0;height:1.5pt" o:hralign="center" o:hrstd="t" o:hr="t"/>
        </w:pict>
      </w:r>
    </w:p>
    <w:bookmarkStart w:id="12" w:name="主張-1-3d-nandドライエッチング深孔エッチングでの技術的独占ポジション"/>
    <w:p>
      <w:pPr>
        <w:pStyle w:val="Heading3"/>
      </w:pPr>
      <w:r>
        <w:rPr>
          <w:rFonts w:hint="eastAsia"/>
        </w:rPr>
        <w:t xml:space="preserve">主張</w:t>
      </w:r>
      <w:r>
        <w:t xml:space="preserve"> #1: 3D </w:t>
      </w:r>
      <w:r>
        <w:rPr>
          <w:rFonts w:hint="eastAsia"/>
        </w:rPr>
        <w:t xml:space="preserve">NANDドライエッチング（深孔エッチング）での技術的独占ポジション</w:t>
      </w:r>
    </w:p>
    <w:bookmarkStart w:id="11" w:name="ai評価-おおむね納得70-t8修正-cagr条件付きアノテーション追加"/>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[T8修正:</w:t>
      </w:r>
      <w:r>
        <w:t xml:space="preserve"> </w:t>
      </w:r>
      <w:r>
        <w:rPr>
          <w:rFonts w:hint="eastAsia"/>
        </w:rPr>
        <w:t xml:space="preserve">CAGR条件付きアノテーション追加]</w:t>
      </w:r>
    </w:p>
    <w:p>
      <w:pPr>
        <w:pStyle w:val="FirstParagraph"/>
      </w:pPr>
      <w:r>
        <w:t xml:space="preserve">3D </w:t>
      </w:r>
      <w:r>
        <w:rPr>
          <w:rFonts w:hint="eastAsia"/>
        </w:rPr>
        <w:t xml:space="preserve">NANDのチャネルホールエッチング（深孔エッチング）でシェア~100%を独占してきた技術力は、ルール1（能力・仕組み）、ルール2（技術力・市場ポジション）に合致する構造的優位性である。Cryo</w:t>
      </w:r>
      <w:r>
        <w:t xml:space="preserve"> 3.0のProfile deviation </w:t>
      </w:r>
      <w:r>
        <w:rPr>
          <w:rFonts w:hint="eastAsia"/>
        </w:rPr>
        <w:t xml:space="preserve">10nm未満という垂直加工技術、HBM向けTSVでの100%シェアは定量的裏付けも豊富。業界構造（3D</w:t>
      </w:r>
      <w:r>
        <w:t xml:space="preserve"> </w:t>
      </w:r>
      <w:r>
        <w:rPr>
          <w:rFonts w:hint="eastAsia"/>
        </w:rPr>
        <w:t xml:space="preserve">NAND高積層化トレンド）と企業ポジションの合致（ルール11）はORLY#2/5（90%）と類似する構図だが、</w:t>
      </w:r>
      <w:r>
        <w:rPr>
          <w:rFonts w:hint="eastAsia"/>
        </w:rPr>
        <w:t xml:space="preserve">TELクライオエッチャーの参入で100%シェア維持不可との認識がアナリスト自身・Lam経営陣双方から表明されている</w:t>
      </w:r>
      <w:r>
        <w:rPr>
          <w:rFonts w:hint="eastAsia"/>
        </w:rPr>
        <w:t xml:space="preserve">点が90%に達しない理由。</w:t>
      </w:r>
    </w:p>
    <w:p>
      <w:pPr>
        <w:pStyle w:val="BodyText"/>
      </w:pPr>
      <w:r>
        <w:rPr>
          <w:rFonts w:hint="eastAsia"/>
          <w:b/>
          <w:bCs/>
        </w:rPr>
        <w:t xml:space="preserve">納得できる点</w:t>
      </w:r>
      <w:r>
        <w:t xml:space="preserve">: 3D </w:t>
      </w:r>
      <w:r>
        <w:rPr>
          <w:rFonts w:hint="eastAsia"/>
        </w:rPr>
        <w:t xml:space="preserve">NAND深孔エッチングでの技術蓄積は20年超。2010年代後半のNAND</w:t>
      </w:r>
      <w:r>
        <w:t xml:space="preserve"> </w:t>
      </w:r>
      <w:r>
        <w:rPr>
          <w:rFonts w:hint="eastAsia"/>
        </w:rPr>
        <w:t xml:space="preserve">3D化転換でLamが躍進した歴史的実績。1on1取材（2025/08）でのIR</w:t>
      </w:r>
      <w:r>
        <w:t xml:space="preserve"> </w:t>
      </w:r>
      <w:r>
        <w:rPr>
          <w:rFonts w:hint="eastAsia"/>
        </w:rPr>
        <w:t xml:space="preserve">VP発言も具体的（クライオ3.0</w:t>
      </w:r>
      <w:r>
        <w:t xml:space="preserve"> vs </w:t>
      </w:r>
      <w:r>
        <w:rPr>
          <w:rFonts w:hint="eastAsia"/>
        </w:rPr>
        <w:t xml:space="preserve">TEL、顧客のスイッチングコスト）。</w:t>
      </w:r>
    </w:p>
    <w:p>
      <w:pPr>
        <w:pStyle w:val="BodyText"/>
      </w:pPr>
      <w:r>
        <w:rPr>
          <w:rFonts w:hint="eastAsia"/>
          <w:b/>
          <w:bCs/>
        </w:rPr>
        <w:t xml:space="preserve">懸念点</w:t>
      </w:r>
      <w:r>
        <w:t xml:space="preserve">: </w:t>
      </w:r>
      <w:r>
        <w:rPr>
          <w:rFonts w:hint="eastAsia"/>
        </w:rPr>
        <w:t xml:space="preserve">TELクライオエッチャー2025年投入。AMATが2023年メモリ低迷期にシェア奪取。High-NA</w:t>
      </w:r>
      <w:r>
        <w:t xml:space="preserve"> </w:t>
      </w:r>
      <w:r>
        <w:rPr>
          <w:rFonts w:hint="eastAsia"/>
        </w:rPr>
        <w:t xml:space="preserve">EUVによるエッチングステップ減少。中国ローカルメーカー（AMEC,</w:t>
      </w:r>
      <w:r>
        <w:t xml:space="preserve"> </w:t>
      </w:r>
      <w:r>
        <w:rPr>
          <w:rFonts w:hint="eastAsia"/>
        </w:rPr>
        <w:t xml:space="preserve">NAURA）の台頭。</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(critical): </w:t>
      </w:r>
      <w:r>
        <w:rPr>
          <w:rFonts w:hint="eastAsia"/>
          <w:b/>
          <w:bCs/>
        </w:rPr>
        <w:t xml:space="preserve">独占崩壊リスクのCAGR</w:t>
      </w:r>
      <w:r>
        <w:rPr>
          <w:b/>
          <w:bCs/>
        </w:rPr>
        <w:t xml:space="preserve"> </w:t>
      </w:r>
      <w:r>
        <w:rPr>
          <w:rFonts w:hint="eastAsia"/>
          <w:b/>
          <w:bCs/>
        </w:rPr>
        <w:t xml:space="preserve">confidence未反映</w:t>
      </w:r>
    </w:p>
    <w:p>
      <w:pPr>
        <w:pStyle w:val="BlockText"/>
      </w:pPr>
      <w:r>
        <w:rPr>
          <w:rFonts w:hint="eastAsia"/>
        </w:rPr>
        <w:t xml:space="preserve">Claim#1の70%評価はTELクライオエッチャー参入による100%シェア崩壊を認識しながらも、CAGR</w:t>
      </w:r>
      <w:r>
        <w:t xml:space="preserve"> confidence </w:t>
      </w:r>
      <w:r>
        <w:rPr>
          <w:rFonts w:hint="eastAsia"/>
        </w:rPr>
        <w:t xml:space="preserve">70%はこの「独占崩壊」のインパクトを十分に反映していない。アナリスト自身がシェアロス▲1%を明示的にCAGRに織り込み、Lam経営陣も「幾分のシェアロスはある」と認めている。3D</w:t>
      </w:r>
      <w:r>
        <w:t xml:space="preserve"> </w:t>
      </w:r>
      <w:r>
        <w:rPr>
          <w:rFonts w:hint="eastAsia"/>
        </w:rPr>
        <w:t xml:space="preserve">NAND深孔エッチングの「シェア100%→競争市場化」は、ORLY#2/5（90%→フラグメント市場x規模の安定構造）と質的に異なり、「崩壊途上の独占」は「安定した構造合致」より低い評価が適切。</w:t>
      </w:r>
    </w:p>
    <w:p>
      <w:pPr>
        <w:pStyle w:val="BlockText"/>
      </w:pPr>
      <w:r>
        <w:rPr>
          <w:rFonts w:hint="eastAsia"/>
          <w:b/>
          <w:bCs/>
        </w:rPr>
        <w:t xml:space="preserve">KB参照</w:t>
      </w:r>
      <w:r>
        <w:t xml:space="preserve">: KB3 </w:t>
      </w:r>
      <w:r>
        <w:rPr>
          <w:rFonts w:hint="eastAsia"/>
        </w:rPr>
        <w:t xml:space="preserve">ORLY#2/5（90%）は「フラグメント市場x規模・密度」の安定した構造合致。KB2パターンIV「業界構造x企業ポジション」は構造の安定性を前提とする。KB1ルール11「業界構造と企業ポジションの合致を最も高く評価」も構造の安定性が暗黙の前提。</w:t>
      </w:r>
    </w:p>
    <w:p>
      <w:pPr>
        <w:pStyle w:val="BlockText"/>
      </w:pPr>
      <w:r>
        <w:rPr>
          <w:rFonts w:hint="eastAsia"/>
          <w:b/>
          <w:bCs/>
        </w:rPr>
        <w:t xml:space="preserve">T8の判断</w:t>
      </w:r>
      <w:r>
        <w:t xml:space="preserve">: CA confidence </w:t>
      </w:r>
      <w:r>
        <w:rPr>
          <w:rFonts w:hint="eastAsia"/>
        </w:rPr>
        <w:t xml:space="preserve">70%は維持する。深孔エッチング技術の蓄積（20年超）、Cryo</w:t>
      </w:r>
      <w:r>
        <w:t xml:space="preserve"> </w:t>
      </w:r>
      <w:r>
        <w:rPr>
          <w:rFonts w:hint="eastAsia"/>
        </w:rPr>
        <w:t xml:space="preserve">3.0の優位性、HBM</w:t>
      </w:r>
      <w:r>
        <w:t xml:space="preserve"> </w:t>
      </w:r>
      <w:r>
        <w:rPr>
          <w:rFonts w:hint="eastAsia"/>
        </w:rPr>
        <w:t xml:space="preserve">TSVシェア100%は依然として堅牢な根拠。ただしCAGR</w:t>
      </w:r>
      <w:r>
        <w:t xml:space="preserve"> confidence </w:t>
      </w:r>
      <w:r>
        <w:rPr>
          <w:rFonts w:hint="eastAsia"/>
        </w:rPr>
        <w:t xml:space="preserve">70%に「TELクライオエッチャーが本格浸透した場合（2027年以降）は50%に低下する可能性」という条件付きアノテーションを追加。</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84"/>
        <w:gridCol w:w="1638"/>
        <w:gridCol w:w="1638"/>
        <w:gridCol w:w="2457"/>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適用</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結果</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深孔エッチング技術は能力</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技術力・市場ポジション</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相対優位</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TEL/AMAT対比で際立つ（~100%）</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シェア~100%, Profile deviation </w:t>
            </w:r>
            <w:r>
              <w:rPr>
                <w:rFonts w:hint="eastAsia" w:ascii="Times New Roman" w:hAnsi="Times New Roman" w:eastAsia="游明朝"/>
                <w:sz w:val="18"/>
              </w:rPr>
              <w:t xml:space="preserve">&lt;10nm等</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構造/補完</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構造的。事業の核心</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TEL対比は具体的だが差別化縮小中</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技術独占は能力</w:t>
            </w:r>
          </w:p>
        </w:tc>
      </w:tr>
      <w:tr>
        <w:tc>
          <w:tcPr/>
          <w:p>
            <w:pPr>
              <w:pStyle w:val="Compact"/>
            </w:pPr>
            <w:r>
              <w:rPr>
                <w:rFonts w:ascii="Times New Roman" w:hAnsi="Times New Roman" w:eastAsia="游明朝"/>
                <w:sz w:val="18"/>
              </w:rPr>
              <w:t xml:space="preserve">R10 ネガケース</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「100%維持不可」との自社認識は規律の証明</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3D </w:t>
            </w:r>
            <w:r>
              <w:rPr>
                <w:rFonts w:hint="eastAsia" w:ascii="Times New Roman" w:hAnsi="Times New Roman" w:eastAsia="游明朝"/>
                <w:sz w:val="18"/>
              </w:rPr>
              <w:t xml:space="preserve">NAND高積層化との合致あるが逆風も</w:t>
            </w:r>
          </w:p>
        </w:tc>
      </w:tr>
    </w:tbl>
    <w:p>
      <w:pPr>
        <w:pStyle w:val="BodyText"/>
      </w:pPr>
      <w:r>
        <w:rPr>
          <w:rFonts w:hint="eastAsia"/>
          <w:b/>
          <w:bCs/>
        </w:rPr>
        <w:t xml:space="preserve">検出パターン</w:t>
      </w:r>
      <w:r>
        <w:t xml:space="preserve">: </w:t>
      </w:r>
      <w:r>
        <w:rPr>
          <w:rFonts w:hint="eastAsia"/>
        </w:rPr>
        <w:t xml:space="preserve">IV(業界構造合致),</w:t>
      </w:r>
      <w:r>
        <w:t xml:space="preserve"> </w:t>
      </w:r>
      <w:r>
        <w:rPr>
          <w:rFonts w:hint="eastAsia"/>
        </w:rPr>
        <w:t xml:space="preserve">I(定量裏付け),</w:t>
      </w:r>
      <w:r>
        <w:t xml:space="preserve"> </w:t>
      </w:r>
      <w:r>
        <w:rPr>
          <w:rFonts w:hint="eastAsia"/>
        </w:rPr>
        <w:t xml:space="preserve">V(競合比較)</w:t>
      </w:r>
    </w:p>
    <w:p>
      <w:pPr>
        <w:pStyle w:val="BodyText"/>
      </w:pPr>
      <w:r>
        <w:rPr>
          <w:rFonts w:hint="eastAsia"/>
          <w:b/>
          <w:bCs/>
        </w:rPr>
        <w:t xml:space="preserve">CAGR接続（70%、条件付き）</w:t>
      </w:r>
      <w:r>
        <w:t xml:space="preserve">: 3D </w:t>
      </w:r>
      <w:r>
        <w:rPr>
          <w:rFonts w:hint="eastAsia"/>
        </w:rPr>
        <w:t xml:space="preserve">NAND高積層化</w:t>
      </w:r>
      <w:r>
        <w:t xml:space="preserve"> → </w:t>
      </w:r>
      <w:r>
        <w:rPr>
          <w:rFonts w:hint="eastAsia"/>
        </w:rPr>
        <w:t xml:space="preserve">エッチング工程数増加</w:t>
      </w:r>
      <w:r>
        <w:t xml:space="preserve"> → </w:t>
      </w:r>
      <w:r>
        <w:rPr>
          <w:rFonts w:hint="eastAsia"/>
        </w:rPr>
        <w:t xml:space="preserve">装置台数需要増。1-2ステップの直接的メカニズム。HBM</w:t>
      </w:r>
      <w:r>
        <w:t xml:space="preserve"> TSV 100%シェアは3D </w:t>
      </w:r>
      <w:r>
        <w:rPr>
          <w:rFonts w:hint="eastAsia"/>
        </w:rPr>
        <w:t xml:space="preserve">DRAM化の追い風。ただしHigh-NA</w:t>
      </w:r>
      <w:r>
        <w:t xml:space="preserve"> </w:t>
      </w:r>
      <w:r>
        <w:rPr>
          <w:rFonts w:hint="eastAsia"/>
        </w:rPr>
        <w:t xml:space="preserve">EUV浸透で一部相殺。アナリストのEtch/WFE</w:t>
      </w:r>
      <w:r>
        <w:t xml:space="preserve"> </w:t>
      </w:r>
      <w:r>
        <w:rPr>
          <w:rFonts w:hint="eastAsia"/>
        </w:rPr>
        <w:t xml:space="preserve">flatは逆風織込済み。</w:t>
      </w:r>
      <w:r>
        <w:rPr>
          <w:rFonts w:hint="eastAsia"/>
          <w:b/>
          <w:bCs/>
        </w:rPr>
        <w:t xml:space="preserve">[T8条件]:</w:t>
      </w:r>
      <w:r>
        <w:rPr>
          <w:b/>
          <w:bCs/>
        </w:rPr>
        <w:t xml:space="preserve"> </w:t>
      </w:r>
      <w:r>
        <w:rPr>
          <w:rFonts w:hint="eastAsia"/>
          <w:b/>
          <w:bCs/>
        </w:rPr>
        <w:t xml:space="preserve">TELクライオエッチャーが本格浸透した場合（2027年以降）はCAGR</w:t>
      </w:r>
      <w:r>
        <w:rPr>
          <w:b/>
          <w:bCs/>
        </w:rPr>
        <w:t xml:space="preserve"> confidence </w:t>
      </w:r>
      <w:r>
        <w:rPr>
          <w:rFonts w:hint="eastAsia"/>
          <w:b/>
          <w:bCs/>
        </w:rPr>
        <w:t xml:space="preserve">50%に低下する可能性あり。</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 </w:t>
      </w:r>
      <w:r>
        <w:rPr>
          <w:rFonts w:hint="eastAsia"/>
        </w:rPr>
        <w:t xml:space="preserve">AI評価（T8修正後の最終値）</w:t>
      </w:r>
    </w:p>
    <w:p>
      <w:r>
        <w:pict>
          <v:rect style="width:0;height:1.5pt" o:hralign="center" o:hrstd="t" o:hr="t"/>
        </w:pict>
      </w:r>
    </w:p>
    <w:bookmarkEnd w:id="11"/>
    <w:bookmarkEnd w:id="12"/>
    <w:bookmarkStart w:id="14" w:name="主張-2-半導体前工程における構造的ポジションインテンシティ上昇恩恵"/>
    <w:p>
      <w:pPr>
        <w:pStyle w:val="Heading3"/>
      </w:pPr>
      <w:r>
        <w:rPr>
          <w:rFonts w:hint="eastAsia"/>
        </w:rPr>
        <w:t xml:space="preserve">主張</w:t>
      </w:r>
      <w:r>
        <w:t xml:space="preserve"> #2: </w:t>
      </w:r>
      <w:r>
        <w:rPr>
          <w:rFonts w:hint="eastAsia"/>
        </w:rPr>
        <w:t xml:space="preserve">半導体前工程における構造的ポジション（インテンシティ上昇恩恵）</w:t>
      </w:r>
    </w:p>
    <w:bookmarkStart w:id="13" w:name="ai評価-まあ納得50-t8修正-6との二重カウントリスク注記追加"/>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#6との二重カウントリスク注記追加]</w:t>
      </w:r>
    </w:p>
    <w:p>
      <w:pPr>
        <w:pStyle w:val="FirstParagraph"/>
      </w:pPr>
      <w:r>
        <w:rPr>
          <w:rFonts w:hint="eastAsia"/>
        </w:rPr>
        <w:t xml:space="preserve">半導体製造プロセスの複雑化（3D化、GAA/CFET移行、Content</w:t>
      </w:r>
      <w:r>
        <w:t xml:space="preserve"> per </w:t>
      </w:r>
      <w:r>
        <w:rPr>
          <w:rFonts w:hint="eastAsia"/>
        </w:rPr>
        <w:t xml:space="preserve">chip上昇）によるエッチング・成膜工程のCapital</w:t>
      </w:r>
      <w:r>
        <w:t xml:space="preserve"> </w:t>
      </w:r>
      <w:r>
        <w:rPr>
          <w:rFonts w:hint="eastAsia"/>
        </w:rPr>
        <w:t xml:space="preserve">Intensity上昇は確かにLamにとって追い風だが、</w:t>
      </w:r>
      <w:r>
        <w:rPr>
          <w:rFonts w:hint="eastAsia"/>
        </w:rPr>
        <w:t xml:space="preserve">これはAMAT、TEL、ASMLを含むSPE全般が恩恵を受ける業界トレンドであり、Lam固有の「能力・仕組み」ではない</w:t>
      </w:r>
      <w:r>
        <w:rPr>
          <w:rFonts w:hint="eastAsia"/>
        </w:rPr>
        <w:t xml:space="preserve">。ルール3（相対的優位性）の観点で差別化が不十分。KB3参照:</w:t>
      </w:r>
      <w:r>
        <w:t xml:space="preserve"> </w:t>
      </w:r>
      <w:r>
        <w:rPr>
          <w:rFonts w:hint="eastAsia"/>
        </w:rPr>
        <w:t xml:space="preserve">LLY#6（メガファーマ共通ネットワーク:</w:t>
      </w:r>
      <w:r>
        <w:t xml:space="preserve"> </w:t>
      </w:r>
      <w:r>
        <w:rPr>
          <w:rFonts w:hint="eastAsia"/>
        </w:rPr>
        <w:t xml:space="preserve">30%）と類似構造だが、Lamのエッチング・成膜シェアが高い分、恩恵量は差別化されるため30%よりは高い50%。</w:t>
      </w:r>
    </w:p>
    <w:p>
      <w:pPr>
        <w:pStyle w:val="BodyText"/>
      </w:pPr>
      <w:r>
        <w:rPr>
          <w:rFonts w:hint="eastAsia"/>
          <w:b/>
          <w:bCs/>
        </w:rPr>
        <w:t xml:space="preserve">納得できる点</w:t>
      </w:r>
      <w:r>
        <w:t xml:space="preserve">: Content per chip +20%yoy、3D </w:t>
      </w:r>
      <w:r>
        <w:rPr>
          <w:rFonts w:hint="eastAsia"/>
        </w:rPr>
        <w:t xml:space="preserve">NAND/DRAM高積層化、GAA/CFET移行は長期的なトレンド。半導体需要の構造的成長は堅い。</w:t>
      </w:r>
    </w:p>
    <w:p>
      <w:pPr>
        <w:pStyle w:val="BodyText"/>
      </w:pPr>
      <w:r>
        <w:rPr>
          <w:rFonts w:hint="eastAsia"/>
          <w:b/>
          <w:bCs/>
        </w:rPr>
        <w:t xml:space="preserve">懸念点</w:t>
      </w:r>
      <w:r>
        <w:t xml:space="preserve">: </w:t>
      </w:r>
      <w:r>
        <w:rPr>
          <w:rFonts w:hint="eastAsia"/>
        </w:rPr>
        <w:t xml:space="preserve">SPE全般が受益する業界トレンドであり、Lam固有の競争優位性とは言えない。High-NA</w:t>
      </w:r>
      <w:r>
        <w:t xml:space="preserve"> </w:t>
      </w:r>
      <w:r>
        <w:rPr>
          <w:rFonts w:hint="eastAsia"/>
        </w:rPr>
        <w:t xml:space="preserve">EUVはASMLに有利でLamには逆風。</w:t>
      </w:r>
    </w:p>
    <w:p>
      <w:pPr>
        <w:pStyle w:val="BlockText"/>
      </w:pPr>
      <w:r>
        <w:rPr>
          <w:rFonts w:hint="eastAsia"/>
          <w:b/>
          <w:bCs/>
        </w:rPr>
        <w:t xml:space="preserve">[注2]</w:t>
      </w:r>
      <w:r>
        <w:rPr>
          <w:b/>
          <w:bCs/>
        </w:rPr>
        <w:t xml:space="preserve"> </w:t>
      </w:r>
      <w:r>
        <w:rPr>
          <w:rFonts w:hint="eastAsia"/>
          <w:b/>
          <w:bCs/>
        </w:rPr>
        <w:t xml:space="preserve">T8批判</w:t>
      </w:r>
      <w:r>
        <w:rPr>
          <w:b/>
          <w:bCs/>
        </w:rPr>
        <w:t xml:space="preserve"> (minor): </w:t>
      </w:r>
      <w:r>
        <w:rPr>
          <w:rFonts w:hint="eastAsia"/>
          <w:b/>
          <w:bCs/>
        </w:rPr>
        <w:t xml:space="preserve">LLY#6(30%)との差の根拠不十分・二重カウントリスク</w:t>
      </w:r>
    </w:p>
    <w:p>
      <w:pPr>
        <w:pStyle w:val="BlockText"/>
      </w:pPr>
      <w:r>
        <w:rPr>
          <w:rFonts w:hint="eastAsia"/>
        </w:rPr>
        <w:t xml:space="preserve">Claim#2（インテンシティ上昇恩恵:</w:t>
      </w:r>
      <w:r>
        <w:t xml:space="preserve"> </w:t>
      </w:r>
      <w:r>
        <w:rPr>
          <w:rFonts w:hint="eastAsia"/>
        </w:rPr>
        <w:t xml:space="preserve">50%）はLLY#6（メガファーマ共通ネットワーク:</w:t>
      </w:r>
      <w:r>
        <w:t xml:space="preserve"> </w:t>
      </w:r>
      <w:r>
        <w:rPr>
          <w:rFonts w:hint="eastAsia"/>
        </w:rPr>
        <w:t xml:space="preserve">30%）と「業界共通能力」という点で類似しているが、50%と30%の差の根拠が不十分。「Lamのシェアが高い分、恩恵量は差別化される」という論理は、シェアの高さ（#6で評価済み）との二重カウントに近い。</w:t>
      </w:r>
    </w:p>
    <w:p>
      <w:pPr>
        <w:pStyle w:val="BlockText"/>
      </w:pPr>
      <w:r>
        <w:rPr>
          <w:rFonts w:hint="eastAsia"/>
          <w:b/>
          <w:bCs/>
        </w:rPr>
        <w:t xml:space="preserve">KB参照</w:t>
      </w:r>
      <w:r>
        <w:t xml:space="preserve">: KB3 </w:t>
      </w:r>
      <w:r>
        <w:rPr>
          <w:rFonts w:hint="eastAsia"/>
        </w:rPr>
        <w:t xml:space="preserve">LLY#6（30%）:</w:t>
      </w:r>
      <w:r>
        <w:t xml:space="preserve"> </w:t>
      </w:r>
      <w:r>
        <w:rPr>
          <w:rFonts w:hint="eastAsia"/>
        </w:rPr>
        <w:t xml:space="preserve">「グローバル大手医薬品であればほぼ同等に備わっているネットワーク」。KB1ルール3「相対的優位性を要求」。LRCXの場合、インテンシティ上昇はTEL/AMATも同等に恩恵を受けるため、LLY#6の30%に近い評価が整合的。</w:t>
      </w:r>
    </w:p>
    <w:p>
      <w:pPr>
        <w:pStyle w:val="BlockText"/>
      </w:pPr>
      <w:r>
        <w:rPr>
          <w:rFonts w:hint="eastAsia"/>
          <w:b/>
          <w:bCs/>
        </w:rPr>
        <w:t xml:space="preserve">T8の判断</w:t>
      </w:r>
      <w:r>
        <w:t xml:space="preserve">: CA confidence </w:t>
      </w:r>
      <w:r>
        <w:rPr>
          <w:rFonts w:hint="eastAsia"/>
        </w:rPr>
        <w:t xml:space="preserve">50%を維持するが、「LLY#6(30%)との差は、Lamのエッチングシェア60%による恩恵量の大きさに依存しており、#6との二重カウントのリスクがある」旨を明記。二重カウント排除の厳密な適用では30-40%が適切だが、SPE業界におけるエッチング・成膜のインテンシティ上昇がLamに特に有利に働く構造（成膜+エッチングの両方をカバー）も考慮し50%を維持。</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適用</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結果</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業界トレンド恩恵は受動的</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相対優位</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SPE全般恩恵</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TEL/AMAT差別化不十分</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合致だがLam固有でない</w:t>
            </w:r>
          </w:p>
        </w:tc>
      </w:tr>
    </w:tbl>
    <w:p>
      <w:pPr>
        <w:pStyle w:val="BodyText"/>
      </w:pPr>
      <w:r>
        <w:rPr>
          <w:rFonts w:hint="eastAsia"/>
          <w:b/>
          <w:bCs/>
        </w:rPr>
        <w:t xml:space="preserve">検出パターン</w:t>
      </w:r>
      <w:r>
        <w:t xml:space="preserve">: </w:t>
      </w:r>
      <w:r>
        <w:rPr>
          <w:rFonts w:hint="eastAsia"/>
        </w:rPr>
        <w:t xml:space="preserve">B(業界共通)</w:t>
      </w:r>
    </w:p>
    <w:p>
      <w:pPr>
        <w:pStyle w:val="BodyText"/>
      </w:pPr>
      <w:r>
        <w:rPr>
          <w:rFonts w:hint="eastAsia"/>
          <w:b/>
          <w:bCs/>
        </w:rPr>
        <w:t xml:space="preserve">CAGR接続（70%）</w:t>
      </w:r>
      <w:r>
        <w:t xml:space="preserve">: </w:t>
      </w:r>
      <w:r>
        <w:rPr>
          <w:rFonts w:hint="eastAsia"/>
        </w:rPr>
        <w:t xml:space="preserve">WFE/WSTS比率上昇</w:t>
      </w:r>
      <w:r>
        <w:t xml:space="preserve"> → </w:t>
      </w:r>
      <w:r>
        <w:rPr>
          <w:rFonts w:hint="eastAsia"/>
        </w:rPr>
        <w:t xml:space="preserve">エッチング/成膜のCapital</w:t>
      </w:r>
      <w:r>
        <w:t xml:space="preserve"> </w:t>
      </w:r>
      <w:r>
        <w:rPr>
          <w:rFonts w:hint="eastAsia"/>
        </w:rPr>
        <w:t xml:space="preserve">Intensity上昇</w:t>
      </w:r>
      <w:r>
        <w:t xml:space="preserve"> → </w:t>
      </w:r>
      <w:r>
        <w:rPr>
          <w:rFonts w:hint="eastAsia"/>
        </w:rPr>
        <w:t xml:space="preserve">Lam売上がWFE成長を上回る。アナリストのWFE/WSTS</w:t>
      </w:r>
      <w:r>
        <w:t xml:space="preserve"> </w:t>
      </w:r>
      <w:r>
        <w:rPr>
          <w:rFonts w:hint="eastAsia"/>
        </w:rPr>
        <w:t xml:space="preserve">+1%は具体的。メカニズムは明確だがLam固有の貢献は不明確。</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 </w:t>
      </w:r>
      <w:r>
        <w:rPr>
          <w:rFonts w:hint="eastAsia"/>
        </w:rPr>
        <w:t xml:space="preserve">AI評価（T8修正後の最終値）</w:t>
      </w:r>
    </w:p>
    <w:p>
      <w:r>
        <w:pict>
          <v:rect style="width:0;height:1.5pt" o:hralign="center" o:hrstd="t" o:hr="t"/>
        </w:pict>
      </w:r>
    </w:p>
    <w:bookmarkEnd w:id="13"/>
    <w:bookmarkEnd w:id="14"/>
    <w:bookmarkStart w:id="16" w:name="Xe4d53917cf8bb976e0b3c6e2a668e7d12c1a32e"/>
    <w:p>
      <w:pPr>
        <w:pStyle w:val="Heading3"/>
      </w:pPr>
      <w:r>
        <w:rPr>
          <w:rFonts w:hint="eastAsia"/>
        </w:rPr>
        <w:t xml:space="preserve">主張</w:t>
      </w:r>
      <w:r>
        <w:t xml:space="preserve"> #3: Installed </w:t>
      </w:r>
      <w:r>
        <w:rPr>
          <w:rFonts w:hint="eastAsia"/>
        </w:rPr>
        <w:t xml:space="preserve">Base（84,000台超）からのデータフィードバックとサービス基盤</w:t>
      </w:r>
    </w:p>
    <w:bookmarkStart w:id="15" w:name="ai評価-まあ納得50-t8修正-安定収入源表現を修正"/>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「安定収入源」表現を修正]</w:t>
      </w:r>
    </w:p>
    <w:p>
      <w:pPr>
        <w:pStyle w:val="FirstParagraph"/>
      </w:pPr>
      <w:r>
        <w:t xml:space="preserve">Installed Base </w:t>
      </w:r>
      <w:r>
        <w:rPr>
          <w:rFonts w:hint="eastAsia"/>
        </w:rPr>
        <w:t xml:space="preserve">84,000台（2019年から+30%以上）からのデータフィードバックループは「仕組み」として成立（ルール1）し、定量裏付けもある（ルール4）。しかし、</w:t>
      </w:r>
      <w:r>
        <w:rPr>
          <w:rFonts w:hint="eastAsia"/>
        </w:rPr>
        <w:t xml:space="preserve">ダウンサイクル（2023年Q4FY）でサービス売上も減収した実績があり、サイクル変動を伴う収入源であることが実証済み</w:t>
      </w:r>
      <w:r>
        <w:rPr>
          <w:rFonts w:hint="eastAsia"/>
        </w:rPr>
        <w:t xml:space="preserve">。また、AMAT/TELも同様のInstalled</w:t>
      </w:r>
      <w:r>
        <w:t xml:space="preserve"> </w:t>
      </w:r>
      <w:r>
        <w:rPr>
          <w:rFonts w:hint="eastAsia"/>
        </w:rPr>
        <w:t xml:space="preserve">Baseサービスを展開しており、純粋競合対比の差別化が不十分（ルール7）。KB3参照:</w:t>
      </w:r>
      <w:r>
        <w:t xml:space="preserve"> </w:t>
      </w:r>
      <w:r>
        <w:rPr>
          <w:rFonts w:hint="eastAsia"/>
        </w:rPr>
        <w:t xml:space="preserve">COST#3（倉庫型モデル:</w:t>
      </w:r>
      <w:r>
        <w:t xml:space="preserve"> </w:t>
      </w:r>
      <w:r>
        <w:rPr>
          <w:rFonts w:hint="eastAsia"/>
        </w:rPr>
        <w:t xml:space="preserve">50%）と類似。</w:t>
      </w:r>
    </w:p>
    <w:p>
      <w:pPr>
        <w:pStyle w:val="BodyText"/>
      </w:pPr>
      <w:r>
        <w:rPr>
          <w:rFonts w:hint="eastAsia"/>
          <w:b/>
          <w:bCs/>
        </w:rPr>
        <w:t xml:space="preserve">納得できる点</w:t>
      </w:r>
      <w:r>
        <w:t xml:space="preserve">: </w:t>
      </w:r>
      <w:r>
        <w:rPr>
          <w:rFonts w:hint="eastAsia"/>
        </w:rPr>
        <w:t xml:space="preserve">84,000台のInstalled</w:t>
      </w:r>
      <w:r>
        <w:t xml:space="preserve"> </w:t>
      </w:r>
      <w:r>
        <w:rPr>
          <w:rFonts w:hint="eastAsia"/>
        </w:rPr>
        <w:t xml:space="preserve">Baseは物理的に存在し、サービス機会は明確。データフィードバック→次世代製品改善のメカニズムは合理的。</w:t>
      </w:r>
    </w:p>
    <w:p>
      <w:pPr>
        <w:pStyle w:val="BodyText"/>
      </w:pPr>
      <w:r>
        <w:rPr>
          <w:rFonts w:hint="eastAsia"/>
          <w:b/>
          <w:bCs/>
        </w:rPr>
        <w:t xml:space="preserve">懸念点</w:t>
      </w:r>
      <w:r>
        <w:t xml:space="preserve">: </w:t>
      </w:r>
      <w:r>
        <w:rPr>
          <w:rFonts w:hint="eastAsia"/>
        </w:rPr>
        <w:t xml:space="preserve">ダウンサイクルで減収実績。AMAT/TELも同等サービス。サイクル変動はあるがInstalled</w:t>
      </w:r>
      <w:r>
        <w:t xml:space="preserve"> </w:t>
      </w:r>
      <w:r>
        <w:rPr>
          <w:rFonts w:hint="eastAsia"/>
        </w:rPr>
        <w:t xml:space="preserve">Base増加に伴う中長期成長基盤としての期待。</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w:t>
      </w:r>
      <w:r>
        <w:rPr>
          <w:rFonts w:hint="eastAsia"/>
          <w:b/>
          <w:bCs/>
        </w:rPr>
        <w:t xml:space="preserve">「安定収入源」表現とダウンサイクル実績の矛盾</w:t>
      </w:r>
    </w:p>
    <w:p>
      <w:pPr>
        <w:pStyle w:val="BlockText"/>
      </w:pPr>
      <w:r>
        <w:rPr>
          <w:rFonts w:hint="eastAsia"/>
        </w:rPr>
        <w:t xml:space="preserve">Claim#3（Installed</w:t>
      </w:r>
      <w:r>
        <w:t xml:space="preserve"> Baseサービス: </w:t>
      </w:r>
      <w:r>
        <w:rPr>
          <w:rFonts w:hint="eastAsia"/>
        </w:rPr>
        <w:t xml:space="preserve">50%）でダウンサイクルにおけるサービス売上減収実績を認識しながら、draft版の一部に「安定収入源」の表現が残存していた。「安定収入源としての期待に反し減収となった」というアナリスト自身の評価と矛盾する。</w:t>
      </w:r>
    </w:p>
    <w:p>
      <w:pPr>
        <w:pStyle w:val="BlockText"/>
      </w:pPr>
      <w:r>
        <w:rPr>
          <w:rFonts w:hint="eastAsia"/>
          <w:b/>
          <w:bCs/>
        </w:rPr>
        <w:t xml:space="preserve">KB参照</w:t>
      </w:r>
      <w:r>
        <w:t xml:space="preserve">: </w:t>
      </w:r>
      <w:r>
        <w:rPr>
          <w:rFonts w:hint="eastAsia"/>
        </w:rPr>
        <w:t xml:space="preserve">KB1ルール9「事実誤認は即却下」の精神（ここでは事実誤認ではないが、認識と表現の不整合）。KB2パターンE「事実に基づかない仮説」への注意。</w:t>
      </w:r>
    </w:p>
    <w:p>
      <w:pPr>
        <w:pStyle w:val="BlockText"/>
      </w:pPr>
      <w:r>
        <w:rPr>
          <w:rFonts w:hint="eastAsia"/>
          <w:b/>
          <w:bCs/>
        </w:rPr>
        <w:t xml:space="preserve">T8の判断</w:t>
      </w:r>
      <w:r>
        <w:t xml:space="preserve">: CA confidence </w:t>
      </w:r>
      <w:r>
        <w:rPr>
          <w:rFonts w:hint="eastAsia"/>
        </w:rPr>
        <w:t xml:space="preserve">50%は維持。revised版では「安定収入源」の表現を削除し、「サイクル変動はあるがInstalled</w:t>
      </w:r>
      <w:r>
        <w:t xml:space="preserve"> </w:t>
      </w:r>
      <w:r>
        <w:rPr>
          <w:rFonts w:hint="eastAsia"/>
        </w:rPr>
        <w:t xml:space="preserve">Base増加に伴う中長期成長基盤」と修正。</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適用</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結果</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データFBは仕組み</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Installed Base</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84,000台(+30%)</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相対優位</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AMAT/TELも類似</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構造/補完</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半構造的</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純粋競合差別化不明</w:t>
            </w:r>
          </w:p>
        </w:tc>
      </w:tr>
    </w:tbl>
    <w:p>
      <w:pPr>
        <w:pStyle w:val="BodyText"/>
      </w:pPr>
      <w:r>
        <w:rPr>
          <w:rFonts w:hint="eastAsia"/>
          <w:b/>
          <w:bCs/>
        </w:rPr>
        <w:t xml:space="preserve">CAGR接続（50%）</w:t>
      </w:r>
      <w:r>
        <w:t xml:space="preserve">: </w:t>
      </w:r>
      <w:r>
        <w:rPr>
          <w:rFonts w:hint="eastAsia"/>
        </w:rPr>
        <w:t xml:space="preserve">サービス+9%(半導体生産にリンク)は妥当だが、台数増→収益増の直接性弱く、稼働率変動の影響大。</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 </w:t>
      </w:r>
      <w:r>
        <w:rPr>
          <w:rFonts w:hint="eastAsia"/>
        </w:rPr>
        <w:t xml:space="preserve">AI評価（T8修正後の最終値）</w:t>
      </w:r>
    </w:p>
    <w:p>
      <w:r>
        <w:pict>
          <v:rect style="width:0;height:1.5pt" o:hralign="center" o:hrstd="t" o:hr="t"/>
        </w:pict>
      </w:r>
    </w:p>
    <w:bookmarkEnd w:id="15"/>
    <w:bookmarkEnd w:id="16"/>
    <w:bookmarkStart w:id="18" w:name="主張-4-スイッチングコスト装置ユーザーの移行コスト"/>
    <w:p>
      <w:pPr>
        <w:pStyle w:val="Heading3"/>
      </w:pPr>
      <w:r>
        <w:rPr>
          <w:rFonts w:hint="eastAsia"/>
        </w:rPr>
        <w:t xml:space="preserve">主張</w:t>
      </w:r>
      <w:r>
        <w:t xml:space="preserve"> #4: </w:t>
      </w:r>
      <w:r>
        <w:rPr>
          <w:rFonts w:hint="eastAsia"/>
        </w:rPr>
        <w:t xml:space="preserve">スイッチングコスト（装置ユーザーの移行コスト）</w:t>
      </w:r>
    </w:p>
    <w:bookmarkStart w:id="17" w:name="ai評価-まあ納得50-t8修正-双方向アノテーション追加"/>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双方向アノテーション追加]</w:t>
      </w:r>
    </w:p>
    <w:p>
      <w:pPr>
        <w:pStyle w:val="FirstParagraph"/>
      </w:pPr>
      <w:r>
        <w:rPr>
          <w:rFonts w:hint="eastAsia"/>
        </w:rPr>
        <w:t xml:space="preserve">「スイッチングコスト」は優位性の典型的名詞属性（ルール2）であり、装置のFab深層インテグレーションは「仕組み」（ルール1）として成立。しかし、</w:t>
      </w:r>
      <w:r>
        <w:rPr>
          <w:rFonts w:hint="eastAsia"/>
        </w:rPr>
        <w:t xml:space="preserve">定量的裏付けが完全に欠如</w:t>
      </w:r>
      <w:r>
        <w:rPr>
          <w:rFonts w:hint="eastAsia"/>
        </w:rPr>
        <w:t xml:space="preserve">している（ルール4</w:t>
      </w:r>
      <w:r>
        <w:t xml:space="preserve"> </w:t>
      </w:r>
      <w:r>
        <w:rPr>
          <w:rFonts w:hint="eastAsia"/>
        </w:rPr>
        <w:t xml:space="preserve">fail）。1on1取材でのIR</w:t>
      </w:r>
      <w:r>
        <w:t xml:space="preserve"> </w:t>
      </w:r>
      <w:r>
        <w:rPr>
          <w:rFonts w:hint="eastAsia"/>
        </w:rPr>
        <w:t xml:space="preserve">VP発言（「簡単にスイッチングされない」）が主な根拠だが、第三者検証が乏しい。アナリスト自身も「スイッチングコストを過小評価していた可能性」と再評価途上。KB3参照:</w:t>
      </w:r>
      <w:r>
        <w:t xml:space="preserve"> </w:t>
      </w:r>
      <w:r>
        <w:rPr>
          <w:rFonts w:hint="eastAsia"/>
        </w:rPr>
        <w:t xml:space="preserve">ORLY#1（DIFMスイッチングコスト:</w:t>
      </w:r>
      <w:r>
        <w:t xml:space="preserve"> </w:t>
      </w:r>
      <w:r>
        <w:rPr>
          <w:rFonts w:hint="eastAsia"/>
        </w:rPr>
        <w:t xml:space="preserve">70%）はAZO対比の具体的データがあった。本件は定量裏付け不足で50%。</w:t>
      </w:r>
    </w:p>
    <w:p>
      <w:pPr>
        <w:pStyle w:val="BodyText"/>
      </w:pPr>
      <w:r>
        <w:rPr>
          <w:rFonts w:hint="eastAsia"/>
          <w:b/>
          <w:bCs/>
        </w:rPr>
        <w:t xml:space="preserve">納得できる点</w:t>
      </w:r>
      <w:r>
        <w:t xml:space="preserve">: </w:t>
      </w:r>
      <w:r>
        <w:rPr>
          <w:rFonts w:hint="eastAsia"/>
        </w:rPr>
        <w:t xml:space="preserve">SPE業界ではプロセス認定に年単位の期間を要し、スイッチングコストは構造的に高いとの業界認識。</w:t>
      </w:r>
    </w:p>
    <w:p>
      <w:pPr>
        <w:pStyle w:val="BodyText"/>
      </w:pPr>
      <w:r>
        <w:rPr>
          <w:rFonts w:hint="eastAsia"/>
          <w:b/>
          <w:bCs/>
        </w:rPr>
        <w:t xml:space="preserve">懸念点</w:t>
      </w:r>
      <w:r>
        <w:t xml:space="preserve">: </w:t>
      </w:r>
      <w:r>
        <w:rPr>
          <w:rFonts w:hint="eastAsia"/>
        </w:rPr>
        <w:t xml:space="preserve">定量裏付け皆無。IR発言のみ。SPE全般にSCが存在しLam固有の高さ不明。</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(minor): </w:t>
      </w:r>
      <w:r>
        <w:rPr>
          <w:rFonts w:hint="eastAsia"/>
          <w:b/>
          <w:bCs/>
        </w:rPr>
        <w:t xml:space="preserve">IR発言依存と定量化の欠如</w:t>
      </w:r>
    </w:p>
    <w:p>
      <w:pPr>
        <w:pStyle w:val="BlockText"/>
      </w:pPr>
      <w:r>
        <w:rPr>
          <w:rFonts w:hint="eastAsia"/>
        </w:rPr>
        <w:t xml:space="preserve">Claim#4（スイッチングコスト:</w:t>
      </w:r>
      <w:r>
        <w:t xml:space="preserve"> </w:t>
      </w:r>
      <w:r>
        <w:rPr>
          <w:rFonts w:hint="eastAsia"/>
        </w:rPr>
        <w:t xml:space="preserve">50%）の根拠が1on1取材でのIR</w:t>
      </w:r>
      <w:r>
        <w:t xml:space="preserve"> </w:t>
      </w:r>
      <w:r>
        <w:rPr>
          <w:rFonts w:hint="eastAsia"/>
        </w:rPr>
        <w:t xml:space="preserve">VP発言（2025/08/22）に強く依存している。IR発言は会社側の自己申告であり、KB3では開示データや第三者検証可能な根拠が重視される。ORLY#1(70%)ではAZO対比の具体的補充頻度データがあった。スイッチングコストの定量化（例:</w:t>
      </w:r>
      <w:r>
        <w:t xml:space="preserve"> </w:t>
      </w:r>
      <w:r>
        <w:rPr>
          <w:rFonts w:hint="eastAsia"/>
        </w:rPr>
        <w:t xml:space="preserve">Fabプロセス認定期間、装置入替コスト対新規導入コストの比率）がなければ50%は楽観的。</w:t>
      </w:r>
    </w:p>
    <w:p>
      <w:pPr>
        <w:pStyle w:val="BlockText"/>
      </w:pPr>
      <w:r>
        <w:rPr>
          <w:rFonts w:hint="eastAsia"/>
          <w:b/>
          <w:bCs/>
        </w:rPr>
        <w:t xml:space="preserve">KB参照</w:t>
      </w:r>
      <w:r>
        <w:t xml:space="preserve">: </w:t>
      </w:r>
      <w:r>
        <w:rPr>
          <w:rFonts w:hint="eastAsia"/>
        </w:rPr>
        <w:t xml:space="preserve">KB1ルール4「説明力がMUST、定量はWANT」。KB3</w:t>
      </w:r>
      <w:r>
        <w:t xml:space="preserve"> </w:t>
      </w:r>
      <w:r>
        <w:rPr>
          <w:rFonts w:hint="eastAsia"/>
        </w:rPr>
        <w:t xml:space="preserve">ORLY#1（70%）の根拠は「AZO対比でのDIFM補充頻度」という具体的データ。COST#2（10%）は「劇場型」のみで説明不足→却下。LRCX#4は両者の中間だが、IR発言のみは説明力として弱い。</w:t>
      </w:r>
    </w:p>
    <w:p>
      <w:pPr>
        <w:pStyle w:val="BlockText"/>
      </w:pPr>
      <w:r>
        <w:rPr>
          <w:rFonts w:hint="eastAsia"/>
          <w:b/>
          <w:bCs/>
        </w:rPr>
        <w:t xml:space="preserve">T8の判断</w:t>
      </w:r>
      <w:r>
        <w:t xml:space="preserve">: CA confidence </w:t>
      </w:r>
      <w:r>
        <w:rPr>
          <w:rFonts w:hint="eastAsia"/>
        </w:rPr>
        <w:t xml:space="preserve">50%を維持。SPE業界のスイッチングコストは業界構造として広く認識されており、IR発言は既知の業界常識を確認したもの。ただし「定量裏付けが得られれば70%への上振れ余地あり、得られなければ30%への下振れリスクあり」という双方向のアノテーションを追加。</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適用</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結果</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仕組み</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スイッチングコスト</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構造/補完</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能力</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相対優位</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SPE全般にSC存在</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定量裏付けなし</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Lam固有の高さ不明</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SPE業界構造</w:t>
            </w:r>
          </w:p>
        </w:tc>
      </w:tr>
    </w:tbl>
    <w:p>
      <w:pPr>
        <w:pStyle w:val="BodyText"/>
      </w:pPr>
      <w:r>
        <w:rPr>
          <w:rFonts w:hint="eastAsia"/>
          <w:b/>
          <w:bCs/>
        </w:rPr>
        <w:t xml:space="preserve">検出パターン</w:t>
      </w:r>
      <w:r>
        <w:t xml:space="preserve">: </w:t>
      </w:r>
      <w:r>
        <w:rPr>
          <w:rFonts w:hint="eastAsia"/>
        </w:rPr>
        <w:t xml:space="preserve">III(能力&gt;結果),</w:t>
      </w:r>
      <w:r>
        <w:t xml:space="preserve"> </w:t>
      </w:r>
      <w:r>
        <w:rPr>
          <w:rFonts w:hint="eastAsia"/>
        </w:rPr>
        <w:t xml:space="preserve">D(説明力不足)</w:t>
      </w:r>
    </w:p>
    <w:p>
      <w:pPr>
        <w:pStyle w:val="BodyText"/>
      </w:pPr>
      <w:r>
        <w:rPr>
          <w:rFonts w:hint="eastAsia"/>
          <w:b/>
          <w:bCs/>
        </w:rPr>
        <w:t xml:space="preserve">CAGR接続（50%）</w:t>
      </w:r>
      <w:r>
        <w:t xml:space="preserve">: </w:t>
      </w:r>
      <w:r>
        <w:rPr>
          <w:rFonts w:hint="eastAsia"/>
        </w:rPr>
        <w:t xml:space="preserve">スイッチングコストはシェアロス▲1%を緩和する要因だが、CAGR数値への具体的寄与は定量化困難。</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 </w:t>
      </w:r>
      <w:r>
        <w:rPr>
          <w:rFonts w:hint="eastAsia"/>
        </w:rPr>
        <w:t xml:space="preserve">AI評価（T8修正後の最終値）</w:t>
      </w:r>
    </w:p>
    <w:p>
      <w:r>
        <w:pict>
          <v:rect style="width:0;height:1.5pt" o:hralign="center" o:hrstd="t" o:hr="t"/>
        </w:pict>
      </w:r>
    </w:p>
    <w:bookmarkEnd w:id="17"/>
    <w:bookmarkEnd w:id="18"/>
    <w:bookmarkStart w:id="20" w:name="主張-5-rd投資力と次世代技術開発能力"/>
    <w:p>
      <w:pPr>
        <w:pStyle w:val="Heading3"/>
      </w:pPr>
      <w:r>
        <w:rPr>
          <w:rFonts w:hint="eastAsia"/>
        </w:rPr>
        <w:t xml:space="preserve">主張</w:t>
      </w:r>
      <w:r>
        <w:t xml:space="preserve"> #5: </w:t>
      </w:r>
      <w:r>
        <w:rPr>
          <w:rFonts w:hint="eastAsia"/>
        </w:rPr>
        <w:t xml:space="preserve">R&amp;D投資力と次世代技術開発能力</w:t>
      </w:r>
    </w:p>
    <w:bookmarkStart w:id="19" w:name="ai評価-あまり納得しない30"/>
    <w:p>
      <w:pPr>
        <w:pStyle w:val="Heading4"/>
      </w:pPr>
      <w:r>
        <w:rPr>
          <w:rFonts w:hint="eastAsia"/>
        </w:rPr>
        <w:t xml:space="preserve">AI評価:</w:t>
      </w:r>
      <w:r>
        <w:t xml:space="preserve"> </w:t>
      </w:r>
      <w:r>
        <w:rPr>
          <w:rFonts w:hint="eastAsia"/>
        </w:rPr>
        <w:t xml:space="preserve">あまり納得しない（30%）</w:t>
      </w:r>
    </w:p>
    <w:p>
      <w:pPr>
        <w:pStyle w:val="FirstParagraph"/>
      </w:pPr>
      <w:r>
        <w:rPr>
          <w:rFonts w:hint="eastAsia"/>
        </w:rPr>
        <w:t xml:space="preserve">R&amp;D投資は全てのSPEプレイヤーが実施する業界共通の能力（ルール3</w:t>
      </w:r>
      <w:r>
        <w:t xml:space="preserve"> </w:t>
      </w:r>
      <w:r>
        <w:rPr>
          <w:rFonts w:hint="eastAsia"/>
        </w:rPr>
        <w:t xml:space="preserve">fail）。さらに、</w:t>
      </w:r>
      <w:r>
        <w:rPr>
          <w:rFonts w:hint="eastAsia"/>
        </w:rPr>
        <w:t xml:space="preserve">全社R&amp;D費規模はLam:TEL:AMAT</w:t>
      </w:r>
      <w:r>
        <w:t xml:space="preserve"> = </w:t>
      </w:r>
      <w:r>
        <w:rPr>
          <w:rFonts w:hint="eastAsia"/>
        </w:rPr>
        <w:t xml:space="preserve">2:2:3でLamが最小。TEL/AMATにはエッチング以外の安定収入源がありR&amp;D資金余力で劣後する可能性</w:t>
      </w:r>
      <w:r>
        <w:rPr>
          <w:rFonts w:hint="eastAsia"/>
        </w:rPr>
        <w:t xml:space="preserve">（ルール7</w:t>
      </w:r>
      <w:r>
        <w:t xml:space="preserve"> </w:t>
      </w:r>
      <w:r>
        <w:rPr>
          <w:rFonts w:hint="eastAsia"/>
        </w:rPr>
        <w:t xml:space="preserve">fail）。KB3参照:</w:t>
      </w:r>
      <w:r>
        <w:t xml:space="preserve"> </w:t>
      </w:r>
      <w:r>
        <w:rPr>
          <w:rFonts w:hint="eastAsia"/>
        </w:rPr>
        <w:t xml:space="preserve">LLY#6（メガファーマ共通ネットワーク:</w:t>
      </w:r>
      <w:r>
        <w:t xml:space="preserve"> </w:t>
      </w:r>
      <w:r>
        <w:rPr>
          <w:rFonts w:hint="eastAsia"/>
        </w:rPr>
        <w:t xml:space="preserve">30%）と同構造。</w:t>
      </w:r>
    </w:p>
    <w:p>
      <w:pPr>
        <w:pStyle w:val="BodyText"/>
      </w:pPr>
      <w:r>
        <w:rPr>
          <w:rFonts w:hint="eastAsia"/>
          <w:b/>
          <w:bCs/>
        </w:rPr>
        <w:t xml:space="preserve">納得できる点</w:t>
      </w:r>
      <w:r>
        <w:t xml:space="preserve">: </w:t>
      </w:r>
      <w:r>
        <w:rPr>
          <w:rFonts w:hint="eastAsia"/>
        </w:rPr>
        <w:t xml:space="preserve">R&amp;D/売上~10%は高水準。Akara、Cryo</w:t>
      </w:r>
      <w:r>
        <w:t xml:space="preserve"> </w:t>
      </w:r>
      <w:r>
        <w:rPr>
          <w:rFonts w:hint="eastAsia"/>
        </w:rPr>
        <w:t xml:space="preserve">3.0等の具体的製品投入実績あり。</w:t>
      </w:r>
    </w:p>
    <w:p>
      <w:pPr>
        <w:pStyle w:val="BodyText"/>
      </w:pPr>
      <w:r>
        <w:rPr>
          <w:rFonts w:hint="eastAsia"/>
          <w:b/>
          <w:bCs/>
        </w:rPr>
        <w:t xml:space="preserve">懸念点</w:t>
      </w:r>
      <w:r>
        <w:t xml:space="preserve">: </w:t>
      </w:r>
      <w:r>
        <w:rPr>
          <w:rFonts w:hint="eastAsia"/>
        </w:rPr>
        <w:t xml:space="preserve">競合対比で規模劣位。業界共通能力。</w:t>
      </w:r>
    </w:p>
    <w:p>
      <w:pPr>
        <w:pStyle w:val="BodyText"/>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適用</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結果</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能力</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R&amp;D投資力</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構造/補完</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能力</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相対優位</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相対優位なし</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定量的だが競合劣位</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TEL/AMAT対比劣位</w:t>
            </w:r>
          </w:p>
        </w:tc>
      </w:tr>
    </w:tbl>
    <w:p>
      <w:pPr>
        <w:pStyle w:val="BodyText"/>
      </w:pPr>
      <w:r>
        <w:rPr>
          <w:rFonts w:hint="eastAsia"/>
          <w:b/>
          <w:bCs/>
        </w:rPr>
        <w:t xml:space="preserve">検出パターン</w:t>
      </w:r>
      <w:r>
        <w:t xml:space="preserve">: </w:t>
      </w:r>
      <w:r>
        <w:rPr>
          <w:rFonts w:hint="eastAsia"/>
        </w:rPr>
        <w:t xml:space="preserve">B(業界共通)</w:t>
      </w:r>
    </w:p>
    <w:p>
      <w:pPr>
        <w:pStyle w:val="BodyText"/>
      </w:pPr>
      <w:r>
        <w:rPr>
          <w:rFonts w:hint="eastAsia"/>
          <w:b/>
          <w:bCs/>
        </w:rPr>
        <w:t xml:space="preserve">CAGR接続（50%）</w:t>
      </w:r>
      <w:r>
        <w:t xml:space="preserve">: </w:t>
      </w:r>
      <w:r>
        <w:rPr>
          <w:rFonts w:hint="eastAsia"/>
        </w:rPr>
        <w:t xml:space="preserve">R&amp;D投資は技術競争力維持の必要条件だが十分条件ではない。間接的。</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 </w:t>
      </w:r>
      <w:r>
        <w:rPr>
          <w:rFonts w:hint="eastAsia"/>
        </w:rPr>
        <w:t xml:space="preserve">AI評価（T8修正後の最終値）</w:t>
      </w:r>
    </w:p>
    <w:p>
      <w:r>
        <w:pict>
          <v:rect style="width:0;height:1.5pt" o:hralign="center" o:hrstd="t" o:hr="t"/>
        </w:pict>
      </w:r>
    </w:p>
    <w:bookmarkEnd w:id="19"/>
    <w:bookmarkEnd w:id="20"/>
    <w:bookmarkStart w:id="22" w:name="主張-6-プラズマエッチング市場全体での高シェア60"/>
    <w:p>
      <w:pPr>
        <w:pStyle w:val="Heading3"/>
      </w:pPr>
      <w:r>
        <w:rPr>
          <w:rFonts w:hint="eastAsia"/>
        </w:rPr>
        <w:t xml:space="preserve">主張</w:t>
      </w:r>
      <w:r>
        <w:t xml:space="preserve"> #6: </w:t>
      </w:r>
      <w:r>
        <w:rPr>
          <w:rFonts w:hint="eastAsia"/>
        </w:rPr>
        <w:t xml:space="preserve">プラズマエッチング市場全体での高シェア（60%）</w:t>
      </w:r>
    </w:p>
    <w:bookmarkStart w:id="21" w:name="ai評価-まあ納得50-t8修正-1の結果指標として位置づけ明確化"/>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#1の結果指標として位置づけ明確化]</w:t>
      </w:r>
    </w:p>
    <w:p>
      <w:pPr>
        <w:pStyle w:val="FirstParagraph"/>
      </w:pPr>
      <w:r>
        <w:rPr>
          <w:rFonts w:hint="eastAsia"/>
        </w:rPr>
        <w:t xml:space="preserve">エッチング装置シェア60%は確かに圧倒的だが、</w:t>
      </w:r>
      <w:r>
        <w:rPr>
          <w:rFonts w:hint="eastAsia"/>
        </w:rPr>
        <w:t xml:space="preserve">ルール1（能力/結果）の観点からシェアは「結果」であり「能力・仕組み」ではない</w:t>
      </w:r>
      <w:r>
        <w:rPr>
          <w:rFonts w:hint="eastAsia"/>
        </w:rPr>
        <w:t xml:space="preserve">。シェアの背後にある技術力はClaim#1で評価済み。KB3参照:</w:t>
      </w:r>
      <w:r>
        <w:t xml:space="preserve"> </w:t>
      </w:r>
      <w:r>
        <w:rPr>
          <w:rFonts w:hint="eastAsia"/>
        </w:rPr>
        <w:t xml:space="preserve">MNST#1（高シェア:</w:t>
      </w:r>
      <w:r>
        <w:t xml:space="preserve"> </w:t>
      </w:r>
      <w:r>
        <w:rPr>
          <w:rFonts w:hint="eastAsia"/>
        </w:rPr>
        <w:t xml:space="preserve">50%）「シェアはあくまで結果」と同構造。ただし20年で+15%のシェアゲイン背景（3D</w:t>
      </w:r>
      <w:r>
        <w:t xml:space="preserve"> </w:t>
      </w:r>
      <w:r>
        <w:rPr>
          <w:rFonts w:hint="eastAsia"/>
        </w:rPr>
        <w:t xml:space="preserve">NAND技術シフト）は説明されており、MNST#1よりは裏付けがある。</w:t>
      </w:r>
      <w:r>
        <w:rPr>
          <w:rFonts w:hint="eastAsia"/>
          <w:b/>
          <w:bCs/>
        </w:rPr>
        <w:t xml:space="preserve">#6は#1の結果指標であり、独立した競争優位性ではなく#1の技術的優位性の裏付け</w:t>
      </w:r>
      <w:r>
        <w:rPr>
          <w:rFonts w:hint="eastAsia"/>
        </w:rPr>
        <w:t xml:space="preserve">として位置づける。</w:t>
      </w:r>
    </w:p>
    <w:p>
      <w:pPr>
        <w:pStyle w:val="BodyText"/>
      </w:pPr>
      <w:r>
        <w:rPr>
          <w:rFonts w:hint="eastAsia"/>
          <w:b/>
          <w:bCs/>
        </w:rPr>
        <w:t xml:space="preserve">納得できる点</w:t>
      </w:r>
      <w:r>
        <w:t xml:space="preserve">: </w:t>
      </w:r>
      <w:r>
        <w:rPr>
          <w:rFonts w:hint="eastAsia"/>
        </w:rPr>
        <w:t xml:space="preserve">20年で+15%のシェアゲインは長期的な技術力の証明。</w:t>
      </w:r>
    </w:p>
    <w:p>
      <w:pPr>
        <w:pStyle w:val="BodyText"/>
      </w:pPr>
      <w:r>
        <w:rPr>
          <w:rFonts w:hint="eastAsia"/>
          <w:b/>
          <w:bCs/>
        </w:rPr>
        <w:t xml:space="preserve">懸念点</w:t>
      </w:r>
      <w:r>
        <w:t xml:space="preserve">: </w:t>
      </w:r>
      <w:r>
        <w:rPr>
          <w:rFonts w:hint="eastAsia"/>
        </w:rPr>
        <w:t xml:space="preserve">シェア=結果。アナリスト自身がシェアロス▲1%を織込。</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w:t>
      </w:r>
      <w:r>
        <w:rPr>
          <w:rFonts w:hint="eastAsia"/>
          <w:b/>
          <w:bCs/>
        </w:rPr>
        <w:t xml:space="preserve">#1との重複・結果指標の独立評価</w:t>
      </w:r>
    </w:p>
    <w:p>
      <w:pPr>
        <w:pStyle w:val="BlockText"/>
      </w:pPr>
      <w:r>
        <w:rPr>
          <w:rFonts w:hint="eastAsia"/>
        </w:rPr>
        <w:t xml:space="preserve">Claim#6（エッチング高シェア60%:</w:t>
      </w:r>
      <w:r>
        <w:t xml:space="preserve"> </w:t>
      </w:r>
      <w:r>
        <w:rPr>
          <w:rFonts w:hint="eastAsia"/>
        </w:rPr>
        <w:t xml:space="preserve">50%）はClaim#1（技術独占:</w:t>
      </w:r>
      <w:r>
        <w:t xml:space="preserve"> </w:t>
      </w:r>
      <w:r>
        <w:rPr>
          <w:rFonts w:hint="eastAsia"/>
        </w:rPr>
        <w:t xml:space="preserve">70%）の「結果」として正しく位置づけられているが、draft版の総合評価セクションの構造図で#1→#6の因果関係が明示されているにもかかわらず、#6を独立した主張として評価していた。KB3</w:t>
      </w:r>
      <w:r>
        <w:t xml:space="preserve"> </w:t>
      </w:r>
      <w:r>
        <w:rPr>
          <w:rFonts w:hint="eastAsia"/>
        </w:rPr>
        <w:t xml:space="preserve">MNST#1（シェア=結果:</w:t>
      </w:r>
      <w:r>
        <w:t xml:space="preserve"> </w:t>
      </w:r>
      <w:r>
        <w:rPr>
          <w:rFonts w:hint="eastAsia"/>
        </w:rPr>
        <w:t xml:space="preserve">50%）の適用は適切だが、#1と#6の重複をより明確に処理すべき。</w:t>
      </w:r>
    </w:p>
    <w:p>
      <w:pPr>
        <w:pStyle w:val="BlockText"/>
      </w:pPr>
      <w:r>
        <w:rPr>
          <w:rFonts w:hint="eastAsia"/>
          <w:b/>
          <w:bCs/>
        </w:rPr>
        <w:t xml:space="preserve">KB参照</w:t>
      </w:r>
      <w:r>
        <w:t xml:space="preserve">: KB3 </w:t>
      </w:r>
      <w:r>
        <w:rPr>
          <w:rFonts w:hint="eastAsia"/>
        </w:rPr>
        <w:t xml:space="preserve">MNST#1「シェアはあくまで結果であり、背後要因が乏しい」。KB1ルール1「結果の優位性への誤帰属」。#1の技術力が#6のシェアを生んでいる因果関係が明確な場合、#6は独立した優位性ではなく#1の裏付け指標として扱うのが適切。</w:t>
      </w:r>
    </w:p>
    <w:p>
      <w:pPr>
        <w:pStyle w:val="BlockText"/>
      </w:pPr>
      <w:r>
        <w:rPr>
          <w:rFonts w:hint="eastAsia"/>
          <w:b/>
          <w:bCs/>
        </w:rPr>
        <w:t xml:space="preserve">T8の判断</w:t>
      </w:r>
      <w:r>
        <w:t xml:space="preserve">: CA confidence </w:t>
      </w:r>
      <w:r>
        <w:rPr>
          <w:rFonts w:hint="eastAsia"/>
        </w:rPr>
        <w:t xml:space="preserve">50%を維持するが、revised版で「#6は#1の結果指標であり、独立した競争優位性ではなく#1の裏付け」という位置づけをより明確にした。</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適用</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結果</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シェア=結果</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シェア=結果</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相対優位</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TEL/AMAT対比高い</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60%定量</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構造/補完</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具体的比較あり</w:t>
            </w:r>
          </w:p>
        </w:tc>
      </w:tr>
    </w:tbl>
    <w:p>
      <w:pPr>
        <w:pStyle w:val="BodyText"/>
      </w:pPr>
      <w:r>
        <w:rPr>
          <w:rFonts w:hint="eastAsia"/>
          <w:b/>
          <w:bCs/>
        </w:rPr>
        <w:t xml:space="preserve">検出パターン</w:t>
      </w:r>
      <w:r>
        <w:t xml:space="preserve">: </w:t>
      </w:r>
      <w:r>
        <w:rPr>
          <w:rFonts w:hint="eastAsia"/>
        </w:rPr>
        <w:t xml:space="preserve">A(結果を原因と取り違え)</w:t>
      </w:r>
    </w:p>
    <w:p>
      <w:pPr>
        <w:pStyle w:val="BodyText"/>
      </w:pPr>
      <w:r>
        <w:rPr>
          <w:rFonts w:hint="eastAsia"/>
          <w:b/>
          <w:bCs/>
        </w:rPr>
        <w:t xml:space="preserve">CAGR接続（50%）</w:t>
      </w:r>
      <w:r>
        <w:t xml:space="preserve">: </w:t>
      </w:r>
      <w:r>
        <w:rPr>
          <w:rFonts w:hint="eastAsia"/>
        </w:rPr>
        <w:t xml:space="preserve">シェア維持はCAGR基盤だが、アナリスト自身がシェアロス▲1%を織込。</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 </w:t>
      </w:r>
      <w:r>
        <w:rPr>
          <w:rFonts w:hint="eastAsia"/>
        </w:rPr>
        <w:t xml:space="preserve">AI評価（T8修正後の最終値）</w:t>
      </w:r>
    </w:p>
    <w:p>
      <w:r>
        <w:pict>
          <v:rect style="width:0;height:1.5pt" o:hralign="center" o:hrstd="t" o:hr="t"/>
        </w:pict>
      </w:r>
    </w:p>
    <w:bookmarkEnd w:id="21"/>
    <w:bookmarkEnd w:id="22"/>
    <w:bookmarkStart w:id="24" w:name="主張-7-fcf還元方針と自社株買いによるeps成長"/>
    <w:p>
      <w:pPr>
        <w:pStyle w:val="Heading3"/>
      </w:pPr>
      <w:r>
        <w:rPr>
          <w:rFonts w:hint="eastAsia"/>
        </w:rPr>
        <w:t xml:space="preserve">主張</w:t>
      </w:r>
      <w:r>
        <w:t xml:space="preserve"> #7: </w:t>
      </w:r>
      <w:r>
        <w:rPr>
          <w:rFonts w:hint="eastAsia"/>
        </w:rPr>
        <w:t xml:space="preserve">FCF還元方針と自社株買いによるEPS成長</w:t>
      </w:r>
    </w:p>
    <w:bookmarkStart w:id="23" w:name="ai評価-あまり納得しない30-1"/>
    <w:p>
      <w:pPr>
        <w:pStyle w:val="Heading4"/>
      </w:pPr>
      <w:r>
        <w:rPr>
          <w:rFonts w:hint="eastAsia"/>
        </w:rPr>
        <w:t xml:space="preserve">AI評価:</w:t>
      </w:r>
      <w:r>
        <w:t xml:space="preserve"> </w:t>
      </w:r>
      <w:r>
        <w:rPr>
          <w:rFonts w:hint="eastAsia"/>
        </w:rPr>
        <w:t xml:space="preserve">あまり納得しない（30%）</w:t>
      </w:r>
    </w:p>
    <w:p>
      <w:pPr>
        <w:pStyle w:val="FirstParagraph"/>
      </w:pPr>
      <w:r>
        <w:rPr>
          <w:rFonts w:hint="eastAsia"/>
        </w:rPr>
        <w:t xml:space="preserve">FCF還元方針は「意思決定・戦略」であり「能力・仕組み」ではない（ルール1,</w:t>
      </w:r>
      <w:r>
        <w:t xml:space="preserve"> R8 </w:t>
      </w:r>
      <w:r>
        <w:rPr>
          <w:rFonts w:hint="eastAsia"/>
        </w:rPr>
        <w:t xml:space="preserve">fail）。自社株買い自体は競争優位性ではなくCapital</w:t>
      </w:r>
      <w:r>
        <w:t xml:space="preserve"> </w:t>
      </w:r>
      <w:r>
        <w:rPr>
          <w:rFonts w:hint="eastAsia"/>
        </w:rPr>
        <w:t xml:space="preserve">Allocation施策。KB3参照:</w:t>
      </w:r>
      <w:r>
        <w:t xml:space="preserve"> </w:t>
      </w:r>
      <w:r>
        <w:rPr>
          <w:rFonts w:hint="eastAsia"/>
        </w:rPr>
        <w:t xml:space="preserve">5銘柄いずれでも自社株買いは独立した優位性として評価されていない。</w:t>
      </w:r>
    </w:p>
    <w:p>
      <w:pPr>
        <w:pStyle w:val="BodyText"/>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適用</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結果</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コメント</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意思決定</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方針</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相対優位</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SPE各社も同等</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FCF利回り6%等定量</w:t>
            </w:r>
          </w:p>
        </w:tc>
      </w:tr>
      <w:tr>
        <w:tc>
          <w:tcPr/>
          <w:p>
            <w:pPr>
              <w:pStyle w:val="Compact"/>
            </w:pPr>
            <w:r>
              <w:rPr>
                <w:rFonts w:ascii="Times New Roman" w:hAnsi="Times New Roman" w:eastAsia="游明朝"/>
                <w:sz w:val="18"/>
              </w:rPr>
              <w:t xml:space="preserve">R5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+3%/年合理的</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構造/補完</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補完的</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差別化なし</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Yes</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戦略混同</w:t>
            </w:r>
          </w:p>
        </w:tc>
      </w:tr>
    </w:tbl>
    <w:p>
      <w:pPr>
        <w:pStyle w:val="BodyText"/>
      </w:pPr>
      <w:r>
        <w:rPr>
          <w:rFonts w:hint="eastAsia"/>
          <w:b/>
          <w:bCs/>
        </w:rPr>
        <w:t xml:space="preserve">検出パターン</w:t>
      </w:r>
      <w:r>
        <w:t xml:space="preserve">: </w:t>
      </w:r>
      <w:r>
        <w:rPr>
          <w:rFonts w:hint="eastAsia"/>
        </w:rPr>
        <w:t xml:space="preserve">F(戦略を優位性と混同)</w:t>
      </w:r>
    </w:p>
    <w:p>
      <w:pPr>
        <w:pStyle w:val="BodyText"/>
      </w:pPr>
      <w:r>
        <w:rPr>
          <w:rFonts w:hint="eastAsia"/>
          <w:b/>
          <w:bCs/>
        </w:rPr>
        <w:t xml:space="preserve">CAGR接続（70%）</w:t>
      </w:r>
      <w:r>
        <w:t xml:space="preserve">: </w:t>
      </w:r>
      <w:r>
        <w:rPr>
          <w:rFonts w:hint="eastAsia"/>
        </w:rPr>
        <w:t xml:space="preserve">FCF利回り6%</w:t>
      </w:r>
      <w:r>
        <w:t xml:space="preserve"> x </w:t>
      </w:r>
      <w:r>
        <w:rPr>
          <w:rFonts w:hint="eastAsia"/>
        </w:rPr>
        <w:t xml:space="preserve">還元率50%</w:t>
      </w:r>
      <w:r>
        <w:t xml:space="preserve"> → </w:t>
      </w:r>
      <w:r>
        <w:rPr>
          <w:rFonts w:hint="eastAsia"/>
        </w:rPr>
        <w:t xml:space="preserve">+3%/年のEPS</w:t>
      </w:r>
      <w:r>
        <w:t xml:space="preserve"> </w:t>
      </w:r>
      <w:r>
        <w:rPr>
          <w:rFonts w:hint="eastAsia"/>
        </w:rPr>
        <w:t xml:space="preserve">accretion。メカニズムは明確で数値的根拠も具体的。CAGR寄与としては合理的だが、競争優位性とは別カテゴリ。</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 </w:t>
      </w:r>
      <w:r>
        <w:rPr>
          <w:rFonts w:hint="eastAsia"/>
        </w:rPr>
        <w:t xml:space="preserve">AI評価（T8修正後の最終値）</w:t>
      </w:r>
    </w:p>
    <w:p>
      <w:r>
        <w:pict>
          <v:rect style="width:0;height:1.5pt" o:hralign="center" o:hrstd="t" o:hr="t"/>
        </w:pict>
      </w:r>
    </w:p>
    <w:bookmarkEnd w:id="23"/>
    <w:bookmarkEnd w:id="24"/>
    <w:bookmarkEnd w:id="25"/>
    <w:bookmarkStart w:id="31" w:name="総合評価"/>
    <w:p>
      <w:pPr>
        <w:pStyle w:val="Heading2"/>
      </w:pPr>
      <w:r>
        <w:t xml:space="preserve">4. </w:t>
      </w:r>
      <w:r>
        <w:rPr>
          <w:rFonts w:hint="eastAsia"/>
        </w:rPr>
        <w:t xml:space="preserve">総合評価</w:t>
      </w:r>
    </w:p>
    <w:bookmarkStart w:id="26"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w:t>
      </w:r>
      <w:r>
        <w:br/>
      </w:r>
      <w:r>
        <w:rPr>
          <w:rStyle w:val="VerbatimChar"/>
        </w:rPr>
        <w:t xml:space="preserve">  #1 3D </w:t>
      </w:r>
      <w:r>
        <w:rPr>
          <w:rStyle w:val="VerbatimChar"/>
          <w:rFonts w:hint="eastAsia"/>
        </w:rPr>
        <w:t xml:space="preserve">NANDドライエッチング技術独占（70%）</w:t>
      </w:r>
      <w:r>
        <w:rPr>
          <w:rStyle w:val="VerbatimChar"/>
        </w:rPr>
        <w:t xml:space="preserve"> ←→ #4 </w:t>
      </w:r>
      <w:r>
        <w:rPr>
          <w:rStyle w:val="VerbatimChar"/>
          <w:rFonts w:hint="eastAsia"/>
        </w:rPr>
        <w:t xml:space="preserve">スイッチングコスト（50%）</w:t>
      </w:r>
      <w:r>
        <w:br/>
      </w:r>
      <w:r>
        <w:rPr>
          <w:rStyle w:val="VerbatimChar"/>
        </w:rPr>
        <w:t xml:space="preserve">           |                                          |</w:t>
      </w:r>
      <w:r>
        <w:br/>
      </w:r>
      <w:r>
        <w:rPr>
          <w:rStyle w:val="VerbatimChar"/>
        </w:rPr>
        <w:t xml:space="preserve">           ↓                                          ↓</w:t>
      </w:r>
      <w:r>
        <w:br/>
      </w:r>
      <w:r>
        <w:rPr>
          <w:rStyle w:val="VerbatimChar"/>
        </w:rPr>
        <w:t xml:space="preserve">  #6 </w:t>
      </w:r>
      <w:r>
        <w:rPr>
          <w:rStyle w:val="VerbatimChar"/>
          <w:rFonts w:hint="eastAsia"/>
        </w:rPr>
        <w:t xml:space="preserve">エッチング高シェア60%（50%、#1の結果指標）</w:t>
      </w:r>
      <w:r>
        <w:rPr>
          <w:rStyle w:val="VerbatimChar"/>
        </w:rPr>
        <w:t xml:space="preserve">  </w:t>
      </w:r>
      <w:r>
        <w:rPr>
          <w:rStyle w:val="VerbatimChar"/>
          <w:rFonts w:hint="eastAsia"/>
        </w:rPr>
        <w:t xml:space="preserve">シェア維持の補強要因</w:t>
      </w:r>
      <w:r>
        <w:br/>
      </w:r>
      <w:r>
        <w:rPr>
          <w:rStyle w:val="VerbatimChar"/>
        </w:rPr>
        <w:t xml:space="preserve">           |                                    </w:t>
      </w:r>
      <w:r>
        <w:rPr>
          <w:rStyle w:val="VerbatimChar"/>
          <w:rFonts w:hint="eastAsia"/>
        </w:rPr>
        <w:t xml:space="preserve">[T8修正]</w:t>
      </w:r>
      <w:r>
        <w:rPr>
          <w:rStyle w:val="VerbatimChar"/>
        </w:rPr>
        <w:t xml:space="preserve"> </w:t>
      </w:r>
      <w:r>
        <w:rPr>
          <w:rStyle w:val="VerbatimChar"/>
          <w:rFonts w:hint="eastAsia"/>
        </w:rPr>
        <w:t xml:space="preserve">#6は#1の裏付け指標</w:t>
      </w:r>
      <w:r>
        <w:br/>
      </w:r>
      <w:r>
        <w:rPr>
          <w:rStyle w:val="VerbatimChar"/>
        </w:rPr>
        <w:t xml:space="preserve">           ↓</w:t>
      </w:r>
      <w:r>
        <w:br/>
      </w:r>
      <w:r>
        <w:rPr>
          <w:rStyle w:val="VerbatimChar"/>
        </w:rPr>
        <w:t xml:space="preserve">  #2 </w:t>
      </w:r>
      <w:r>
        <w:rPr>
          <w:rStyle w:val="VerbatimChar"/>
          <w:rFonts w:hint="eastAsia"/>
        </w:rPr>
        <w:t xml:space="preserve">インテンシティ上昇恩恵（50%）←</w:t>
      </w:r>
      <w:r>
        <w:rPr>
          <w:rStyle w:val="VerbatimChar"/>
        </w:rPr>
        <w:t xml:space="preserve"> </w:t>
      </w:r>
      <w:r>
        <w:rPr>
          <w:rStyle w:val="VerbatimChar"/>
          <w:rFonts w:hint="eastAsia"/>
        </w:rPr>
        <w:t xml:space="preserve">業界共通トレンド</w:t>
      </w:r>
      <w:r>
        <w:br/>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#6との二重カウントリスク</w:t>
      </w:r>
      <w:r>
        <w:br/>
      </w:r>
      <w:r>
        <w:br/>
      </w:r>
      <w:r>
        <w:rPr>
          <w:rStyle w:val="VerbatimChar"/>
          <w:rFonts w:hint="eastAsia"/>
        </w:rPr>
        <w:t xml:space="preserve">【補完的要素】</w:t>
      </w:r>
      <w:r>
        <w:br/>
      </w:r>
      <w:r>
        <w:rPr>
          <w:rStyle w:val="VerbatimChar"/>
        </w:rPr>
        <w:t xml:space="preserve">  #3 Installed Base </w:t>
      </w:r>
      <w:r>
        <w:rPr>
          <w:rStyle w:val="VerbatimChar"/>
          <w:rFonts w:hint="eastAsia"/>
        </w:rPr>
        <w:t xml:space="preserve">サービス（50%）[T8修正]</w:t>
      </w:r>
      <w:r>
        <w:rPr>
          <w:rStyle w:val="VerbatimChar"/>
        </w:rPr>
        <w:t xml:space="preserve"> </w:t>
      </w:r>
      <w:r>
        <w:rPr>
          <w:rStyle w:val="VerbatimChar"/>
          <w:rFonts w:hint="eastAsia"/>
        </w:rPr>
        <w:t xml:space="preserve">サイクル変動を伴う中長期成長基盤</w:t>
      </w:r>
      <w:r>
        <w:br/>
      </w:r>
      <w:r>
        <w:rPr>
          <w:rStyle w:val="VerbatimChar"/>
        </w:rPr>
        <w:t xml:space="preserve">  #5 </w:t>
      </w:r>
      <w:r>
        <w:rPr>
          <w:rStyle w:val="VerbatimChar"/>
          <w:rFonts w:hint="eastAsia"/>
        </w:rPr>
        <w:t xml:space="preserve">R&amp;D投資力（30%）←</w:t>
      </w:r>
      <w:r>
        <w:rPr>
          <w:rStyle w:val="VerbatimChar"/>
        </w:rPr>
        <w:t xml:space="preserve"> </w:t>
      </w:r>
      <w:r>
        <w:rPr>
          <w:rStyle w:val="VerbatimChar"/>
          <w:rFonts w:hint="eastAsia"/>
        </w:rPr>
        <w:t xml:space="preserve">競合劣位の可能性</w:t>
      </w:r>
      <w:r>
        <w:br/>
      </w:r>
      <w:r>
        <w:rPr>
          <w:rStyle w:val="VerbatimChar"/>
        </w:rPr>
        <w:t xml:space="preserve">  #7 </w:t>
      </w:r>
      <w:r>
        <w:rPr>
          <w:rStyle w:val="VerbatimChar"/>
          <w:rFonts w:hint="eastAsia"/>
        </w:rPr>
        <w:t xml:space="preserve">FCF還元（30%）←</w:t>
      </w:r>
      <w:r>
        <w:rPr>
          <w:rStyle w:val="VerbatimChar"/>
        </w:rPr>
        <w:t xml:space="preserve"> </w:t>
      </w:r>
      <w:r>
        <w:rPr>
          <w:rStyle w:val="VerbatimChar"/>
          <w:rFonts w:hint="eastAsia"/>
        </w:rPr>
        <w:t xml:space="preserve">戦略であり優位性でない</w:t>
      </w:r>
    </w:p>
    <w:bookmarkEnd w:id="26"/>
    <w:bookmarkStart w:id="27" w:name="強み"/>
    <w:p>
      <w:pPr>
        <w:pStyle w:val="Heading3"/>
      </w:pPr>
      <w:r>
        <w:rPr>
          <w:rFonts w:hint="eastAsia"/>
        </w:rPr>
        <w:t xml:space="preserve">強み</w:t>
      </w:r>
    </w:p>
    <w:p>
      <w:pPr>
        <w:pStyle w:val="Compact"/>
        <w:numPr>
          <w:ilvl w:val="0"/>
          <w:numId w:val="1001"/>
        </w:numPr>
      </w:pPr>
      <w:r>
        <w:rPr>
          <w:rFonts w:hint="eastAsia"/>
          <w:b/>
          <w:bCs/>
        </w:rPr>
        <w:t xml:space="preserve">唯一の70%主張</w:t>
      </w:r>
      <w:r>
        <w:t xml:space="preserve">: 3D </w:t>
      </w:r>
      <w:r>
        <w:rPr>
          <w:rFonts w:hint="eastAsia"/>
        </w:rPr>
        <w:t xml:space="preserve">NAND深孔エッチングでの技術的独占ポジションは、業界構造合致、定量裏付け、競合比較の3パターンが揃った堅牢な主張</w:t>
      </w:r>
    </w:p>
    <w:p>
      <w:pPr>
        <w:pStyle w:val="Compact"/>
        <w:numPr>
          <w:ilvl w:val="0"/>
          <w:numId w:val="1001"/>
        </w:numPr>
      </w:pPr>
      <w:r>
        <w:rPr>
          <w:rFonts w:hint="eastAsia"/>
          <w:b/>
          <w:bCs/>
        </w:rPr>
        <w:t xml:space="preserve">技術蓄積の歴史</w:t>
      </w:r>
      <w:r>
        <w:t xml:space="preserve">: </w:t>
      </w:r>
      <w:r>
        <w:rPr>
          <w:rFonts w:hint="eastAsia"/>
        </w:rPr>
        <w:t xml:space="preserve">2010年代後半NAND</w:t>
      </w:r>
      <w:r>
        <w:t xml:space="preserve"> </w:t>
      </w:r>
      <w:r>
        <w:rPr>
          <w:rFonts w:hint="eastAsia"/>
        </w:rPr>
        <w:t xml:space="preserve">3D化転換からの躍進は10年超の実績に裏付け</w:t>
      </w:r>
    </w:p>
    <w:p>
      <w:pPr>
        <w:pStyle w:val="Compact"/>
        <w:numPr>
          <w:ilvl w:val="0"/>
          <w:numId w:val="1001"/>
        </w:numPr>
      </w:pPr>
      <w:r>
        <w:rPr>
          <w:rFonts w:hint="eastAsia"/>
          <w:b/>
          <w:bCs/>
        </w:rPr>
        <w:t xml:space="preserve">次世代技術への展開</w:t>
      </w:r>
      <w:r>
        <w:t xml:space="preserve">: HBM TSV 100%、3D </w:t>
      </w:r>
      <w:r>
        <w:rPr>
          <w:rFonts w:hint="eastAsia"/>
        </w:rPr>
        <w:t xml:space="preserve">DRAM/CFET対応のAkara等、成長の持続性</w:t>
      </w:r>
    </w:p>
    <w:bookmarkEnd w:id="27"/>
    <w:bookmarkStart w:id="28" w:name="弱み留意点t8修正後"/>
    <w:p>
      <w:pPr>
        <w:pStyle w:val="Heading3"/>
      </w:pPr>
      <w:r>
        <w:rPr>
          <w:rFonts w:hint="eastAsia"/>
        </w:rPr>
        <w:t xml:space="preserve">弱み・留意点（T8修正後）</w:t>
      </w:r>
    </w:p>
    <w:p>
      <w:pPr>
        <w:pStyle w:val="Compact"/>
        <w:numPr>
          <w:ilvl w:val="0"/>
          <w:numId w:val="1002"/>
        </w:numPr>
      </w:pPr>
      <w:r>
        <w:rPr>
          <w:rFonts w:hint="eastAsia"/>
          <w:b/>
          <w:bCs/>
        </w:rPr>
        <w:t xml:space="preserve">独占崩壊の兆し</w:t>
      </w:r>
      <w:r>
        <w:t xml:space="preserve">: </w:t>
      </w:r>
      <w:r>
        <w:rPr>
          <w:rFonts w:hint="eastAsia"/>
        </w:rPr>
        <w:t xml:space="preserve">TELクライオエッチャー参入で唯一の高評価主張（#1）のリスクが顕在化。T8条件:</w:t>
      </w:r>
      <w:r>
        <w:t xml:space="preserve"> </w:t>
      </w:r>
      <w:r>
        <w:rPr>
          <w:rFonts w:hint="eastAsia"/>
        </w:rPr>
        <w:t xml:space="preserve">TEL本格浸透時（2027年以降）はCAGR</w:t>
      </w:r>
      <w:r>
        <w:t xml:space="preserve"> confidence </w:t>
      </w:r>
      <w:r>
        <w:rPr>
          <w:rFonts w:hint="eastAsia"/>
        </w:rPr>
        <w:t xml:space="preserve">70%→50%に低下の可能性</w:t>
      </w:r>
    </w:p>
    <w:p>
      <w:pPr>
        <w:pStyle w:val="Compact"/>
        <w:numPr>
          <w:ilvl w:val="0"/>
          <w:numId w:val="1002"/>
        </w:numPr>
      </w:pPr>
      <w:r>
        <w:rPr>
          <w:rFonts w:hint="eastAsia"/>
          <w:b/>
          <w:bCs/>
        </w:rPr>
        <w:t xml:space="preserve">業界共通恩恵への依存</w:t>
      </w:r>
      <w:r>
        <w:t xml:space="preserve">: </w:t>
      </w:r>
      <w:r>
        <w:rPr>
          <w:rFonts w:hint="eastAsia"/>
        </w:rPr>
        <w:t xml:space="preserve">インテンシティ上昇（#2）はSPE全般の恩恵でLam固有の差別化なし。#6との二重カウントリスクあり</w:t>
      </w:r>
    </w:p>
    <w:p>
      <w:pPr>
        <w:pStyle w:val="Compact"/>
        <w:numPr>
          <w:ilvl w:val="0"/>
          <w:numId w:val="1002"/>
        </w:numPr>
      </w:pPr>
      <w:r>
        <w:rPr>
          <w:rFonts w:hint="eastAsia"/>
          <w:b/>
          <w:bCs/>
        </w:rPr>
        <w:t xml:space="preserve">定量裏付けの不足</w:t>
      </w:r>
      <w:r>
        <w:t xml:space="preserve">: </w:t>
      </w:r>
      <w:r>
        <w:rPr>
          <w:rFonts w:hint="eastAsia"/>
        </w:rPr>
        <w:t xml:space="preserve">スイッチングコスト（#4）の定量化が未実施。定量裏付け次第で70%上振れ/30%下振れの双方向リスク</w:t>
      </w:r>
    </w:p>
    <w:p>
      <w:pPr>
        <w:pStyle w:val="Compact"/>
        <w:numPr>
          <w:ilvl w:val="0"/>
          <w:numId w:val="1002"/>
        </w:numPr>
      </w:pPr>
      <w:r>
        <w:rPr>
          <w:rFonts w:hint="eastAsia"/>
          <w:b/>
          <w:bCs/>
        </w:rPr>
        <w:t xml:space="preserve">R&amp;D規模の劣位</w:t>
      </w:r>
      <w:r>
        <w:t xml:space="preserve">: </w:t>
      </w:r>
      <w:r>
        <w:rPr>
          <w:rFonts w:hint="eastAsia"/>
        </w:rPr>
        <w:t xml:space="preserve">TEL/AMAT対比でR&amp;D費規模が最小。長期的な技術競争での脆弱性</w:t>
      </w:r>
    </w:p>
    <w:p>
      <w:pPr>
        <w:pStyle w:val="Compact"/>
        <w:numPr>
          <w:ilvl w:val="0"/>
          <w:numId w:val="1002"/>
        </w:numPr>
      </w:pPr>
      <w:r>
        <w:rPr>
          <w:rFonts w:hint="eastAsia"/>
          <w:b/>
          <w:bCs/>
        </w:rPr>
        <w:t xml:space="preserve">アナリストSELL推奨</w:t>
      </w:r>
      <w:r>
        <w:t xml:space="preserve">: </w:t>
      </w:r>
      <w:r>
        <w:rPr>
          <w:rFonts w:hint="eastAsia"/>
        </w:rPr>
        <w:t xml:space="preserve">2024/06にSELLへ転換。シェアロス▲1%、マージン改善flat見込み</w:t>
      </w:r>
    </w:p>
    <w:p>
      <w:pPr>
        <w:pStyle w:val="Compact"/>
        <w:numPr>
          <w:ilvl w:val="0"/>
          <w:numId w:val="1002"/>
        </w:numPr>
      </w:pPr>
      <w:r>
        <w:rPr>
          <w:b/>
          <w:bCs/>
        </w:rPr>
        <w:t xml:space="preserve">Installed </w:t>
      </w:r>
      <w:r>
        <w:rPr>
          <w:rFonts w:hint="eastAsia"/>
          <w:b/>
          <w:bCs/>
        </w:rPr>
        <w:t xml:space="preserve">Baseサービスのサイクル変動</w:t>
      </w:r>
      <w:r>
        <w:t xml:space="preserve">: </w:t>
      </w:r>
      <w:r>
        <w:rPr>
          <w:rFonts w:hint="eastAsia"/>
        </w:rPr>
        <w:t xml:space="preserve">「安定収入源」ではなく「サイクル変動を伴う中長期成長基盤」として再定義</w:t>
      </w:r>
    </w:p>
    <w:bookmarkEnd w:id="28"/>
    <w:bookmarkStart w:id="29"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3"/>
        </w:numPr>
      </w:pPr>
      <w:r>
        <w:rPr>
          <w:rFonts w:hint="eastAsia"/>
          <w:b/>
          <w:bCs/>
        </w:rPr>
        <w:t xml:space="preserve">業界共通能力（ルール3/パターンB）の適用範囲の曖昧さ</w:t>
      </w:r>
      <w:r>
        <w:t xml:space="preserve">: </w:t>
      </w:r>
      <w:r>
        <w:rPr>
          <w:rFonts w:hint="eastAsia"/>
        </w:rPr>
        <w:t xml:space="preserve">SPE業界では全プレイヤーがR&amp;D投資（#5）を行い、インテンシティ上昇（#2）の恩恵を受ける。これらはLLY#6（メガファーマ共通:</w:t>
      </w:r>
      <w:r>
        <w:t xml:space="preserve"> </w:t>
      </w:r>
      <w:r>
        <w:rPr>
          <w:rFonts w:hint="eastAsia"/>
        </w:rPr>
        <w:t xml:space="preserve">30%）と構造的に類似するが、LRCXの場合はエッチングシェア60%（#6）という結果指標により「恩恵の量」は差別化される。ルール3の「業界共通」をどこまで厳密に適用するかの判断基準が必要。本評価では#2を50%（LLY#6の30%より高い）、#5を30%（LLY#6と同等）としたが、この差の根拠はシェアの高さに依存しており、#6との二重カウントのリスクがある。KB3</w:t>
      </w:r>
      <w:r>
        <w:t xml:space="preserve"> </w:t>
      </w:r>
      <w:r>
        <w:rPr>
          <w:rFonts w:hint="eastAsia"/>
        </w:rPr>
        <w:t xml:space="preserve">LLY#6（30%）の厳格適用と、LRCX特有の「シェアによる恩恵量差」をどう評価するかの基準を明確化すべき。Phase</w:t>
      </w:r>
      <w:r>
        <w:t xml:space="preserve"> </w:t>
      </w:r>
      <w:r>
        <w:rPr>
          <w:rFonts w:hint="eastAsia"/>
        </w:rPr>
        <w:t xml:space="preserve">2データが蓄積されれば、SPE業界特有のルール3適用基準がKBに追加されることが望ましい。</w:t>
      </w:r>
    </w:p>
    <w:p>
      <w:pPr>
        <w:numPr>
          <w:ilvl w:val="0"/>
          <w:numId w:val="1003"/>
        </w:numPr>
      </w:pPr>
      <w:r>
        <w:rPr>
          <w:rFonts w:hint="eastAsia"/>
          <w:b/>
          <w:bCs/>
        </w:rPr>
        <w:t xml:space="preserve">独占崩壊のダイナミクスに対するKBの未対応</w:t>
      </w:r>
      <w:r>
        <w:t xml:space="preserve">: </w:t>
      </w:r>
      <w:r>
        <w:rPr>
          <w:rFonts w:hint="eastAsia"/>
        </w:rPr>
        <w:t xml:space="preserve">KB3の90%評価（ORLY#2/5）は「安定した構造合致」を前提としている。LRCXの3D</w:t>
      </w:r>
      <w:r>
        <w:t xml:space="preserve"> </w:t>
      </w:r>
      <w:r>
        <w:rPr>
          <w:rFonts w:hint="eastAsia"/>
        </w:rPr>
        <w:t xml:space="preserve">NAND深孔エッチング独占（~100%→TEL参入で縮小）は「崩壊途上の独占」という動態的なシナリオであり、現行KBには対応するパターンがない。静的な構造合致（90%）と動的な独占崩壊（?%）の間のスコアリング基準が必要。本評価では70%としたが、これは評価者の裁量に依存している。「独占崩壊のスコアリング」:</w:t>
      </w:r>
      <w:r>
        <w:t xml:space="preserve"> </w:t>
      </w:r>
      <w:r>
        <w:rPr>
          <w:rFonts w:hint="eastAsia"/>
        </w:rPr>
        <w:t xml:space="preserve">独占状態からの移行期において、(1)技術的優位性の残存度、(2)スイッチングコストの大きさ、(3)競合の参入速度、の3軸で評価するフレームワークをKBに追加すべき。</w:t>
      </w:r>
    </w:p>
    <w:bookmarkEnd w:id="29"/>
    <w:bookmarkStart w:id="30" w:name="kb3との対比"/>
    <w:p>
      <w:pPr>
        <w:pStyle w:val="Heading3"/>
      </w:pPr>
      <w:r>
        <w:rPr>
          <w:rFonts w:hint="eastAsia"/>
        </w:rPr>
        <w:t xml:space="preserve">KB3との対比</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8"/>
        <w:gridCol w:w="1188"/>
        <w:gridCol w:w="990"/>
        <w:gridCol w:w="1188"/>
        <w:gridCol w:w="990"/>
        <w:gridCol w:w="1188"/>
        <w:gridCol w:w="118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指標</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LRCX</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CHD</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COST</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LLY</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MNST</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ORLY</w:t>
            </w:r>
          </w:p>
        </w:tc>
      </w:tr>
      <w:tr>
        <w:tc>
          <w:tcPr/>
          <w:p>
            <w:pPr>
              <w:pStyle w:val="Compact"/>
            </w:pPr>
            <w:r>
              <w:rPr>
                <w:rFonts w:hint="eastAsia" w:ascii="Times New Roman" w:hAnsi="Times New Roman" w:eastAsia="游明朝"/>
                <w:sz w:val="18"/>
              </w:rPr>
              <w:t xml:space="preserve">平均CA</w:t>
            </w:r>
          </w:p>
        </w:tc>
        <w:tc>
          <w:tcPr/>
          <w:p>
            <w:pPr>
              <w:pStyle w:val="Compact"/>
            </w:pPr>
            <w:r>
              <w:rPr>
                <w:rFonts w:ascii="Times New Roman" w:hAnsi="Times New Roman" w:eastAsia="游明朝"/>
                <w:sz w:val="18"/>
              </w:rPr>
              <w:t xml:space="preserve">47%</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39%</w:t>
            </w:r>
          </w:p>
        </w:tc>
        <w:tc>
          <w:tcPr/>
          <w:p>
            <w:pPr>
              <w:pStyle w:val="Compact"/>
            </w:pPr>
            <w:r>
              <w:rPr>
                <w:rFonts w:ascii="Times New Roman" w:hAnsi="Times New Roman" w:eastAsia="游明朝"/>
                <w:sz w:val="18"/>
              </w:rPr>
              <w:t xml:space="preserve">47%</w:t>
            </w:r>
          </w:p>
        </w:tc>
        <w:tc>
          <w:tcPr/>
          <w:p>
            <w:pPr>
              <w:pStyle w:val="Compact"/>
            </w:pPr>
            <w:r>
              <w:rPr>
                <w:rFonts w:ascii="Times New Roman" w:hAnsi="Times New Roman" w:eastAsia="游明朝"/>
                <w:sz w:val="18"/>
              </w:rPr>
              <w:t xml:space="preserve">40%</w:t>
            </w:r>
          </w:p>
        </w:tc>
        <w:tc>
          <w:tcPr/>
          <w:p>
            <w:pPr>
              <w:pStyle w:val="Compact"/>
            </w:pPr>
            <w:r>
              <w:rPr>
                <w:rFonts w:ascii="Times New Roman" w:hAnsi="Times New Roman" w:eastAsia="游明朝"/>
                <w:sz w:val="18"/>
              </w:rPr>
              <w:t xml:space="preserve">63%</w:t>
            </w:r>
          </w:p>
        </w:tc>
      </w:tr>
      <w:tr>
        <w:tc>
          <w:tcPr/>
          <w:p>
            <w:pPr>
              <w:pStyle w:val="Compact"/>
            </w:pPr>
            <w:r>
              <w:rPr>
                <w:rFonts w:hint="eastAsia" w:ascii="Times New Roman" w:hAnsi="Times New Roman" w:eastAsia="游明朝"/>
                <w:sz w:val="18"/>
              </w:rPr>
              <w:t xml:space="preserve">平均CAGR</w:t>
            </w:r>
          </w:p>
        </w:tc>
        <w:tc>
          <w:tcPr/>
          <w:p>
            <w:pPr>
              <w:pStyle w:val="Compact"/>
            </w:pPr>
            <w:r>
              <w:rPr>
                <w:rFonts w:ascii="Times New Roman" w:hAnsi="Times New Roman" w:eastAsia="游明朝"/>
                <w:sz w:val="18"/>
              </w:rPr>
              <w:t xml:space="preserve">59%</w:t>
            </w:r>
          </w:p>
        </w:tc>
        <w:tc>
          <w:tcPr/>
          <w:p>
            <w:pPr>
              <w:pStyle w:val="Compact"/>
            </w:pPr>
            <w:r>
              <w:rPr>
                <w:rFonts w:ascii="Times New Roman" w:hAnsi="Times New Roman" w:eastAsia="游明朝"/>
                <w:sz w:val="18"/>
              </w:rPr>
              <w:t xml:space="preserve">69%</w:t>
            </w:r>
          </w:p>
        </w:tc>
        <w:tc>
          <w:tcPr/>
          <w:p>
            <w:pPr>
              <w:pStyle w:val="Compact"/>
            </w:pPr>
            <w:r>
              <w:rPr>
                <w:rFonts w:ascii="Times New Roman" w:hAnsi="Times New Roman" w:eastAsia="游明朝"/>
                <w:sz w:val="18"/>
              </w:rPr>
              <w:t xml:space="preserve">52%</w:t>
            </w:r>
          </w:p>
        </w:tc>
        <w:tc>
          <w:tcPr/>
          <w:p>
            <w:pPr>
              <w:pStyle w:val="Compact"/>
            </w:pPr>
            <w:r>
              <w:rPr>
                <w:rFonts w:ascii="Times New Roman" w:hAnsi="Times New Roman" w:eastAsia="游明朝"/>
                <w:sz w:val="18"/>
              </w:rPr>
              <w:t xml:space="preserve">53%</w:t>
            </w:r>
          </w:p>
        </w:tc>
        <w:tc>
          <w:tcPr/>
          <w:p>
            <w:pPr>
              <w:pStyle w:val="Compact"/>
            </w:pPr>
            <w:r>
              <w:rPr>
                <w:rFonts w:ascii="Times New Roman" w:hAnsi="Times New Roman" w:eastAsia="游明朝"/>
                <w:sz w:val="18"/>
              </w:rPr>
              <w:t xml:space="preserve">57%</w:t>
            </w:r>
          </w:p>
        </w:tc>
        <w:tc>
          <w:tcPr/>
          <w:p>
            <w:pPr>
              <w:pStyle w:val="Compact"/>
            </w:pPr>
            <w:r>
              <w:rPr>
                <w:rFonts w:ascii="Times New Roman" w:hAnsi="Times New Roman" w:eastAsia="游明朝"/>
                <w:sz w:val="18"/>
              </w:rPr>
              <w:t xml:space="preserve">60%</w:t>
            </w:r>
          </w:p>
        </w:tc>
      </w:tr>
      <w:tr>
        <w:tc>
          <w:tcPr/>
          <w:p>
            <w:pPr>
              <w:pStyle w:val="Compact"/>
            </w:pPr>
            <w:r>
              <w:rPr>
                <w:rFonts w:hint="eastAsia" w:ascii="Times New Roman" w:hAnsi="Times New Roman" w:eastAsia="游明朝"/>
                <w:sz w:val="18"/>
              </w:rPr>
              <w:t xml:space="preserve">最高CA</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90%</w:t>
            </w:r>
          </w:p>
        </w:tc>
      </w:tr>
      <w:tr>
        <w:tc>
          <w:tcPr/>
          <w:p>
            <w:pPr>
              <w:pStyle w:val="Compact"/>
            </w:pPr>
            <w:r>
              <w:rPr>
                <w:rFonts w:hint="eastAsia" w:ascii="Times New Roman" w:hAnsi="Times New Roman" w:eastAsia="游明朝"/>
                <w:sz w:val="18"/>
              </w:rPr>
              <w:t xml:space="preserve">90%の有無</w:t>
            </w:r>
          </w:p>
        </w:tc>
        <w:tc>
          <w:tcPr/>
          <w:p>
            <w:pPr>
              <w:pStyle w:val="Compact"/>
            </w:pPr>
            <w:r>
              <w:rPr>
                <w:rFonts w:ascii="Times New Roman" w:hAnsi="Times New Roman" w:eastAsia="游明朝"/>
                <w:sz w:val="18"/>
              </w:rPr>
              <w:t xml:space="preserve">No</w:t>
            </w:r>
          </w:p>
        </w:tc>
        <w:tc>
          <w:tcPr/>
          <w:p>
            <w:pPr>
              <w:pStyle w:val="Compact"/>
            </w:pPr>
            <w:r>
              <w:rPr>
                <w:rFonts w:ascii="Times New Roman" w:hAnsi="Times New Roman" w:eastAsia="游明朝"/>
                <w:sz w:val="18"/>
              </w:rPr>
              <w:t xml:space="preserve">No</w:t>
            </w:r>
          </w:p>
        </w:tc>
        <w:tc>
          <w:tcPr/>
          <w:p>
            <w:pPr>
              <w:pStyle w:val="Compact"/>
            </w:pPr>
            <w:r>
              <w:rPr>
                <w:rFonts w:ascii="Times New Roman" w:hAnsi="Times New Roman" w:eastAsia="游明朝"/>
                <w:sz w:val="18"/>
              </w:rPr>
              <w:t xml:space="preserve">No</w:t>
            </w:r>
          </w:p>
        </w:tc>
        <w:tc>
          <w:tcPr/>
          <w:p>
            <w:pPr>
              <w:pStyle w:val="Compact"/>
            </w:pPr>
            <w:r>
              <w:rPr>
                <w:rFonts w:ascii="Times New Roman" w:hAnsi="Times New Roman" w:eastAsia="游明朝"/>
                <w:sz w:val="18"/>
              </w:rPr>
              <w:t xml:space="preserve">No</w:t>
            </w:r>
          </w:p>
        </w:tc>
        <w:tc>
          <w:tcPr/>
          <w:p>
            <w:pPr>
              <w:pStyle w:val="Compact"/>
            </w:pPr>
            <w:r>
              <w:rPr>
                <w:rFonts w:ascii="Times New Roman" w:hAnsi="Times New Roman" w:eastAsia="游明朝"/>
                <w:sz w:val="18"/>
              </w:rPr>
              <w:t xml:space="preserve">No</w:t>
            </w:r>
          </w:p>
        </w:tc>
        <w:tc>
          <w:tcPr/>
          <w:p>
            <w:pPr>
              <w:pStyle w:val="Compact"/>
            </w:pPr>
            <w:r>
              <w:rPr>
                <w:rFonts w:ascii="Times New Roman" w:hAnsi="Times New Roman" w:eastAsia="游明朝"/>
                <w:sz w:val="18"/>
              </w:rPr>
              <w:t xml:space="preserve">Yes(2)</w:t>
            </w:r>
          </w:p>
        </w:tc>
      </w:tr>
      <w:tr>
        <w:tc>
          <w:tcPr/>
          <w:p>
            <w:pPr>
              <w:pStyle w:val="Compact"/>
            </w:pPr>
            <w:r>
              <w:rPr>
                <w:rFonts w:hint="eastAsia" w:ascii="Times New Roman" w:hAnsi="Times New Roman" w:eastAsia="游明朝"/>
                <w:sz w:val="18"/>
              </w:rPr>
              <w:t xml:space="preserve">主な特徴</w:t>
            </w:r>
          </w:p>
        </w:tc>
        <w:tc>
          <w:tcPr/>
          <w:p>
            <w:pPr>
              <w:pStyle w:val="Compact"/>
            </w:pPr>
            <w:r>
              <w:rPr>
                <w:rFonts w:hint="eastAsia" w:ascii="Times New Roman" w:hAnsi="Times New Roman" w:eastAsia="游明朝"/>
                <w:sz w:val="18"/>
              </w:rPr>
              <w:t xml:space="preserve">技術独占+崩壊リスク</w:t>
            </w:r>
          </w:p>
        </w:tc>
        <w:tc>
          <w:tcPr/>
          <w:p>
            <w:pPr>
              <w:pStyle w:val="Compact"/>
            </w:pPr>
            <w:r>
              <w:rPr>
                <w:rFonts w:hint="eastAsia" w:ascii="Times New Roman" w:hAnsi="Times New Roman" w:eastAsia="游明朝"/>
                <w:sz w:val="18"/>
              </w:rPr>
              <w:t xml:space="preserve">能力vs結果</w:t>
            </w:r>
          </w:p>
        </w:tc>
        <w:tc>
          <w:tcPr/>
          <w:p>
            <w:pPr>
              <w:pStyle w:val="Compact"/>
            </w:pPr>
            <w:r>
              <w:rPr>
                <w:rFonts w:hint="eastAsia" w:ascii="Times New Roman" w:hAnsi="Times New Roman" w:eastAsia="游明朝"/>
                <w:sz w:val="18"/>
              </w:rPr>
              <w:t xml:space="preserve">構造vs一般論</w:t>
            </w:r>
          </w:p>
        </w:tc>
        <w:tc>
          <w:tcPr/>
          <w:p>
            <w:pPr>
              <w:pStyle w:val="Compact"/>
            </w:pPr>
            <w:r>
              <w:rPr>
                <w:rFonts w:hint="eastAsia" w:ascii="Times New Roman" w:hAnsi="Times New Roman" w:eastAsia="游明朝"/>
                <w:sz w:val="18"/>
              </w:rPr>
              <w:t xml:space="preserve">業界共通</w:t>
            </w:r>
          </w:p>
        </w:tc>
        <w:tc>
          <w:tcPr/>
          <w:p>
            <w:pPr>
              <w:pStyle w:val="Compact"/>
            </w:pPr>
            <w:r>
              <w:rPr>
                <w:rFonts w:hint="eastAsia" w:ascii="Times New Roman" w:hAnsi="Times New Roman" w:eastAsia="游明朝"/>
                <w:sz w:val="18"/>
              </w:rPr>
              <w:t xml:space="preserve">シェア=結果</w:t>
            </w:r>
          </w:p>
        </w:tc>
        <w:tc>
          <w:tcPr/>
          <w:p>
            <w:pPr>
              <w:pStyle w:val="Compact"/>
            </w:pPr>
            <w:r>
              <w:rPr>
                <w:rFonts w:hint="eastAsia" w:ascii="Times New Roman" w:hAnsi="Times New Roman" w:eastAsia="游明朝"/>
                <w:sz w:val="18"/>
              </w:rPr>
              <w:t xml:space="preserve">業界構造合致</w:t>
            </w:r>
          </w:p>
        </w:tc>
      </w:tr>
    </w:tbl>
    <w:p>
      <w:pPr>
        <w:pStyle w:val="BodyText"/>
      </w:pPr>
      <w:r>
        <w:rPr>
          <w:rFonts w:hint="eastAsia"/>
        </w:rPr>
        <w:t xml:space="preserve">最も類似:</w:t>
      </w:r>
      <w:r>
        <w:t xml:space="preserve"> </w:t>
      </w:r>
      <w:r>
        <w:rPr>
          <w:rFonts w:hint="eastAsia"/>
          <w:b/>
          <w:bCs/>
        </w:rPr>
        <w:t xml:space="preserve">LLY（平均CA47%一致）</w:t>
      </w:r>
      <w:r>
        <w:t xml:space="preserve"> </w:t>
      </w:r>
      <w:r>
        <w:t xml:space="preserve">– </w:t>
      </w:r>
      <w:r>
        <w:rPr>
          <w:rFonts w:hint="eastAsia"/>
        </w:rPr>
        <w:t xml:space="preserve">技術特化企業における業界共通能力の厳格評価、REASONING段階での批判が重要という構造が類似。</w:t>
      </w:r>
    </w:p>
    <w:p>
      <w:r>
        <w:pict>
          <v:rect style="width:0;height:1.5pt" o:hralign="center" o:hrstd="t" o:hr="t"/>
        </w:pict>
      </w:r>
    </w:p>
    <w:bookmarkEnd w:id="30"/>
    <w:bookmarkEnd w:id="31"/>
    <w:bookmarkStart w:id="41"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39" w:name="評価スケール"/>
    <w:p>
      <w:pPr>
        <w:pStyle w:val="Heading3"/>
      </w:pPr>
      <w:r>
        <w:rPr>
          <w:rFonts w:hint="eastAsia"/>
        </w:rPr>
        <w:t xml:space="preserve">評価スケール</w:t>
      </w:r>
    </w:p>
    <w:p>
      <w:pPr>
        <w:pStyle w:val="Compact"/>
        <w:numPr>
          <w:ilvl w:val="0"/>
          <w:numId w:val="1004"/>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4"/>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4"/>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4"/>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4"/>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2" w:name="d-nandドライエッチング技術独占"/>
    <w:p>
      <w:pPr>
        <w:pStyle w:val="Heading4"/>
      </w:pPr>
      <w:r>
        <w:t xml:space="preserve">#1 3D </w:t>
      </w:r>
      <w:r>
        <w:rPr>
          <w:rFonts w:hint="eastAsia"/>
        </w:rPr>
        <w:t xml:space="preserve">NANDドライエッチング技術独占</w:t>
      </w:r>
    </w:p>
    <w:p>
      <w:pPr>
        <w:pStyle w:val="FirstParagraph"/>
      </w:pPr>
      <w:r>
        <w:rPr>
          <w:rFonts w:hint="eastAsia"/>
          <w:b/>
          <w:bCs/>
        </w:rPr>
        <w:t xml:space="preserve">AI評価（T8修正後）</w:t>
      </w:r>
      <w:r>
        <w:t xml:space="preserve">: </w:t>
      </w:r>
      <w:r>
        <w:rPr>
          <w:rFonts w:hint="eastAsia"/>
        </w:rPr>
        <w:t xml:space="preserve">70%（TEL浸透時CAGR</w:t>
      </w:r>
      <w:r>
        <w:t xml:space="preserve"> </w:t>
      </w:r>
      <w:r>
        <w:rPr>
          <w:rFonts w:hint="eastAsia"/>
        </w:rPr>
        <w:t xml:space="preserve">50%低下リスク）</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2"/>
    <w:bookmarkStart w:id="33" w:name="インテンシティ上昇恩恵"/>
    <w:p>
      <w:pPr>
        <w:pStyle w:val="Heading4"/>
      </w:pPr>
      <w:r>
        <w:t xml:space="preserve">#2 </w:t>
      </w:r>
      <w:r>
        <w:rPr>
          <w:rFonts w:hint="eastAsia"/>
        </w:rPr>
        <w:t xml:space="preserve">インテンシティ上昇恩恵</w:t>
      </w:r>
    </w:p>
    <w:p>
      <w:pPr>
        <w:pStyle w:val="FirstParagraph"/>
      </w:pPr>
      <w:r>
        <w:rPr>
          <w:rFonts w:hint="eastAsia"/>
          <w:b/>
          <w:bCs/>
        </w:rPr>
        <w:t xml:space="preserve">AI評価（T8修正後）</w:t>
      </w:r>
      <w:r>
        <w:t xml:space="preserve">: </w:t>
      </w:r>
      <w:r>
        <w:rPr>
          <w:rFonts w:hint="eastAsia"/>
        </w:rPr>
        <w:t xml:space="preserve">50%（#6との二重カウントリスク）</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3"/>
    <w:bookmarkStart w:id="34" w:name="installed-baseサービス基盤"/>
    <w:p>
      <w:pPr>
        <w:pStyle w:val="Heading4"/>
      </w:pPr>
      <w:r>
        <w:t xml:space="preserve">#3 Installed </w:t>
      </w:r>
      <w:r>
        <w:rPr>
          <w:rFonts w:hint="eastAsia"/>
        </w:rPr>
        <w:t xml:space="preserve">Baseサービス基盤</w:t>
      </w:r>
    </w:p>
    <w:p>
      <w:pPr>
        <w:pStyle w:val="FirstParagraph"/>
      </w:pPr>
      <w:r>
        <w:rPr>
          <w:rFonts w:hint="eastAsia"/>
          <w:b/>
          <w:bCs/>
        </w:rPr>
        <w:t xml:space="preserve">AI評価（T8修正後）</w:t>
      </w:r>
      <w:r>
        <w:t xml:space="preserve">: </w:t>
      </w:r>
      <w:r>
        <w:rPr>
          <w:rFonts w:hint="eastAsia"/>
        </w:rPr>
        <w:t xml:space="preserve">50%（サイクル変動を伴う成長基盤）</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スイッチングコスト"/>
    <w:p>
      <w:pPr>
        <w:pStyle w:val="Heading4"/>
      </w:pPr>
      <w:r>
        <w:t xml:space="preserve">#4 スイッチングコスト</w:t>
      </w:r>
    </w:p>
    <w:p>
      <w:pPr>
        <w:pStyle w:val="FirstParagraph"/>
      </w:pPr>
      <w:r>
        <w:rPr>
          <w:rFonts w:hint="eastAsia"/>
          <w:b/>
          <w:bCs/>
        </w:rPr>
        <w:t xml:space="preserve">AI評価（T8修正後）</w:t>
      </w:r>
      <w:r>
        <w:t xml:space="preserve">: </w:t>
      </w:r>
      <w:r>
        <w:rPr>
          <w:rFonts w:hint="eastAsia"/>
        </w:rPr>
        <w:t xml:space="preserve">50%（定量裏付け次第で70%↑/30%↓）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rd投資力"/>
    <w:p>
      <w:pPr>
        <w:pStyle w:val="Heading4"/>
      </w:pPr>
      <w:r>
        <w:t xml:space="preserve">#5 </w:t>
      </w:r>
      <w:r>
        <w:rPr>
          <w:rFonts w:hint="eastAsia"/>
        </w:rPr>
        <w:t xml:space="preserve">R&amp;D投資力</w:t>
      </w:r>
    </w:p>
    <w:p>
      <w:pPr>
        <w:pStyle w:val="FirstParagraph"/>
      </w:pPr>
      <w:r>
        <w:rPr>
          <w:rFonts w:hint="eastAsia"/>
          <w:b/>
          <w:bCs/>
        </w:rPr>
        <w:t xml:space="preserve">AI評価（T8修正後）</w:t>
      </w:r>
      <w:r>
        <w:t xml:space="preserve">: 30%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エッチング高シェア60"/>
    <w:p>
      <w:pPr>
        <w:pStyle w:val="Heading4"/>
      </w:pPr>
      <w:r>
        <w:t xml:space="preserve">#6 </w:t>
      </w:r>
      <w:r>
        <w:rPr>
          <w:rFonts w:hint="eastAsia"/>
        </w:rPr>
        <w:t xml:space="preserve">エッチング高シェア60%</w:t>
      </w:r>
    </w:p>
    <w:p>
      <w:pPr>
        <w:pStyle w:val="FirstParagraph"/>
      </w:pPr>
      <w:r>
        <w:rPr>
          <w:rFonts w:hint="eastAsia"/>
          <w:b/>
          <w:bCs/>
        </w:rPr>
        <w:t xml:space="preserve">AI評価（T8修正後）</w:t>
      </w:r>
      <w:r>
        <w:t xml:space="preserve">: </w:t>
      </w:r>
      <w:r>
        <w:rPr>
          <w:rFonts w:hint="eastAsia"/>
        </w:rPr>
        <w:t xml:space="preserve">50%（#1の結果指標）</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fcf還元方針"/>
    <w:p>
      <w:pPr>
        <w:pStyle w:val="Heading4"/>
      </w:pPr>
      <w:r>
        <w:t xml:space="preserve">#7 </w:t>
      </w:r>
      <w:r>
        <w:rPr>
          <w:rFonts w:hint="eastAsia"/>
        </w:rPr>
        <w:t xml:space="preserve">FCF還元方針</w:t>
      </w:r>
    </w:p>
    <w:p>
      <w:pPr>
        <w:pStyle w:val="FirstParagraph"/>
      </w:pPr>
      <w:r>
        <w:rPr>
          <w:rFonts w:hint="eastAsia"/>
          <w:b/>
          <w:bCs/>
        </w:rPr>
        <w:t xml:space="preserve">AI評価（T8修正後）</w:t>
      </w:r>
      <w:r>
        <w:t xml:space="preserve">: 30%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38"/>
    <w:bookmarkEnd w:id="39"/>
    <w:bookmarkStart w:id="40" w:name="追加フィードバック欄"/>
    <w:p>
      <w:pPr>
        <w:pStyle w:val="Heading3"/>
      </w:pPr>
      <w:r>
        <w:rPr>
          <w:rFonts w:hint="eastAsia"/>
        </w:rPr>
        <w:t xml:space="preserve">追加フィードバック欄</w:t>
      </w:r>
    </w:p>
    <w:p>
      <w:pPr>
        <w:pStyle w:val="Compact"/>
        <w:numPr>
          <w:ilvl w:val="0"/>
          <w:numId w:val="1005"/>
        </w:numPr>
      </w:pPr>
      <w:r>
        <w:rPr>
          <w:rFonts w:hint="eastAsia"/>
          <w:b/>
          <w:bCs/>
        </w:rPr>
        <w:t xml:space="preserve">AI評価に欠落している優位性はありますか？</w:t>
      </w:r>
      <w:r>
        <w:t xml:space="preserve">: ( )</w:t>
      </w:r>
    </w:p>
    <w:p>
      <w:pPr>
        <w:pStyle w:val="Compact"/>
        <w:numPr>
          <w:ilvl w:val="0"/>
          <w:numId w:val="1005"/>
        </w:numPr>
      </w:pPr>
      <w:r>
        <w:rPr>
          <w:rFonts w:hint="eastAsia"/>
          <w:b/>
          <w:bCs/>
        </w:rPr>
        <w:t xml:space="preserve">過大評価されている主張はどれですか？</w:t>
      </w:r>
      <w:r>
        <w:t xml:space="preserve">: ( )</w:t>
      </w:r>
    </w:p>
    <w:p>
      <w:pPr>
        <w:pStyle w:val="Compact"/>
        <w:numPr>
          <w:ilvl w:val="0"/>
          <w:numId w:val="1005"/>
        </w:numPr>
      </w:pPr>
      <w:r>
        <w:rPr>
          <w:rFonts w:hint="eastAsia"/>
          <w:b/>
          <w:bCs/>
        </w:rPr>
        <w:t xml:space="preserve">過小評価されている主張はどれですか？</w:t>
      </w:r>
      <w:r>
        <w:t xml:space="preserve">: ( )</w:t>
      </w:r>
    </w:p>
    <w:p>
      <w:pPr>
        <w:pStyle w:val="Compact"/>
        <w:numPr>
          <w:ilvl w:val="0"/>
          <w:numId w:val="1005"/>
        </w:numPr>
      </w:pPr>
      <w:r>
        <w:rPr>
          <w:rFonts w:hint="eastAsia"/>
          <w:b/>
          <w:bCs/>
        </w:rPr>
        <w:t xml:space="preserve">TELクライオエッチャー参入のインパクトをどう評価されますか？</w:t>
      </w:r>
      <w:r>
        <w:t xml:space="preserve">: ( )</w:t>
      </w:r>
    </w:p>
    <w:p>
      <w:pPr>
        <w:pStyle w:val="Compact"/>
        <w:numPr>
          <w:ilvl w:val="0"/>
          <w:numId w:val="1005"/>
        </w:numPr>
      </w:pPr>
      <w:r>
        <w:rPr>
          <w:rFonts w:hint="eastAsia"/>
          <w:b/>
          <w:bCs/>
        </w:rPr>
        <w:t xml:space="preserve">スイッチングコストの定量的根拠をお持ちですか？</w:t>
      </w:r>
      <w:r>
        <w:t xml:space="preserve">: ( )</w:t>
      </w:r>
    </w:p>
    <w:p>
      <w:pPr>
        <w:pStyle w:val="Compact"/>
        <w:numPr>
          <w:ilvl w:val="0"/>
          <w:numId w:val="1005"/>
        </w:numPr>
      </w:pPr>
      <w:r>
        <w:rPr>
          <w:rFonts w:hint="eastAsia"/>
          <w:b/>
          <w:bCs/>
        </w:rPr>
        <w:t xml:space="preserve">#2（インテンシティ上昇恩恵50%）と#6（高シェア60%→50%）の二重カウントリスクをどう見ますか？</w:t>
      </w:r>
      <w:r>
        <w:t xml:space="preserve">: ( )</w:t>
      </w:r>
    </w:p>
    <w:p>
      <w:pPr>
        <w:pStyle w:val="Compact"/>
        <w:numPr>
          <w:ilvl w:val="0"/>
          <w:numId w:val="1005"/>
        </w:numPr>
      </w:pPr>
      <w:r>
        <w:rPr>
          <w:rFonts w:hint="eastAsia"/>
          <w:b/>
          <w:bCs/>
        </w:rPr>
        <w:t xml:space="preserve">その他コメント</w:t>
      </w:r>
      <w:r>
        <w:t xml:space="preserve">: ( )</w:t>
      </w:r>
    </w:p>
    <w:p>
      <w:pPr>
        <w:pStyle w:val="FirstParagraph"/>
      </w:pPr>
      <w:r>
        <w:t xml:space="preserve">※ </w:t>
      </w:r>
      <w:r>
        <w:rPr>
          <w:rFonts w:hint="eastAsia"/>
        </w:rPr>
        <w:t xml:space="preserve">「アナリスト評価」列はアナリストが記入する欄です。AI評価との差異がKBの改善に直結します。</w:t>
      </w:r>
    </w:p>
    <w:p>
      <w:r>
        <w:pict>
          <v:rect style="width:0;height:1.5pt" o:hralign="center" o:hrstd="t" o:hr="t"/>
        </w:pict>
      </w:r>
    </w:p>
    <w:bookmarkEnd w:id="40"/>
    <w:bookmarkEnd w:id="41"/>
    <w:bookmarkStart w:id="43"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TELクライオエッチャー本格浸透時（2027年以降）はCAGR</w:t>
            </w:r>
            <w:r>
              <w:rPr>
                <w:rFonts w:ascii="Times New Roman" w:hAnsi="Times New Roman" w:eastAsia="游明朝"/>
                <w:sz w:val="18"/>
              </w:rPr>
              <w:t xml:space="preserve"> confidence </w:t>
            </w:r>
            <w:r>
              <w:rPr>
                <w:rFonts w:hint="eastAsia" w:ascii="Times New Roman" w:hAnsi="Times New Roman" w:eastAsia="游明朝"/>
                <w:sz w:val="18"/>
              </w:rPr>
              <w:t xml:space="preserve">70%→50%低下リスクの条件付きアノテーション追加</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LLY#6(30%)との差の根拠がLamのシェア（#6）に依存しており、#6との二重カウントリスクがある旨を明記</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コメント</w:t>
            </w:r>
          </w:p>
        </w:tc>
        <w:tc>
          <w:tcPr/>
          <w:p>
            <w:pPr>
              <w:pStyle w:val="Compact"/>
            </w:pPr>
            <w:r>
              <w:rP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「安定収入源」表現を削除し「サイクル変動はあるがInstalled</w:t>
            </w:r>
            <w:r>
              <w:rPr>
                <w:rFonts w:ascii="Times New Roman" w:hAnsi="Times New Roman" w:eastAsia="游明朝"/>
                <w:sz w:val="18"/>
              </w:rPr>
              <w:t xml:space="preserve"> </w:t>
            </w:r>
            <w:r>
              <w:rPr>
                <w:rFonts w:hint="eastAsia" w:ascii="Times New Roman" w:hAnsi="Times New Roman" w:eastAsia="游明朝"/>
                <w:sz w:val="18"/>
              </w:rPr>
              <w:t xml:space="preserve">Base増加に伴う中長期成長基盤」に修正</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「定量裏付けが得られれば70%↑、得られなければ30%↓」の双方向アノテーション追加</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#1の結果指標であり独立した競争優位性ではなく#1の裏付けとして位置づけを明確化</w:t>
            </w:r>
          </w:p>
        </w:tc>
      </w:tr>
    </w:tbl>
    <w:bookmarkStart w:id="42"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2"/>
    <w:bookmarkEnd w:id="43"/>
    <w:bookmarkEnd w:id="4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2026-02-27T01:55:56Z</dcterms:created>
  <dcterms:modified xsi:type="dcterms:W3CDTF">2026-02-27T01:55:56Z</dcterms:modified>
</cp:coreProperties>
</file>

<file path=docProps/custom.xml><?xml version="1.0" encoding="utf-8"?>
<Properties xmlns="http://schemas.openxmlformats.org/officeDocument/2006/custom-properties" xmlns:vt="http://schemas.openxmlformats.org/officeDocument/2006/docPropsVTypes"/>
</file>