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atcoaatlas-copco-ab競争優位性評価レポート最終版"/>
    <w:p>
      <w:pPr>
        <w:pStyle w:val="Heading1"/>
      </w:pPr>
      <w:r>
        <w:rPr>
          <w:rFonts w:hint="eastAsia"/>
        </w:rPr>
        <w:t xml:space="preserve">ATCOA（Atlas</w:t>
      </w:r>
      <w:r>
        <w:t xml:space="preserve"> Copco </w:t>
      </w:r>
      <w:r>
        <w:rPr>
          <w:rFonts w:hint="eastAsia"/>
        </w:rPr>
        <w:t xml:space="preserve">AB）競争優位性評価レポート（最終版）</w:t>
      </w:r>
    </w:p>
    <w:p>
      <w:pPr>
        <w:pStyle w:val="BlockText"/>
      </w:pPr>
      <w:r>
        <w:rPr>
          <w:b/>
          <w:bCs/>
        </w:rPr>
        <w:t xml:space="preserve">リサーチID</w:t>
      </w:r>
      <w:r>
        <w:t xml:space="preserve">: CA_eval_20260226-2125_ATCOA</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w:t>
      </w:r>
      <w:r>
        <w:rPr>
          <w:rFonts w:hint="eastAsia"/>
        </w:rPr>
        <w:t xml:space="preserve">IR開示資料（sec-data-enriched.json）,</w:t>
      </w:r>
      <w:r>
        <w:t xml:space="preserve"> </w:t>
      </w:r>
      <w:r>
        <w:rPr>
          <w:rFonts w:hint="eastAsia"/>
        </w:rPr>
        <w:t xml:space="preserve">アナリストレポート（analyst/raw/ATCOA</w:t>
      </w:r>
      <w:r>
        <w:t xml:space="preserve"> </w:t>
      </w:r>
      <w:r>
        <w:rPr>
          <w:rFonts w:hint="eastAsia"/>
        </w:rPr>
        <w:t xml:space="preserve">SS.md）</w:t>
      </w:r>
      <w:r>
        <w:t xml:space="preserve"> </w:t>
      </w:r>
      <w:r>
        <w:rPr>
          <w:b/>
          <w:bCs/>
        </w:rPr>
        <w:t xml:space="preserve">KBバージョン</w:t>
      </w:r>
      <w:r>
        <w:t xml:space="preserve">: </w:t>
      </w:r>
      <w:r>
        <w:rPr>
          <w:rFonts w:hint="eastAsia"/>
        </w:rPr>
        <w:t xml:space="preserve">v1.0（2026-02-26）</w:t>
      </w:r>
      <w:r>
        <w:t xml:space="preserve"> </w:t>
      </w:r>
      <w:r>
        <w:rPr>
          <w:rFonts w:hint="eastAsia"/>
          <w:b/>
          <w:bCs/>
        </w:rPr>
        <w:t xml:space="preserve">T8適用</w:t>
      </w:r>
      <w:r>
        <w:t xml:space="preserve">: </w:t>
      </w:r>
      <w:r>
        <w:rPr>
          <w:rFonts w:hint="eastAsia"/>
        </w:rPr>
        <w:t xml:space="preserve">critique.json（critical</w:t>
      </w:r>
      <w:r>
        <w:t xml:space="preserve"> x </w:t>
      </w:r>
      <w:r>
        <w:rPr>
          <w:rFonts w:hint="eastAsia"/>
        </w:rPr>
        <w:t xml:space="preserve">1件、minor</w:t>
      </w:r>
      <w:r>
        <w:t xml:space="preserve"> x </w:t>
      </w:r>
      <w:r>
        <w:rPr>
          <w:rFonts w:hint="eastAsia"/>
        </w:rPr>
        <w:t xml:space="preserve">5件）の指摘を反映済み</w:t>
      </w:r>
      <w:r>
        <w:t xml:space="preserve"> </w:t>
      </w:r>
      <w:r>
        <w:rPr>
          <w:rFonts w:hint="eastAsia"/>
          <w:b/>
          <w:bCs/>
        </w:rPr>
        <w:t xml:space="preserve">注</w:t>
      </w:r>
      <w:r>
        <w:t xml:space="preserve">: </w:t>
      </w:r>
      <w:r>
        <w:rPr>
          <w:rFonts w:hint="eastAsia"/>
        </w:rPr>
        <w:t xml:space="preserve">ATCOAはスウェーデン上場企業のため、SEC</w:t>
      </w:r>
      <w:r>
        <w:t xml:space="preserve"> EDGAR </w:t>
      </w:r>
      <w:r>
        <w:rPr>
          <w:rFonts w:hint="eastAsia"/>
        </w:rPr>
        <w:t xml:space="preserve">MCPによる独立財務検証は不可。IR開示資料とアナリストレポートの内部一貫性チェックを実施。</w:t>
      </w:r>
    </w:p>
    <w:p>
      <w:r>
        <w:pict>
          <v:rect style="width:0;height:1.5pt" o:hralign="center" o:hrstd="t" o:hr="t"/>
        </w:pict>
      </w:r>
    </w:p>
    <w:bookmarkStart w:id="9" w:name="銘柄概要"/>
    <w:p>
      <w:pPr>
        <w:pStyle w:val="Heading2"/>
      </w:pPr>
      <w:r>
        <w:t xml:space="preserve">1. </w:t>
      </w:r>
      <w:r>
        <w:rPr>
          <w:rFonts w:hint="eastAsia"/>
        </w:rPr>
        <w:t xml:space="preserve">銘柄概要</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企業名</w:t>
            </w:r>
          </w:p>
        </w:tc>
        <w:tc>
          <w:tcPr/>
          <w:p>
            <w:pPr>
              <w:pStyle w:val="Compact"/>
            </w:pPr>
            <w:r>
              <w:rPr>
                <w:rFonts w:ascii="Times New Roman" w:hAnsi="Times New Roman" w:eastAsia="游明朝"/>
                <w:sz w:val="18"/>
              </w:rPr>
              <w:t xml:space="preserve">Atlas Copco AB</w:t>
            </w:r>
          </w:p>
        </w:tc>
      </w:tr>
      <w:tr>
        <w:tc>
          <w:tcPr/>
          <w:p>
            <w:pPr>
              <w:pStyle w:val="Compact"/>
            </w:pPr>
            <w:r>
              <w:rPr>
                <w:rFonts w:ascii="Times New Roman" w:hAnsi="Times New Roman" w:eastAsia="游明朝"/>
                <w:sz w:val="18"/>
              </w:rPr>
              <w:t xml:space="preserve">ティッカー</w:t>
            </w:r>
          </w:p>
        </w:tc>
        <w:tc>
          <w:tcPr/>
          <w:p>
            <w:pPr>
              <w:pStyle w:val="Compact"/>
            </w:pPr>
            <w:r>
              <w:rPr>
                <w:rFonts w:ascii="Times New Roman" w:hAnsi="Times New Roman" w:eastAsia="游明朝"/>
                <w:sz w:val="18"/>
              </w:rPr>
              <w:t xml:space="preserve">ATCOA SS (Nasdaq Stockholm)</w:t>
            </w:r>
          </w:p>
        </w:tc>
      </w:tr>
      <w:tr>
        <w:tc>
          <w:tcPr/>
          <w:p>
            <w:pPr>
              <w:pStyle w:val="Compact"/>
            </w:pPr>
            <w:r>
              <w:rPr>
                <w:rFonts w:ascii="Times New Roman" w:hAnsi="Times New Roman" w:eastAsia="游明朝"/>
                <w:sz w:val="18"/>
              </w:rPr>
              <w:t xml:space="preserve">セクター</w:t>
            </w:r>
          </w:p>
        </w:tc>
        <w:tc>
          <w:tcPr/>
          <w:p>
            <w:pPr>
              <w:pStyle w:val="Compact"/>
            </w:pPr>
            <w:r>
              <w:rPr>
                <w:rFonts w:hint="eastAsia" w:ascii="Times New Roman" w:hAnsi="Times New Roman" w:eastAsia="游明朝"/>
                <w:sz w:val="18"/>
              </w:rPr>
              <w:t xml:space="preserve">資本財・産業機器</w:t>
            </w:r>
          </w:p>
        </w:tc>
      </w:tr>
      <w:tr>
        <w:tc>
          <w:tcPr/>
          <w:p>
            <w:pPr>
              <w:pStyle w:val="Compact"/>
            </w:pPr>
            <w:r>
              <w:rPr>
                <w:rFonts w:hint="eastAsia" w:ascii="Times New Roman" w:hAnsi="Times New Roman" w:eastAsia="游明朝"/>
                <w:sz w:val="18"/>
              </w:rPr>
              <w:t xml:space="preserve">事業概要</w:t>
            </w:r>
          </w:p>
        </w:tc>
        <w:tc>
          <w:tcPr/>
          <w:p>
            <w:pPr>
              <w:pStyle w:val="Compact"/>
            </w:pPr>
            <w:r>
              <w:rPr>
                <w:rFonts w:hint="eastAsia" w:ascii="Times New Roman" w:hAnsi="Times New Roman" w:eastAsia="游明朝"/>
                <w:sz w:val="18"/>
              </w:rPr>
              <w:t xml:space="preserve">産業用コンプレッサー・バキューム・産業用アセンブリ・パワーテクニック</w:t>
            </w:r>
          </w:p>
        </w:tc>
      </w:tr>
      <w:tr>
        <w:tc>
          <w:tcPr/>
          <w:p>
            <w:pPr>
              <w:pStyle w:val="Compact"/>
            </w:pPr>
            <w:r>
              <w:rPr>
                <w:rFonts w:hint="eastAsia" w:ascii="Times New Roman" w:hAnsi="Times New Roman" w:eastAsia="游明朝"/>
                <w:sz w:val="18"/>
              </w:rPr>
              <w:t xml:space="preserve">主要セグメント</w:t>
            </w:r>
          </w:p>
        </w:tc>
        <w:tc>
          <w:tcPr/>
          <w:p>
            <w:pPr>
              <w:pStyle w:val="Compact"/>
            </w:pPr>
            <w:r>
              <w:rPr>
                <w:rFonts w:hint="eastAsia" w:ascii="Times New Roman" w:hAnsi="Times New Roman" w:eastAsia="游明朝"/>
                <w:sz w:val="18"/>
              </w:rPr>
              <w:t xml:space="preserve">CT（コンプレッサー）、VT（バキューム）、IT（インダストリアルテクニック）、PT（パワーテクニック）</w:t>
            </w:r>
          </w:p>
        </w:tc>
      </w:tr>
      <w:tr>
        <w:tc>
          <w:tcPr/>
          <w:p>
            <w:pPr>
              <w:pStyle w:val="Compact"/>
            </w:pPr>
            <w:r>
              <w:rPr>
                <w:rFonts w:hint="eastAsia" w:ascii="Times New Roman" w:hAnsi="Times New Roman" w:eastAsia="游明朝"/>
                <w:sz w:val="18"/>
              </w:rPr>
              <w:t xml:space="preserve">主要株主</w:t>
            </w:r>
          </w:p>
        </w:tc>
        <w:tc>
          <w:tcPr/>
          <w:p>
            <w:pPr>
              <w:pStyle w:val="Compact"/>
            </w:pPr>
            <w:r>
              <w:rPr>
                <w:rFonts w:hint="eastAsia" w:ascii="Times New Roman" w:hAnsi="Times New Roman" w:eastAsia="游明朝"/>
                <w:sz w:val="18"/>
              </w:rPr>
              <w:t xml:space="preserve">Wallenberg家（Investor</w:t>
            </w:r>
            <w:r>
              <w:rPr>
                <w:rFonts w:ascii="Times New Roman" w:hAnsi="Times New Roman" w:eastAsia="游明朝"/>
                <w:sz w:val="18"/>
              </w:rPr>
              <w:t xml:space="preserve"> </w:t>
            </w:r>
            <w:r>
              <w:rPr>
                <w:rFonts w:hint="eastAsia" w:ascii="Times New Roman" w:hAnsi="Times New Roman" w:eastAsia="游明朝"/>
                <w:sz w:val="18"/>
              </w:rPr>
              <w:t xml:space="preserve">AB）約22%保有</w:t>
            </w:r>
          </w:p>
        </w:tc>
      </w:tr>
      <w:tr>
        <w:tc>
          <w:tcPr/>
          <w:p>
            <w:pPr>
              <w:pStyle w:val="Compact"/>
            </w:pPr>
            <w:r>
              <w:rPr>
                <w:rFonts w:ascii="Times New Roman" w:hAnsi="Times New Roman" w:eastAsia="游明朝"/>
                <w:sz w:val="18"/>
              </w:rPr>
              <w:t xml:space="preserve">FY2025 </w:t>
            </w:r>
            <w:r>
              <w:rPr>
                <w:rFonts w:hint="eastAsia" w:ascii="Times New Roman" w:hAnsi="Times New Roman" w:eastAsia="游明朝"/>
                <w:sz w:val="18"/>
              </w:rPr>
              <w:t xml:space="preserve">売上高</w:t>
            </w:r>
          </w:p>
        </w:tc>
        <w:tc>
          <w:tcPr/>
          <w:p>
            <w:pPr>
              <w:pStyle w:val="Compact"/>
            </w:pPr>
            <w:r>
              <w:rPr>
                <w:rFonts w:ascii="Times New Roman" w:hAnsi="Times New Roman" w:eastAsia="游明朝"/>
                <w:sz w:val="18"/>
              </w:rPr>
              <w:t xml:space="preserve">201B SEK</w:t>
            </w:r>
          </w:p>
        </w:tc>
      </w:tr>
      <w:tr>
        <w:tc>
          <w:tcPr/>
          <w:p>
            <w:pPr>
              <w:pStyle w:val="Compact"/>
            </w:pPr>
            <w:r>
              <w:rPr>
                <w:rFonts w:ascii="Times New Roman" w:hAnsi="Times New Roman" w:eastAsia="游明朝"/>
                <w:sz w:val="18"/>
              </w:rPr>
              <w:t xml:space="preserve">FY2025 EBITA Margin</w:t>
            </w:r>
          </w:p>
        </w:tc>
        <w:tc>
          <w:tcPr/>
          <w:p>
            <w:pPr>
              <w:pStyle w:val="Compact"/>
            </w:pPr>
            <w:r>
              <w:rPr>
                <w:rFonts w:ascii="Times New Roman" w:hAnsi="Times New Roman" w:eastAsia="游明朝"/>
                <w:sz w:val="18"/>
              </w:rPr>
              <w:t xml:space="preserve">21.4%</w:t>
            </w:r>
          </w:p>
        </w:tc>
      </w:tr>
      <w:tr>
        <w:tc>
          <w:tcPr/>
          <w:p>
            <w:pPr>
              <w:pStyle w:val="Compact"/>
            </w:pPr>
            <w:r>
              <w:rPr>
                <w:rFonts w:ascii="Times New Roman" w:hAnsi="Times New Roman" w:eastAsia="游明朝"/>
                <w:sz w:val="18"/>
              </w:rPr>
              <w:t xml:space="preserve">FY2025 ROCE</w:t>
            </w:r>
          </w:p>
        </w:tc>
        <w:tc>
          <w:tcPr/>
          <w:p>
            <w:pPr>
              <w:pStyle w:val="Compact"/>
            </w:pPr>
            <w:r>
              <w:rPr>
                <w:rFonts w:ascii="Times New Roman" w:hAnsi="Times New Roman" w:eastAsia="游明朝"/>
                <w:sz w:val="18"/>
              </w:rPr>
              <w:t xml:space="preserve">24%</w:t>
            </w:r>
          </w:p>
        </w:tc>
      </w:tr>
      <w:tr>
        <w:tc>
          <w:tcPr/>
          <w:p>
            <w:pPr>
              <w:pStyle w:val="Compact"/>
            </w:pPr>
            <w:r>
              <w:rPr>
                <w:rFonts w:hint="eastAsia" w:ascii="Times New Roman" w:hAnsi="Times New Roman" w:eastAsia="游明朝"/>
                <w:sz w:val="18"/>
              </w:rPr>
              <w:t xml:space="preserve">CAGR推定</w:t>
            </w:r>
          </w:p>
        </w:tc>
        <w:tc>
          <w:tcPr/>
          <w:p>
            <w:pPr>
              <w:pStyle w:val="Compact"/>
            </w:pPr>
            <w:r>
              <w:rPr>
                <w:rFonts w:hint="eastAsia" w:ascii="Times New Roman" w:hAnsi="Times New Roman" w:eastAsia="游明朝"/>
                <w:sz w:val="18"/>
              </w:rPr>
              <w:t xml:space="preserve">10%（売上8%+OPレバレッジ1%+自社株買い1%）</w:t>
            </w:r>
          </w:p>
        </w:tc>
      </w:tr>
    </w:tbl>
    <w:p>
      <w:r>
        <w:pict>
          <v:rect style="width:0;height:1.5pt" o:hralign="center" o:hrstd="t" o:hr="t"/>
        </w:pict>
      </w:r>
    </w:p>
    <w:bookmarkEnd w:id="9"/>
    <w:bookmarkStart w:id="10" w:name="競争優位性評価サマリー"/>
    <w:p>
      <w:pPr>
        <w:pStyle w:val="Heading2"/>
      </w:pPr>
      <w:r>
        <w:t xml:space="preserve">2. </w:t>
      </w:r>
      <w:r>
        <w:rPr>
          <w:rFonts w:hint="eastAsia"/>
        </w:rPr>
        <w:t xml:space="preserve">競争優位性評価サマリー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1080"/>
        <w:gridCol w:w="1440"/>
        <w:gridCol w:w="1620"/>
        <w:gridCol w:w="1620"/>
        <w:gridCol w:w="162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CAGR接続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主な根拠</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主な課題</w:t>
            </w:r>
          </w:p>
        </w:tc>
      </w:tr>
      <w:tr>
        <w:tc>
          <w:tcPr/>
          <w:p>
            <w:pPr>
              <w:pStyle w:val="Compact"/>
            </w:pPr>
            <w:r>
              <w:rPr>
                <w:rFonts w:ascii="Times New Roman" w:hAnsi="Times New Roman" w:eastAsia="游明朝"/>
                <w:sz w:val="18"/>
              </w:rPr>
              <w:t xml:space="preserve">1</w:t>
            </w:r>
          </w:p>
        </w:tc>
        <w:tc>
          <w:tcPr/>
          <w:p>
            <w:pPr>
              <w:pStyle w:val="Compact"/>
            </w:pPr>
            <w:r>
              <w:rPr>
                <w:rFonts w:ascii="Times New Roman" w:hAnsi="Times New Roman" w:eastAsia="游明朝"/>
                <w:sz w:val="18"/>
              </w:rPr>
              <w:t xml:space="preserve">インストールベース×アフターサービスによるスイッチングコスト</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70% [⬇️ </w:t>
            </w:r>
            <w:r>
              <w:rPr>
                <w:rFonts w:hint="eastAsia" w:ascii="Times New Roman" w:hAnsi="Times New Roman" w:eastAsia="游明朝"/>
                <w:sz w:val="18"/>
              </w:rPr>
              <w:t xml:space="preserve">T8修正:</w:t>
            </w:r>
            <w:r>
              <w:rPr>
                <w:rFonts w:ascii="Times New Roman" w:hAnsi="Times New Roman" w:eastAsia="游明朝"/>
                <w:sz w:val="18"/>
              </w:rPr>
              <w:t xml:space="preserve"> Churn </w:t>
            </w:r>
            <w:r>
              <w:rPr>
                <w:rFonts w:hint="eastAsia" w:ascii="Times New Roman" w:hAnsi="Times New Roman" w:eastAsia="游明朝"/>
                <w:sz w:val="18"/>
              </w:rPr>
              <w:t xml:space="preserve">Rate非開示の注記追加]</w:t>
            </w:r>
          </w:p>
        </w:tc>
        <w:tc>
          <w:tcPr/>
          <w:p>
            <w:pPr>
              <w:pStyle w:val="Compact"/>
            </w:pPr>
            <w:r>
              <w:rPr>
                <w:rFonts w:hint="eastAsia" w:ascii="Times New Roman" w:hAnsi="Times New Roman" w:eastAsia="游明朝"/>
                <w:sz w:val="18"/>
              </w:rPr>
              <w:t xml:space="preserve">TCO構成比、ROIC84%、シェア34%</w:t>
            </w:r>
          </w:p>
        </w:tc>
        <w:tc>
          <w:tcPr/>
          <w:p>
            <w:pPr>
              <w:pStyle w:val="Compact"/>
            </w:pPr>
            <w:r>
              <w:rPr>
                <w:rFonts w:hint="eastAsia" w:ascii="Times New Roman" w:hAnsi="Times New Roman" w:eastAsia="游明朝"/>
                <w:sz w:val="18"/>
              </w:rPr>
              <w:t xml:space="preserve">純粋競合比較不足、Churn</w:t>
            </w:r>
            <w:r>
              <w:rPr>
                <w:rFonts w:ascii="Times New Roman" w:hAnsi="Times New Roman" w:eastAsia="游明朝"/>
                <w:sz w:val="18"/>
              </w:rPr>
              <w:t xml:space="preserve"> </w:t>
            </w:r>
            <w:r>
              <w:rPr>
                <w:rFonts w:hint="eastAsia" w:ascii="Times New Roman" w:hAnsi="Times New Roman" w:eastAsia="游明朝"/>
                <w:sz w:val="18"/>
              </w:rPr>
              <w:t xml:space="preserve">Rate非開示</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バキューム事業のクロスセル・部品共通化</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50%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VT上振れ/下振れ要因の注記追加]</w:t>
            </w:r>
          </w:p>
        </w:tc>
        <w:tc>
          <w:tcPr/>
          <w:p>
            <w:pPr>
              <w:pStyle w:val="Compact"/>
            </w:pPr>
            <w:r>
              <w:rPr>
                <w:rFonts w:hint="eastAsia" w:ascii="Times New Roman" w:hAnsi="Times New Roman" w:eastAsia="游明朝"/>
                <w:sz w:val="18"/>
              </w:rPr>
              <w:t xml:space="preserve">クロスセル50%、部品共通75%、シェア50%</w:t>
            </w:r>
          </w:p>
        </w:tc>
        <w:tc>
          <w:tcPr/>
          <w:p>
            <w:pPr>
              <w:pStyle w:val="Compact"/>
            </w:pPr>
            <w:r>
              <w:rPr>
                <w:rFonts w:hint="eastAsia" w:ascii="Times New Roman" w:hAnsi="Times New Roman" w:eastAsia="游明朝"/>
                <w:sz w:val="18"/>
              </w:rPr>
              <w:t xml:space="preserve">VTダウンサイクル、セミコン向け価格弱</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分散型組織体制による環境適応力</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50%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ITW差別化の上振れ条件を注記]</w:t>
            </w:r>
          </w:p>
        </w:tc>
        <w:tc>
          <w:tcPr/>
          <w:p>
            <w:pPr>
              <w:pStyle w:val="Compact"/>
            </w:pPr>
            <w:r>
              <w:rPr>
                <w:rFonts w:ascii="Times New Roman" w:hAnsi="Times New Roman" w:eastAsia="游明朝"/>
                <w:sz w:val="18"/>
              </w:rPr>
              <w:t xml:space="preserve">23BU・400P/L・24ディビジョン</w:t>
            </w:r>
          </w:p>
        </w:tc>
        <w:tc>
          <w:tcPr/>
          <w:p>
            <w:pPr>
              <w:pStyle w:val="Compact"/>
            </w:pPr>
            <w:r>
              <w:rPr>
                <w:rFonts w:hint="eastAsia" w:ascii="Times New Roman" w:hAnsi="Times New Roman" w:eastAsia="游明朝"/>
                <w:sz w:val="18"/>
              </w:rPr>
              <w:t xml:space="preserve">ITW先行者、大企業病懸念</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変動費型コスト構造による景気耐性力</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75%アウトソース、アフターサービス比率</w:t>
            </w:r>
          </w:p>
        </w:tc>
        <w:tc>
          <w:tcPr/>
          <w:p>
            <w:pPr>
              <w:pStyle w:val="Compact"/>
            </w:pPr>
            <w:r>
              <w:rPr>
                <w:rFonts w:hint="eastAsia" w:ascii="Times New Roman" w:hAnsi="Times New Roman" w:eastAsia="游明朝"/>
                <w:sz w:val="18"/>
              </w:rPr>
              <w:t xml:space="preserve">結果であり能力ではない</w:t>
            </w:r>
          </w:p>
        </w:tc>
      </w:tr>
      <w:tr>
        <w:tc>
          <w:tcPr/>
          <w:p>
            <w:pPr>
              <w:pStyle w:val="Compact"/>
            </w:pPr>
            <w:r>
              <w:rPr>
                <w:rFonts w:ascii="Times New Roman" w:hAnsi="Times New Roman" w:eastAsia="游明朝"/>
                <w:sz w:val="18"/>
              </w:rPr>
              <w:t xml:space="preserve">5</w:t>
            </w:r>
          </w:p>
        </w:tc>
        <w:tc>
          <w:tcPr/>
          <w:p>
            <w:pPr>
              <w:pStyle w:val="Compact"/>
            </w:pPr>
            <w:r>
              <w:rPr>
                <w:rFonts w:ascii="Times New Roman" w:hAnsi="Times New Roman" w:eastAsia="游明朝"/>
                <w:sz w:val="18"/>
              </w:rPr>
              <w:t xml:space="preserve">M&amp;A </w:t>
            </w:r>
            <w:r>
              <w:rPr>
                <w:rFonts w:hint="eastAsia" w:ascii="Times New Roman" w:hAnsi="Times New Roman" w:eastAsia="游明朝"/>
                <w:sz w:val="18"/>
              </w:rPr>
              <w:t xml:space="preserve">Playbookと規律ある資本配分</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b/>
                <w:bCs/>
                <w:sz w:val="18"/>
              </w:rPr>
              <w:t xml:space="preserve">50%</w:t>
            </w:r>
            <w:r>
              <w:rPr>
                <w:rFonts w:ascii="Times New Roman" w:hAnsi="Times New Roman" w:eastAsia="游明朝"/>
                <w:sz w:val="18"/>
              </w:rPr>
              <w:t xml:space="preserve"> </w:t>
            </w:r>
            <w:r>
              <w:rPr>
                <w:rFonts w:ascii="Times New Roman" w:hAnsi="Times New Roman" w:eastAsia="游明朝"/>
                <w:sz w:val="18"/>
              </w:rPr>
              <w:t xml:space="preserve">[⬇️ </w:t>
            </w:r>
            <w:r>
              <w:rPr>
                <w:rFonts w:hint="eastAsia" w:ascii="Times New Roman" w:hAnsi="Times New Roman" w:eastAsia="游明朝"/>
                <w:sz w:val="18"/>
              </w:rPr>
              <w:t xml:space="preserve">T8修正:</w:t>
            </w:r>
            <w:r>
              <w:rPr>
                <w:rFonts w:ascii="Times New Roman" w:hAnsi="Times New Roman" w:eastAsia="游明朝"/>
                <w:sz w:val="18"/>
              </w:rPr>
              <w:t xml:space="preserve"> 70% -&gt; 50%]</w:t>
            </w:r>
          </w:p>
        </w:tc>
        <w:tc>
          <w:tcPr/>
          <w:p>
            <w:pPr>
              <w:pStyle w:val="Compact"/>
            </w:pPr>
            <w:r>
              <w:rPr>
                <w:rFonts w:hint="eastAsia" w:ascii="Times New Roman" w:hAnsi="Times New Roman" w:eastAsia="游明朝"/>
                <w:sz w:val="18"/>
              </w:rPr>
              <w:t xml:space="preserve">WACC8%基準、年29-33件、Epiroc売却</w:t>
            </w:r>
          </w:p>
        </w:tc>
        <w:tc>
          <w:tcPr/>
          <w:p>
            <w:pPr>
              <w:pStyle w:val="Compact"/>
            </w:pPr>
            <w:r>
              <w:rPr>
                <w:rFonts w:hint="eastAsia" w:ascii="Times New Roman" w:hAnsi="Times New Roman" w:eastAsia="游明朝"/>
                <w:sz w:val="18"/>
              </w:rPr>
              <w:t xml:space="preserve">IRR達成率不明、CA=CAGR整合性</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イノベーションによる顧客囲い込み</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50%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#1との関係性を明確化]</w:t>
            </w:r>
          </w:p>
        </w:tc>
        <w:tc>
          <w:tcPr/>
          <w:p>
            <w:pPr>
              <w:pStyle w:val="Compact"/>
            </w:pPr>
            <w:r>
              <w:rPr>
                <w:rFonts w:hint="eastAsia" w:ascii="Times New Roman" w:hAnsi="Times New Roman" w:eastAsia="游明朝"/>
                <w:sz w:val="18"/>
              </w:rPr>
              <w:t xml:space="preserve">R&amp;D一貫投下、7-8%効率改善</w:t>
            </w:r>
          </w:p>
        </w:tc>
        <w:tc>
          <w:tcPr/>
          <w:p>
            <w:pPr>
              <w:pStyle w:val="Compact"/>
            </w:pPr>
            <w:r>
              <w:rPr>
                <w:rFonts w:hint="eastAsia" w:ascii="Times New Roman" w:hAnsi="Times New Roman" w:eastAsia="游明朝"/>
                <w:sz w:val="18"/>
              </w:rPr>
              <w:t xml:space="preserve">Claim#1の派生、業界共通能力</w:t>
            </w:r>
          </w:p>
        </w:tc>
      </w:tr>
      <w:tr>
        <w:tc>
          <w:tcPr/>
          <w:p>
            <w:pPr>
              <w:pStyle w:val="Compact"/>
            </w:pPr>
            <w:r>
              <w:rPr>
                <w:rFonts w:ascii="Times New Roman" w:hAnsi="Times New Roman" w:eastAsia="游明朝"/>
                <w:sz w:val="18"/>
              </w:rPr>
              <w:t xml:space="preserve">7</w:t>
            </w:r>
          </w:p>
        </w:tc>
        <w:tc>
          <w:tcPr/>
          <w:p>
            <w:pPr>
              <w:pStyle w:val="Compact"/>
            </w:pPr>
            <w:r>
              <w:rPr>
                <w:rFonts w:hint="eastAsia" w:ascii="Times New Roman" w:hAnsi="Times New Roman" w:eastAsia="游明朝"/>
                <w:sz w:val="18"/>
              </w:rPr>
              <w:t xml:space="preserve">トップシェアによるプライシング主導権</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30%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MNST#1との差異を注記]</w:t>
            </w:r>
          </w:p>
        </w:tc>
        <w:tc>
          <w:tcPr/>
          <w:p>
            <w:pPr>
              <w:pStyle w:val="Compact"/>
            </w:pPr>
            <w:r>
              <w:rPr>
                <w:rFonts w:ascii="Times New Roman" w:hAnsi="Times New Roman" w:eastAsia="游明朝"/>
                <w:sz w:val="18"/>
              </w:rPr>
              <w:t xml:space="preserve">CTシェア34%、VTシェア50%</w:t>
            </w:r>
          </w:p>
        </w:tc>
        <w:tc>
          <w:tcPr/>
          <w:p>
            <w:pPr>
              <w:pStyle w:val="Compact"/>
            </w:pPr>
            <w:r>
              <w:rPr>
                <w:rFonts w:hint="eastAsia" w:ascii="Times New Roman" w:hAnsi="Times New Roman" w:eastAsia="游明朝"/>
                <w:sz w:val="18"/>
              </w:rPr>
              <w:t xml:space="preserve">シェア=結果、アナリスト懸念</w:t>
            </w:r>
          </w:p>
        </w:tc>
      </w:tr>
    </w:tbl>
    <w:p>
      <w:pPr>
        <w:pStyle w:val="BodyText"/>
      </w:pPr>
      <w:r>
        <w:rPr>
          <w:rFonts w:hint="eastAsia"/>
          <w:b/>
          <w:bCs/>
        </w:rPr>
        <w:t xml:space="preserve">平均CA確信度</w:t>
      </w:r>
      <w:r>
        <w:t xml:space="preserve">: 41% |</w:t>
      </w:r>
      <w:r>
        <w:t xml:space="preserve"> </w:t>
      </w:r>
      <w:r>
        <w:rPr>
          <w:rFonts w:hint="eastAsia"/>
          <w:b/>
          <w:bCs/>
        </w:rPr>
        <w:t xml:space="preserve">平均CAGR確信度</w:t>
      </w:r>
      <w:r>
        <w:t xml:space="preserve">: </w:t>
      </w:r>
      <w:r>
        <w:rPr>
          <w:rFonts w:hint="eastAsia"/>
        </w:rPr>
        <w:t xml:space="preserve">50%（T8修正後。修正前:</w:t>
      </w:r>
      <w:r>
        <w:t xml:space="preserve"> </w:t>
      </w:r>
      <w:r>
        <w:rPr>
          <w:rFonts w:hint="eastAsia"/>
        </w:rPr>
        <w:t xml:space="preserve">53%）</w:t>
      </w:r>
    </w:p>
    <w:p>
      <w:r>
        <w:pict>
          <v:rect style="width:0;height:1.5pt" o:hralign="center" o:hrstd="t" o:hr="t"/>
        </w:pict>
      </w:r>
    </w:p>
    <w:bookmarkEnd w:id="10"/>
    <w:bookmarkStart w:id="25" w:name="主張別詳細評価"/>
    <w:p>
      <w:pPr>
        <w:pStyle w:val="Heading2"/>
      </w:pPr>
      <w:r>
        <w:t xml:space="preserve">3. </w:t>
      </w:r>
      <w:r>
        <w:rPr>
          <w:rFonts w:hint="eastAsia"/>
        </w:rPr>
        <w:t xml:space="preserve">主張別詳細評価</w:t>
      </w:r>
    </w:p>
    <w:p>
      <w:r>
        <w:pict>
          <v:rect style="width:0;height:1.5pt" o:hralign="center" o:hrstd="t" o:hr="t"/>
        </w:pict>
      </w:r>
    </w:p>
    <w:bookmarkStart w:id="12" w:name="主張-1-インストールベースアフターサービスによるスイッチングコスト"/>
    <w:p>
      <w:pPr>
        <w:pStyle w:val="Heading3"/>
      </w:pPr>
      <w:r>
        <w:rPr>
          <w:rFonts w:hint="eastAsia"/>
        </w:rPr>
        <w:t xml:space="preserve">主張</w:t>
      </w:r>
      <w:r>
        <w:t xml:space="preserve"> #1: インストールベース×アフターサービスによるスイッチングコスト</w:t>
      </w:r>
    </w:p>
    <w:bookmarkStart w:id="11" w:name="Xd3274e116f203647aecdde591add1be86dfcb66"/>
    <w:p>
      <w:pPr>
        <w:pStyle w:val="Heading4"/>
      </w:pPr>
      <w:r>
        <w:rPr>
          <w:rFonts w:hint="eastAsia"/>
        </w:rPr>
        <w:t xml:space="preserve">AI評価:</w:t>
      </w:r>
      <w:r>
        <w:t xml:space="preserve"> </w:t>
      </w:r>
      <w:r>
        <w:rPr>
          <w:rFonts w:hint="eastAsia"/>
        </w:rPr>
        <w:t xml:space="preserve">おおむね納得（70%）</w:t>
      </w:r>
      <w:r>
        <w:t xml:space="preserve"> [⬇️ </w:t>
      </w:r>
      <w:r>
        <w:rPr>
          <w:rFonts w:hint="eastAsia"/>
        </w:rPr>
        <w:t xml:space="preserve">T8修正:</w:t>
      </w:r>
      <w:r>
        <w:t xml:space="preserve"> </w:t>
      </w:r>
      <w:r>
        <w:rPr>
          <w:rFonts w:hint="eastAsia"/>
        </w:rPr>
        <w:t xml:space="preserve">CAGR検証可能性に関するアノテーション追加]</w:t>
      </w:r>
    </w:p>
    <w:p>
      <w:pPr>
        <w:pStyle w:val="FirstParagraph"/>
      </w:pPr>
      <w:r>
        <w:rPr>
          <w:rFonts w:hint="eastAsia"/>
        </w:rPr>
        <w:t xml:space="preserve">ミッションクリティカル×カスタマイズ×アフターサービスという3要素が構造的スイッチングコストを形成。コンプレッサーのTCO構成比（電気代8割）により省エネ効果&gt;価格上昇の構造が値上げ受容性を担保。サービスエンジニア（2年訓練）による密着型サービス、直販比率80%（Customer</w:t>
      </w:r>
      <w:r>
        <w:t xml:space="preserve"> Centers </w:t>
      </w:r>
      <w:r>
        <w:rPr>
          <w:rFonts w:hint="eastAsia"/>
        </w:rPr>
        <w:t xml:space="preserve">300+）が顧客囲い込みを構造化。ROIC84%が高い顧客価値創出を裏付け。</w:t>
      </w:r>
    </w:p>
    <w:p>
      <w:pPr>
        <w:pStyle w:val="BodyText"/>
      </w:pPr>
      <w:r>
        <w:rPr>
          <w:rFonts w:hint="eastAsia"/>
          <w:b/>
          <w:bCs/>
        </w:rPr>
        <w:t xml:space="preserve">納得できる点</w:t>
      </w:r>
      <w:r>
        <w:t xml:space="preserve">:</w:t>
      </w:r>
      <w:r>
        <w:t xml:space="preserve"> </w:t>
      </w:r>
      <w:r>
        <w:t xml:space="preserve">- </w:t>
      </w:r>
      <w:r>
        <w:rPr>
          <w:rFonts w:hint="eastAsia"/>
        </w:rPr>
        <w:t xml:space="preserve">ミッションクリティカル性（工場の心臓部）×カスタマイズ性×アフターサービスの3層構造</w:t>
      </w:r>
      <w:r>
        <w:t xml:space="preserve"> </w:t>
      </w:r>
      <w:r>
        <w:t xml:space="preserve">- </w:t>
      </w:r>
      <w:r>
        <w:rPr>
          <w:rFonts w:hint="eastAsia"/>
        </w:rPr>
        <w:t xml:space="preserve">TCO構成比（電気代8割）が値上げ受容性を構造的に担保</w:t>
      </w:r>
      <w:r>
        <w:t xml:space="preserve"> </w:t>
      </w:r>
      <w:r>
        <w:t xml:space="preserve">- </w:t>
      </w:r>
      <w:r>
        <w:rPr>
          <w:rFonts w:hint="eastAsia"/>
        </w:rPr>
        <w:t xml:space="preserve">ROIC84%、シェア34%（2番手の1.8倍）という定量データ</w:t>
      </w:r>
      <w:r>
        <w:t xml:space="preserve"> </w:t>
      </w:r>
      <w:r>
        <w:t xml:space="preserve">-</w:t>
      </w:r>
      <w:r>
        <w:t xml:space="preserve"> </w:t>
      </w:r>
      <w:r>
        <w:rPr>
          <w:rFonts w:hint="eastAsia"/>
        </w:rPr>
        <w:t xml:space="preserve">Claim#6（イノベーション）の7-8%効率改善→リプレイス促進がこのスイッチングコストの持続可能性を支える要素</w:t>
      </w:r>
    </w:p>
    <w:p>
      <w:pPr>
        <w:pStyle w:val="BodyText"/>
      </w:pPr>
      <w:r>
        <w:rPr>
          <w:rFonts w:hint="eastAsia"/>
          <w:b/>
          <w:bCs/>
        </w:rPr>
        <w:t xml:space="preserve">懸念点</w:t>
      </w:r>
      <w:r>
        <w:t xml:space="preserve">:</w:t>
      </w:r>
      <w:r>
        <w:t xml:space="preserve"> </w:t>
      </w:r>
      <w:r>
        <w:t xml:space="preserve">- IR、Siemens </w:t>
      </w:r>
      <w:r>
        <w:rPr>
          <w:rFonts w:hint="eastAsia"/>
        </w:rPr>
        <w:t xml:space="preserve">Energy等の純粋競合とのスイッチングコストの「相対的強さ」比較が不足（ルール7</w:t>
      </w:r>
      <w:r>
        <w:t xml:space="preserve"> PARTIAL、パターンG </w:t>
      </w:r>
      <w:r>
        <w:rPr>
          <w:rFonts w:hint="eastAsia"/>
        </w:rPr>
        <w:t xml:space="preserve">moderate）</w:t>
      </w:r>
      <w:r>
        <w:t xml:space="preserve"> </w:t>
      </w:r>
      <w:r>
        <w:t xml:space="preserve">- </w:t>
      </w:r>
      <w:r>
        <w:rPr>
          <w:rFonts w:hint="eastAsia"/>
        </w:rPr>
        <w:t xml:space="preserve">インストールベース規模が非開示でOG安定成長の持続可能性に検証限界</w:t>
      </w:r>
      <w:r>
        <w:t xml:space="preserve"> </w:t>
      </w:r>
      <w:r>
        <w:t xml:space="preserve">- Churn </w:t>
      </w:r>
      <w:r>
        <w:rPr>
          <w:rFonts w:hint="eastAsia"/>
        </w:rPr>
        <w:t xml:space="preserve">Rate（顧客離反率）の定量開示がなく、「スイッチングコストが高い」という仮説の直接検証ができない</w:t>
      </w:r>
    </w:p>
    <w:p>
      <w:pPr>
        <w:pStyle w:val="BlockText"/>
      </w:pPr>
      <w:r>
        <w:rPr>
          <w:rFonts w:hint="eastAsia"/>
          <w:b/>
          <w:bCs/>
        </w:rPr>
        <w:t xml:space="preserve">[注1A]</w:t>
      </w:r>
      <w:r>
        <w:rPr>
          <w:b/>
          <w:bCs/>
        </w:rPr>
        <w:t xml:space="preserve"> </w:t>
      </w:r>
      <w:r>
        <w:rPr>
          <w:rFonts w:hint="eastAsia"/>
          <w:b/>
          <w:bCs/>
        </w:rPr>
        <w:t xml:space="preserve">T8批判</w:t>
      </w:r>
      <w:r>
        <w:rPr>
          <w:b/>
          <w:bCs/>
        </w:rPr>
        <w:t xml:space="preserve"> (minor): </w:t>
      </w:r>
      <w:r>
        <w:rPr>
          <w:rFonts w:hint="eastAsia"/>
          <w:b/>
          <w:bCs/>
        </w:rPr>
        <w:t xml:space="preserve">CAGR検証可能性とChurn</w:t>
      </w:r>
      <w:r>
        <w:rPr>
          <w:b/>
          <w:bCs/>
        </w:rPr>
        <w:t xml:space="preserve"> </w:t>
      </w:r>
      <w:r>
        <w:rPr>
          <w:rFonts w:hint="eastAsia"/>
          <w:b/>
          <w:bCs/>
        </w:rPr>
        <w:t xml:space="preserve">Rate非開示</w:t>
      </w:r>
    </w:p>
    <w:p>
      <w:pPr>
        <w:pStyle w:val="BlockText"/>
      </w:pPr>
      <w:r>
        <w:rPr>
          <w:rFonts w:hint="eastAsia"/>
        </w:rPr>
        <w:t xml:space="preserve">CAGR接続70%の根拠として「スイッチングコスト→高い顧客継続率→OG安定成長」を挙げているが、顧客継続率（Churn</w:t>
      </w:r>
      <w:r>
        <w:t xml:space="preserve"> </w:t>
      </w:r>
      <w:r>
        <w:rPr>
          <w:rFonts w:hint="eastAsia"/>
        </w:rPr>
        <w:t xml:space="preserve">Rate）の定量データが存在しない。KB3</w:t>
      </w:r>
      <w:r>
        <w:t xml:space="preserve"> </w:t>
      </w:r>
      <w:r>
        <w:rPr>
          <w:rFonts w:hint="eastAsia"/>
        </w:rPr>
        <w:t xml:space="preserve">COST顧客粘着力（CAGR90%）では「会員更新率・比率が適宜開示されており検証可能」が90%の根拠だった。ATCOAではROIC84%が間接的証拠として機能するが、直接的な顧客維持率データは得られていない。</w:t>
      </w:r>
    </w:p>
    <w:p>
      <w:pPr>
        <w:pStyle w:val="BlockText"/>
      </w:pPr>
      <w:r>
        <w:rPr>
          <w:rFonts w:hint="eastAsia"/>
          <w:b/>
          <w:bCs/>
        </w:rPr>
        <w:t xml:space="preserve">T8の判断</w:t>
      </w:r>
      <w:r>
        <w:t xml:space="preserve">: CA confidence 70%、CAGR confidence </w:t>
      </w:r>
      <w:r>
        <w:rPr>
          <w:rFonts w:hint="eastAsia"/>
        </w:rPr>
        <w:t xml:space="preserve">70%は適切と判断する。ただし</w:t>
      </w:r>
      <w:r>
        <w:t xml:space="preserve">Churn </w:t>
      </w:r>
      <w:r>
        <w:rPr>
          <w:rFonts w:hint="eastAsia"/>
        </w:rPr>
        <w:t xml:space="preserve">Rate等の直接的検証データが得られればCAGR接続は上振れの余地がある</w:t>
      </w:r>
      <w:r>
        <w:rPr>
          <w:rFonts w:hint="eastAsia"/>
        </w:rPr>
        <w:t xml:space="preserve">ことを明記した上での評価である。</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4"/>
        <w:gridCol w:w="2066"/>
        <w:gridCol w:w="3099"/>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R01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スイッチングコスト・カスタマイズ能力は仕組み</w:t>
            </w:r>
          </w:p>
        </w:tc>
      </w:tr>
      <w:tr>
        <w:tc>
          <w:tcPr/>
          <w:p>
            <w:pPr>
              <w:pStyle w:val="Compact"/>
            </w:pPr>
            <w:r>
              <w:rPr>
                <w:rFonts w:ascii="Times New Roman" w:hAnsi="Times New Roman" w:eastAsia="游明朝"/>
                <w:sz w:val="18"/>
              </w:rPr>
              <w:t xml:space="preserve">R02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スイッチングコスト、ミッションクリティカル性</w:t>
            </w:r>
          </w:p>
        </w:tc>
      </w:tr>
      <w:tr>
        <w:tc>
          <w:tcPr/>
          <w:p>
            <w:pPr>
              <w:pStyle w:val="Compact"/>
            </w:pPr>
            <w:r>
              <w:rPr>
                <w:rFonts w:ascii="Times New Roman" w:hAnsi="Times New Roman" w:eastAsia="游明朝"/>
                <w:sz w:val="18"/>
              </w:rPr>
              <w:t xml:space="preserve">R04 </w:t>
            </w:r>
            <w:r>
              <w:rPr>
                <w:rFonts w:hint="eastAsia" w:ascii="Times New Roman" w:hAnsi="Times New Roman" w:eastAsia="游明朝"/>
                <w:sz w:val="18"/>
              </w:rPr>
              <w:t xml:space="preserve">定量証拠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TCO構成比・直販率・ROIC豊富。Churn</w:t>
            </w:r>
            <w:r>
              <w:rPr>
                <w:rFonts w:ascii="Times New Roman" w:hAnsi="Times New Roman" w:eastAsia="游明朝"/>
                <w:sz w:val="18"/>
              </w:rPr>
              <w:t xml:space="preserve"> </w:t>
            </w:r>
            <w:r>
              <w:rPr>
                <w:rFonts w:hint="eastAsia" w:ascii="Times New Roman" w:hAnsi="Times New Roman" w:eastAsia="游明朝"/>
                <w:sz w:val="18"/>
              </w:rPr>
              <w:t xml:space="preserve">Rate非開示</w:t>
            </w:r>
          </w:p>
        </w:tc>
      </w:tr>
      <w:tr>
        <w:tc>
          <w:tcPr/>
          <w:p>
            <w:pPr>
              <w:pStyle w:val="Compact"/>
            </w:pPr>
            <w:r>
              <w:rPr>
                <w:rFonts w:ascii="Times New Roman" w:hAnsi="Times New Roman" w:eastAsia="游明朝"/>
                <w:sz w:val="18"/>
              </w:rPr>
              <w:t xml:space="preserve">R06 </w:t>
            </w:r>
            <w:r>
              <w:rPr>
                <w:rFonts w:hint="eastAsia" w:ascii="Times New Roman" w:hAnsi="Times New Roman" w:eastAsia="游明朝"/>
                <w:sz w:val="18"/>
              </w:rPr>
              <w:t xml:space="preserve">構造的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事業核心の構造的要素</w:t>
            </w:r>
          </w:p>
        </w:tc>
      </w:tr>
      <w:tr>
        <w:tc>
          <w:tcPr/>
          <w:p>
            <w:pPr>
              <w:pStyle w:val="Compact"/>
            </w:pPr>
            <w:r>
              <w:rPr>
                <w:rFonts w:ascii="Times New Roman" w:hAnsi="Times New Roman" w:eastAsia="游明朝"/>
                <w:sz w:val="18"/>
              </w:rPr>
              <w:t xml:space="preserve">R07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IR/Siemens等との具体的比較なし</w:t>
            </w:r>
          </w:p>
        </w:tc>
      </w:tr>
      <w:tr>
        <w:tc>
          <w:tcPr/>
          <w:p>
            <w:pPr>
              <w:pStyle w:val="Compact"/>
            </w:pPr>
            <w:r>
              <w:rPr>
                <w:rFonts w:ascii="Times New Roman" w:hAnsi="Times New Roman" w:eastAsia="游明朝"/>
                <w:sz w:val="18"/>
              </w:rPr>
              <w:t xml:space="preserve">R08 </w:t>
            </w:r>
            <w:r>
              <w:rPr>
                <w:rFonts w:hint="eastAsia" w:ascii="Times New Roman" w:hAnsi="Times New Roman" w:eastAsia="游明朝"/>
                <w:sz w:val="18"/>
              </w:rPr>
              <w:t xml:space="preserve">戦略≠優位</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構造的力として記述</w:t>
            </w:r>
          </w:p>
        </w:tc>
      </w:tr>
      <w:tr>
        <w:tc>
          <w:tcPr/>
          <w:p>
            <w:pPr>
              <w:pStyle w:val="Compact"/>
            </w:pPr>
            <w:r>
              <w:rPr>
                <w:rFonts w:ascii="Times New Roman" w:hAnsi="Times New Roman" w:eastAsia="游明朝"/>
                <w:sz w:val="18"/>
              </w:rPr>
              <w:t xml:space="preserve">R10 </w:t>
            </w:r>
            <w:r>
              <w:rPr>
                <w:rFonts w:hint="eastAsia" w:ascii="Times New Roman" w:hAnsi="Times New Roman" w:eastAsia="游明朝"/>
                <w:sz w:val="18"/>
              </w:rPr>
              <w:t xml:space="preserve">断念例</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ミッションクリティカル市場×トップシェア構造</w:t>
            </w:r>
          </w:p>
        </w:tc>
      </w:tr>
    </w:tbl>
    <w:p>
      <w:pPr>
        <w:pStyle w:val="BodyText"/>
      </w:pPr>
      <w:r>
        <w:rPr>
          <w:rFonts w:hint="eastAsia"/>
          <w:b/>
          <w:bCs/>
        </w:rPr>
        <w:t xml:space="preserve">検出パターン</w:t>
      </w:r>
      <w:r>
        <w:t xml:space="preserve">: </w:t>
      </w:r>
      <w:r>
        <w:rPr>
          <w:rFonts w:hint="eastAsia"/>
        </w:rPr>
        <w:t xml:space="preserve">高評価III（能力&gt;結果、strong）・I（定量裏付け、strong）・IV（構造的市場ポジション、moderate）</w:t>
      </w:r>
      <w:r>
        <w:t xml:space="preserve"> / </w:t>
      </w:r>
      <w:r>
        <w:rPr>
          <w:rFonts w:hint="eastAsia"/>
        </w:rPr>
        <w:t xml:space="preserve">却下G（純粋競合比較不足、moderate）</w:t>
      </w:r>
    </w:p>
    <w:p>
      <w:pPr>
        <w:pStyle w:val="BodyText"/>
      </w:pPr>
      <w:r>
        <w:rPr>
          <w:rFonts w:hint="eastAsia"/>
          <w:b/>
          <w:bCs/>
        </w:rPr>
        <w:t xml:space="preserve">CAGR接続（70%）</w:t>
      </w:r>
      <w:r>
        <w:t xml:space="preserve">: </w:t>
      </w:r>
      <w:r>
        <w:rPr>
          <w:rFonts w:hint="eastAsia"/>
        </w:rPr>
        <w:t xml:space="preserve">スイッチングコスト→高い顧客継続率→OG安定成長（OG5%のうちCT</w:t>
      </w:r>
      <w:r>
        <w:t xml:space="preserve"> </w:t>
      </w:r>
      <w:r>
        <w:rPr>
          <w:rFonts w:hint="eastAsia"/>
        </w:rPr>
        <w:t xml:space="preserve">OG4%の基盤）→インストールベース拡大→アフターサービス収益安定化。ROIC84%が高い顧客価値創出を裏付け。1-2ステップの比較的直接的な接続。Churn</w:t>
      </w:r>
      <w:r>
        <w:t xml:space="preserve"> </w:t>
      </w:r>
      <w:r>
        <w:rPr>
          <w:rFonts w:hint="eastAsia"/>
        </w:rPr>
        <w:t xml:space="preserve">Rate等の直接的検証データが得られれば上振れの余地あり。</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&lt;– </w:t>
      </w:r>
      <w:r>
        <w:rPr>
          <w:rFonts w:hint="eastAsia"/>
        </w:rPr>
        <w:t xml:space="preserve">AI評価（T8修正後の最終値）</w:t>
      </w:r>
    </w:p>
    <w:p>
      <w:r>
        <w:pict>
          <v:rect style="width:0;height:1.5pt" o:hralign="center" o:hrstd="t" o:hr="t"/>
        </w:pict>
      </w:r>
    </w:p>
    <w:bookmarkEnd w:id="11"/>
    <w:bookmarkEnd w:id="12"/>
    <w:bookmarkStart w:id="14" w:name="主張-2-バキューム事業のクロスセル部品共通化による規模の経済"/>
    <w:p>
      <w:pPr>
        <w:pStyle w:val="Heading3"/>
      </w:pPr>
      <w:r>
        <w:rPr>
          <w:rFonts w:hint="eastAsia"/>
        </w:rPr>
        <w:t xml:space="preserve">主張</w:t>
      </w:r>
      <w:r>
        <w:t xml:space="preserve"> #2: </w:t>
      </w:r>
      <w:r>
        <w:rPr>
          <w:rFonts w:hint="eastAsia"/>
        </w:rPr>
        <w:t xml:space="preserve">バキューム事業のクロスセル・部品共通化による規模の経済</w:t>
      </w:r>
    </w:p>
    <w:bookmarkStart w:id="13" w:name="ai評価-まあ納得50-t8修正-vt上振れ下振れ要因の注記追加"/>
    <w:p>
      <w:pPr>
        <w:pStyle w:val="Heading4"/>
      </w:pPr>
      <w:r>
        <w:rPr>
          <w:rFonts w:hint="eastAsia"/>
        </w:rPr>
        <w:t xml:space="preserve">AI評価:</w:t>
      </w:r>
      <w:r>
        <w:t xml:space="preserve"> </w:t>
      </w:r>
      <w:r>
        <w:rPr>
          <w:rFonts w:hint="eastAsia"/>
        </w:rPr>
        <w:t xml:space="preserve">まあ納得（50%）</w:t>
      </w:r>
      <w:r>
        <w:t xml:space="preserve"> [⬇️ </w:t>
      </w:r>
      <w:r>
        <w:rPr>
          <w:rFonts w:hint="eastAsia"/>
        </w:rPr>
        <w:t xml:space="preserve">T8修正:</w:t>
      </w:r>
      <w:r>
        <w:t xml:space="preserve"> </w:t>
      </w:r>
      <w:r>
        <w:rPr>
          <w:rFonts w:hint="eastAsia"/>
        </w:rPr>
        <w:t xml:space="preserve">VT上振れ/下振れ要因の注記追加]</w:t>
      </w:r>
    </w:p>
    <w:p>
      <w:pPr>
        <w:pStyle w:val="FirstParagraph"/>
      </w:pPr>
      <w:r>
        <w:rPr>
          <w:rFonts w:hint="eastAsia"/>
        </w:rPr>
        <w:t xml:space="preserve">クロスセル構造（顧客の半分がCT+VT両方購入）と部品共通化（VSD</w:t>
      </w:r>
      <w:r>
        <w:t xml:space="preserve"> </w:t>
      </w:r>
      <w:r>
        <w:rPr>
          <w:rFonts w:hint="eastAsia"/>
        </w:rPr>
        <w:t xml:space="preserve">75%共通）は定量的に裏付けられた実在する優位性。VT市場シェア50%とCFOの「プライシングも当社次第」コメントが支持材料。ただしVTダウンサイクル長期化（CEO：一番長い）とセミコン向け価格支配力の弱さ（LfLフラット）が50%の要因。</w:t>
      </w:r>
    </w:p>
    <w:p>
      <w:pPr>
        <w:pStyle w:val="BodyText"/>
      </w:pPr>
      <w:r>
        <w:rPr>
          <w:rFonts w:hint="eastAsia"/>
          <w:b/>
          <w:bCs/>
        </w:rPr>
        <w:t xml:space="preserve">納得できる点</w:t>
      </w:r>
      <w:r>
        <w:t xml:space="preserve">:</w:t>
      </w:r>
      <w:r>
        <w:t xml:space="preserve"> </w:t>
      </w:r>
      <w:r>
        <w:t xml:space="preserve">- </w:t>
      </w:r>
      <w:r>
        <w:rPr>
          <w:rFonts w:hint="eastAsia"/>
        </w:rPr>
        <w:t xml:space="preserve">クロスセル50%、部品共通75%と定量データが豊富</w:t>
      </w:r>
      <w:r>
        <w:t xml:space="preserve"> </w:t>
      </w:r>
      <w:r>
        <w:t xml:space="preserve">- </w:t>
      </w:r>
      <w:r>
        <w:rPr>
          <w:rFonts w:hint="eastAsia"/>
        </w:rPr>
        <w:t xml:space="preserve">CT-VTシナジーの構造的合理性</w:t>
      </w:r>
      <w:r>
        <w:t xml:space="preserve"> </w:t>
      </w:r>
      <w:r>
        <w:t xml:space="preserve">- </w:t>
      </w:r>
      <w:r>
        <w:rPr>
          <w:rFonts w:hint="eastAsia"/>
        </w:rPr>
        <w:t xml:space="preserve">半導体向け投資額の2%しか占めない（値上げ受容性）</w:t>
      </w:r>
    </w:p>
    <w:p>
      <w:pPr>
        <w:pStyle w:val="BodyText"/>
      </w:pPr>
      <w:r>
        <w:rPr>
          <w:rFonts w:hint="eastAsia"/>
          <w:b/>
          <w:bCs/>
        </w:rPr>
        <w:t xml:space="preserve">懸念点</w:t>
      </w:r>
      <w:r>
        <w:t xml:space="preserve">:</w:t>
      </w:r>
      <w:r>
        <w:t xml:space="preserve"> </w:t>
      </w:r>
      <w:r>
        <w:t xml:space="preserve">- </w:t>
      </w:r>
      <w:r>
        <w:rPr>
          <w:rFonts w:hint="eastAsia"/>
        </w:rPr>
        <w:t xml:space="preserve">VTダウンサイクル長期化（CEO：今まで経験した中で一番長い）</w:t>
      </w:r>
      <w:r>
        <w:t xml:space="preserve"> </w:t>
      </w:r>
      <w:r>
        <w:t xml:space="preserve">- </w:t>
      </w:r>
      <w:r>
        <w:rPr>
          <w:rFonts w:hint="eastAsia"/>
        </w:rPr>
        <w:t xml:space="preserve">セミコン向けはLfLフラット（価格支配力が機能しない）</w:t>
      </w:r>
      <w:r>
        <w:t xml:space="preserve"> </w:t>
      </w:r>
      <w:r>
        <w:t xml:space="preserve">- </w:t>
      </w:r>
      <w:r>
        <w:rPr>
          <w:rFonts w:hint="eastAsia"/>
        </w:rPr>
        <w:t xml:space="preserve">Ebara、島津との純粋競合比較なし（パターンG</w:t>
      </w:r>
      <w:r>
        <w:t xml:space="preserve"> </w:t>
      </w:r>
      <w:r>
        <w:rPr>
          <w:rFonts w:hint="eastAsia"/>
        </w:rPr>
        <w:t xml:space="preserve">moderate）</w:t>
      </w:r>
    </w:p>
    <w:p>
      <w:pPr>
        <w:pStyle w:val="BlockText"/>
      </w:pPr>
      <w:r>
        <w:rPr>
          <w:rFonts w:hint="eastAsia"/>
          <w:b/>
          <w:bCs/>
        </w:rPr>
        <w:t xml:space="preserve">[注2]</w:t>
      </w:r>
      <w:r>
        <w:rPr>
          <w:b/>
          <w:bCs/>
        </w:rPr>
        <w:t xml:space="preserve"> </w:t>
      </w:r>
      <w:r>
        <w:rPr>
          <w:rFonts w:hint="eastAsia"/>
          <w:b/>
          <w:bCs/>
        </w:rPr>
        <w:t xml:space="preserve">T8批判</w:t>
      </w:r>
      <w:r>
        <w:rPr>
          <w:b/>
          <w:bCs/>
        </w:rPr>
        <w:t xml:space="preserve"> (minor): </w:t>
      </w:r>
      <w:r>
        <w:rPr>
          <w:rFonts w:hint="eastAsia"/>
          <w:b/>
          <w:bCs/>
        </w:rPr>
        <w:t xml:space="preserve">VTサイクルの上振れ/下振れ要因の明示</w:t>
      </w:r>
    </w:p>
    <w:p>
      <w:pPr>
        <w:pStyle w:val="BlockText"/>
      </w:pPr>
      <w:r>
        <w:rPr>
          <w:rFonts w:hint="eastAsia"/>
        </w:rPr>
        <w:t xml:space="preserve">VTダウンサイクルのリスクを定性的に記述しているが、2025年4月面談で「Dry</w:t>
      </w:r>
      <w:r>
        <w:t xml:space="preserve"> </w:t>
      </w:r>
      <w:r>
        <w:rPr>
          <w:rFonts w:hint="eastAsia"/>
        </w:rPr>
        <w:t xml:space="preserve">Vacuum工場を米国に建設予定（現地生産唯一のプレイヤーに）」という上振れ要因がparsed-reportに含まれており、これが評価に反映されていない。一方でVTの回復タイミングは依然不透明。</w:t>
      </w:r>
    </w:p>
    <w:p>
      <w:pPr>
        <w:pStyle w:val="BlockText"/>
      </w:pPr>
      <w:r>
        <w:rPr>
          <w:rFonts w:hint="eastAsia"/>
          <w:b/>
          <w:bCs/>
        </w:rPr>
        <w:t xml:space="preserve">T8の判断</w:t>
      </w:r>
      <w:r>
        <w:t xml:space="preserve">: CAGR confidence </w:t>
      </w:r>
      <w:r>
        <w:rPr>
          <w:rFonts w:hint="eastAsia"/>
        </w:rPr>
        <w:t xml:space="preserve">50%は適切と判断する。ただし</w:t>
      </w:r>
      <w:r>
        <w:t xml:space="preserve">Dry </w:t>
      </w:r>
      <w:r>
        <w:rPr>
          <w:rFonts w:hint="eastAsia"/>
        </w:rPr>
        <w:t xml:space="preserve">Vacuum米国工場建設が上振れ要因</w:t>
      </w:r>
      <w:r>
        <w:rPr>
          <w:rFonts w:hint="eastAsia"/>
        </w:rPr>
        <w:t xml:space="preserve">（現地生産唯一のプレイヤー）、</w:t>
      </w:r>
      <w:r>
        <w:rPr>
          <w:rFonts w:hint="eastAsia"/>
        </w:rPr>
        <w:t xml:space="preserve">VTダウンサイクル継続が下振れ要因</w:t>
      </w:r>
      <w:r>
        <w:rPr>
          <w:rFonts w:hint="eastAsia"/>
        </w:rPr>
        <w:t xml:space="preserve">の両面を明記した上での評価である。</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R01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クロスセル構造と部品共通化はシステム</w:t>
            </w:r>
          </w:p>
        </w:tc>
      </w:tr>
      <w:tr>
        <w:tc>
          <w:tcPr/>
          <w:p>
            <w:pPr>
              <w:pStyle w:val="Compact"/>
            </w:pPr>
            <w:r>
              <w:rPr>
                <w:rFonts w:ascii="Times New Roman" w:hAnsi="Times New Roman" w:eastAsia="游明朝"/>
                <w:sz w:val="18"/>
              </w:rPr>
              <w:t xml:space="preserve">R02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規模の経済、クロスセル構造</w:t>
            </w:r>
          </w:p>
        </w:tc>
      </w:tr>
      <w:tr>
        <w:tc>
          <w:tcPr/>
          <w:p>
            <w:pPr>
              <w:pStyle w:val="Compact"/>
            </w:pPr>
            <w:r>
              <w:rPr>
                <w:rFonts w:ascii="Times New Roman" w:hAnsi="Times New Roman" w:eastAsia="游明朝"/>
                <w:sz w:val="18"/>
              </w:rPr>
              <w:t xml:space="preserve">R04 </w:t>
            </w:r>
            <w:r>
              <w:rPr>
                <w:rFonts w:hint="eastAsia" w:ascii="Times New Roman" w:hAnsi="Times New Roman" w:eastAsia="游明朝"/>
                <w:sz w:val="18"/>
              </w:rPr>
              <w:t xml:space="preserve">定量証拠</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クロスセル50%、部品共通75%等</w:t>
            </w:r>
          </w:p>
        </w:tc>
      </w:tr>
      <w:tr>
        <w:tc>
          <w:tcPr/>
          <w:p>
            <w:pPr>
              <w:pStyle w:val="Compact"/>
            </w:pPr>
            <w:r>
              <w:rPr>
                <w:rFonts w:ascii="Times New Roman" w:hAnsi="Times New Roman" w:eastAsia="游明朝"/>
                <w:sz w:val="18"/>
              </w:rPr>
              <w:t xml:space="preserve">R06 </w:t>
            </w:r>
            <w:r>
              <w:rPr>
                <w:rFonts w:hint="eastAsia" w:ascii="Times New Roman" w:hAnsi="Times New Roman" w:eastAsia="游明朝"/>
                <w:sz w:val="18"/>
              </w:rPr>
              <w:t xml:space="preserve">構造的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CT-VT間のシナジーは構造的</w:t>
            </w:r>
          </w:p>
        </w:tc>
      </w:tr>
      <w:tr>
        <w:tc>
          <w:tcPr/>
          <w:p>
            <w:pPr>
              <w:pStyle w:val="Compact"/>
            </w:pPr>
            <w:r>
              <w:rPr>
                <w:rFonts w:ascii="Times New Roman" w:hAnsi="Times New Roman" w:eastAsia="游明朝"/>
                <w:sz w:val="18"/>
              </w:rPr>
              <w:t xml:space="preserve">R07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Ebara・島津との比較なし</w:t>
            </w:r>
          </w:p>
        </w:tc>
      </w:tr>
      <w:tr>
        <w:tc>
          <w:tcPr/>
          <w:p>
            <w:pPr>
              <w:pStyle w:val="Compact"/>
            </w:pPr>
            <w:r>
              <w:rPr>
                <w:rFonts w:ascii="Times New Roman" w:hAnsi="Times New Roman" w:eastAsia="游明朝"/>
                <w:sz w:val="18"/>
              </w:rPr>
              <w:t xml:space="preserve">R08 </w:t>
            </w:r>
            <w:r>
              <w:rPr>
                <w:rFonts w:hint="eastAsia" w:ascii="Times New Roman" w:hAnsi="Times New Roman" w:eastAsia="游明朝"/>
                <w:sz w:val="18"/>
              </w:rPr>
              <w:t xml:space="preserve">戦略≠優位</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構造的事実を主張</w:t>
            </w:r>
          </w:p>
        </w:tc>
      </w:tr>
      <w:tr>
        <w:tc>
          <w:tcPr/>
          <w:p>
            <w:pPr>
              <w:pStyle w:val="Compact"/>
            </w:pPr>
            <w:r>
              <w:rPr>
                <w:rFonts w:ascii="Times New Roman" w:hAnsi="Times New Roman" w:eastAsia="游明朝"/>
                <w:sz w:val="18"/>
              </w:rPr>
              <w:t xml:space="preserve">R10 </w:t>
            </w:r>
            <w:r>
              <w:rPr>
                <w:rFonts w:hint="eastAsia" w:ascii="Times New Roman" w:hAnsi="Times New Roman" w:eastAsia="游明朝"/>
                <w:sz w:val="18"/>
              </w:rPr>
              <w:t xml:space="preserve">断念例</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市場フラグメント度の分析なし</w:t>
            </w:r>
          </w:p>
        </w:tc>
      </w:tr>
    </w:tbl>
    <w:p>
      <w:pPr>
        <w:pStyle w:val="BodyText"/>
      </w:pPr>
      <w:r>
        <w:rPr>
          <w:rFonts w:hint="eastAsia"/>
          <w:b/>
          <w:bCs/>
        </w:rPr>
        <w:t xml:space="preserve">検出パターン</w:t>
      </w:r>
      <w:r>
        <w:t xml:space="preserve">: </w:t>
      </w:r>
      <w:r>
        <w:rPr>
          <w:rFonts w:hint="eastAsia"/>
        </w:rPr>
        <w:t xml:space="preserve">高評価I（定量裏付け、moderate）・III（能力&gt;結果、moderate）</w:t>
      </w:r>
      <w:r>
        <w:t xml:space="preserve"> / </w:t>
      </w:r>
      <w:r>
        <w:rPr>
          <w:rFonts w:hint="eastAsia"/>
        </w:rPr>
        <w:t xml:space="preserve">却下G（純粋競合比較不足、moderate）</w:t>
      </w:r>
    </w:p>
    <w:p>
      <w:pPr>
        <w:pStyle w:val="BodyText"/>
      </w:pPr>
      <w:r>
        <w:rPr>
          <w:rFonts w:hint="eastAsia"/>
          <w:b/>
          <w:bCs/>
        </w:rPr>
        <w:t xml:space="preserve">CAGR接続（50%）</w:t>
      </w:r>
      <w:r>
        <w:t xml:space="preserve">: </w:t>
      </w:r>
      <w:r>
        <w:rPr>
          <w:rFonts w:hint="eastAsia"/>
        </w:rPr>
        <w:t xml:space="preserve">クロスセル→CT/VT売上シナジー→マージン改善。VTサービス比率40%ターゲット→安定収益源拡大。VT</w:t>
      </w:r>
      <w:r>
        <w:t xml:space="preserve"> </w:t>
      </w:r>
      <w:r>
        <w:rPr>
          <w:rFonts w:hint="eastAsia"/>
        </w:rPr>
        <w:t xml:space="preserve">OPM改善年20bp→全社OPレバレッジ1%への寄与。ただしVTダウンサイクル長期化が短期CAGR寄与を圧迫。Dry</w:t>
      </w:r>
      <w:r>
        <w:t xml:space="preserve"> </w:t>
      </w:r>
      <w:r>
        <w:rPr>
          <w:rFonts w:hint="eastAsia"/>
        </w:rPr>
        <w:t xml:space="preserve">Vacuum米国工場建設が上振れ要因。</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3"/>
    <w:bookmarkEnd w:id="14"/>
    <w:bookmarkStart w:id="16" w:name="主張-3-分散型組織体制による環境適応力"/>
    <w:p>
      <w:pPr>
        <w:pStyle w:val="Heading3"/>
      </w:pPr>
      <w:r>
        <w:rPr>
          <w:rFonts w:hint="eastAsia"/>
        </w:rPr>
        <w:t xml:space="preserve">主張</w:t>
      </w:r>
      <w:r>
        <w:t xml:space="preserve"> #3: </w:t>
      </w:r>
      <w:r>
        <w:rPr>
          <w:rFonts w:hint="eastAsia"/>
        </w:rPr>
        <w:t xml:space="preserve">分散型組織体制による環境適応力</w:t>
      </w:r>
    </w:p>
    <w:bookmarkStart w:id="15" w:name="ai評価-あまり納得しない30-t8修正-itw差別化の上振れ条件を注記"/>
    <w:p>
      <w:pPr>
        <w:pStyle w:val="Heading4"/>
      </w:pPr>
      <w:r>
        <w:rPr>
          <w:rFonts w:hint="eastAsia"/>
        </w:rPr>
        <w:t xml:space="preserve">AI評価:</w:t>
      </w:r>
      <w:r>
        <w:t xml:space="preserve"> </w:t>
      </w:r>
      <w:r>
        <w:rPr>
          <w:rFonts w:hint="eastAsia"/>
        </w:rPr>
        <w:t xml:space="preserve">あまり納得しない（30%）</w:t>
      </w:r>
      <w:r>
        <w:t xml:space="preserve"> [⬇️ </w:t>
      </w:r>
      <w:r>
        <w:rPr>
          <w:rFonts w:hint="eastAsia"/>
        </w:rPr>
        <w:t xml:space="preserve">T8修正:</w:t>
      </w:r>
      <w:r>
        <w:t xml:space="preserve"> </w:t>
      </w:r>
      <w:r>
        <w:rPr>
          <w:rFonts w:hint="eastAsia"/>
        </w:rPr>
        <w:t xml:space="preserve">ITW差別化の上振れ条件を注記]</w:t>
      </w:r>
    </w:p>
    <w:p>
      <w:pPr>
        <w:pStyle w:val="FirstParagraph"/>
      </w:pPr>
      <w:r>
        <w:rPr>
          <w:rFonts w:hint="eastAsia"/>
        </w:rPr>
        <w:t xml:space="preserve">4セグメント・23BU・約400のP/Lに分散し、24ディビジョンのボトムアップ意思決定。組織構造としての事実は確認できるが、分散型組織は多くのコングロマリットが標榜する運営モデルであり、ATCOAに固有の優位性とは言い難い。アナリストレポート自身が「ITWが先行者（80/20戦略で有名なコングロマリット企業）」と記載。さらに2025年4月面談で「大企業病的な要素が多分にあるのでは」「リアクティブ」と懸念。</w:t>
      </w:r>
    </w:p>
    <w:p>
      <w:pPr>
        <w:pStyle w:val="BodyText"/>
      </w:pPr>
      <w:r>
        <w:rPr>
          <w:rFonts w:hint="eastAsia"/>
          <w:b/>
          <w:bCs/>
        </w:rPr>
        <w:t xml:space="preserve">納得できる点</w:t>
      </w:r>
      <w:r>
        <w:t xml:space="preserve">:</w:t>
      </w:r>
      <w:r>
        <w:t xml:space="preserve"> </w:t>
      </w:r>
      <w:r>
        <w:t xml:space="preserve">- </w:t>
      </w:r>
      <w:r>
        <w:rPr>
          <w:rFonts w:hint="eastAsia"/>
        </w:rPr>
        <w:t xml:space="preserve">23BU・400P/L・24ディビジョンの組織構造は事実</w:t>
      </w:r>
      <w:r>
        <w:t xml:space="preserve"> </w:t>
      </w:r>
      <w:r>
        <w:t xml:space="preserve">- </w:t>
      </w:r>
      <w:r>
        <w:rPr>
          <w:rFonts w:hint="eastAsia"/>
        </w:rPr>
        <w:t xml:space="preserve">ボトムアップ意思決定体制は確認可能</w:t>
      </w:r>
    </w:p>
    <w:p>
      <w:pPr>
        <w:pStyle w:val="BodyText"/>
      </w:pPr>
      <w:r>
        <w:rPr>
          <w:rFonts w:hint="eastAsia"/>
          <w:b/>
          <w:bCs/>
        </w:rPr>
        <w:t xml:space="preserve">懸念点</w:t>
      </w:r>
      <w:r>
        <w:t xml:space="preserve">:</w:t>
      </w:r>
      <w:r>
        <w:t xml:space="preserve"> </w:t>
      </w:r>
      <w:r>
        <w:t xml:space="preserve">- </w:t>
      </w:r>
      <w:r>
        <w:rPr>
          <w:rFonts w:hint="eastAsia"/>
        </w:rPr>
        <w:t xml:space="preserve">ITWが先行者として明示的に言及されており、ATCOAの固有性不明（ルール7</w:t>
      </w:r>
      <w:r>
        <w:t xml:space="preserve"> WARN、パターンB </w:t>
      </w:r>
      <w:r>
        <w:rPr>
          <w:rFonts w:hint="eastAsia"/>
        </w:rPr>
        <w:t xml:space="preserve">moderate）</w:t>
      </w:r>
      <w:r>
        <w:t xml:space="preserve"> </w:t>
      </w:r>
      <w:r>
        <w:t xml:space="preserve">- </w:t>
      </w:r>
      <w:r>
        <w:rPr>
          <w:rFonts w:hint="eastAsia"/>
        </w:rPr>
        <w:t xml:space="preserve">アナリスト自身が「大企業病的」「リアクティブ」と懸念（2025年4月面談）</w:t>
      </w:r>
      <w:r>
        <w:t xml:space="preserve"> </w:t>
      </w:r>
      <w:r>
        <w:t xml:space="preserve">- </w:t>
      </w:r>
      <w:r>
        <w:rPr>
          <w:rFonts w:hint="eastAsia"/>
        </w:rPr>
        <w:t xml:space="preserve">「分散型組織=環境適応力」の因果は自明ではない</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w:t>
      </w:r>
      <w:r>
        <w:rPr>
          <w:rFonts w:hint="eastAsia"/>
          <w:b/>
          <w:bCs/>
        </w:rPr>
        <w:t xml:space="preserve">LLY#6との比較と上振れ条件</w:t>
      </w:r>
    </w:p>
    <w:p>
      <w:pPr>
        <w:pStyle w:val="BlockText"/>
      </w:pPr>
      <w:r>
        <w:rPr>
          <w:rFonts w:hint="eastAsia"/>
        </w:rPr>
        <w:t xml:space="preserve">Claim#3の30%評価はLLY#6（グローバル大手共通ネットワーク→30%）をキャリブレーション基準としたが、ATCOAの分散型組織は23BU・400P/L・24ディビジョンのボトムアップという具体的仕組みの記述がLLY#6よりは能力の具体性が高い。5段階スケールの制約上30%が最適解だが、</w:t>
      </w:r>
      <w:r>
        <w:rPr>
          <w:rFonts w:hint="eastAsia"/>
        </w:rPr>
        <w:t xml:space="preserve">ITWとの差別化が具体的に示されれば50%に上昇する可能性がある</w:t>
      </w:r>
      <w:r>
        <w:t xml:space="preserve">。</w:t>
      </w:r>
    </w:p>
    <w:p>
      <w:pPr>
        <w:pStyle w:val="BlockText"/>
      </w:pPr>
      <w:r>
        <w:rPr>
          <w:rFonts w:hint="eastAsia"/>
          <w:b/>
          <w:bCs/>
        </w:rPr>
        <w:t xml:space="preserve">T8の判断</w:t>
      </w:r>
      <w:r>
        <w:t xml:space="preserve">: CA confidence </w:t>
      </w:r>
      <w:r>
        <w:rPr>
          <w:rFonts w:hint="eastAsia"/>
        </w:rPr>
        <w:t xml:space="preserve">30%は適切と判断する。ITW対比でATCOAの分散型組織がどう独自であるかの具体的エビデンスが得られれば再評価の余地あり。</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4"/>
        <w:gridCol w:w="2066"/>
        <w:gridCol w:w="3099"/>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R01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組織は能力だが環境適応力への因果不明確</w:t>
            </w:r>
          </w:p>
        </w:tc>
      </w:tr>
      <w:tr>
        <w:tc>
          <w:tcPr/>
          <w:p>
            <w:pPr>
              <w:pStyle w:val="Compact"/>
            </w:pPr>
            <w:r>
              <w:rPr>
                <w:rFonts w:ascii="Times New Roman" w:hAnsi="Times New Roman" w:eastAsia="游明朝"/>
                <w:sz w:val="18"/>
              </w:rPr>
              <w:t xml:space="preserve">R02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分散型組織体制</w:t>
            </w:r>
          </w:p>
        </w:tc>
      </w:tr>
      <w:tr>
        <w:tc>
          <w:tcPr/>
          <w:p>
            <w:pPr>
              <w:pStyle w:val="Compact"/>
            </w:pPr>
            <w:r>
              <w:rPr>
                <w:rFonts w:ascii="Times New Roman" w:hAnsi="Times New Roman" w:eastAsia="游明朝"/>
                <w:sz w:val="18"/>
              </w:rPr>
              <w:t xml:space="preserve">R04 </w:t>
            </w:r>
            <w:r>
              <w:rPr>
                <w:rFonts w:hint="eastAsia" w:ascii="Times New Roman" w:hAnsi="Times New Roman" w:eastAsia="游明朝"/>
                <w:sz w:val="18"/>
              </w:rPr>
              <w:t xml:space="preserve">定量証拠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23BU等の数値あり。質の定量評価は困難</w:t>
            </w:r>
          </w:p>
        </w:tc>
      </w:tr>
      <w:tr>
        <w:tc>
          <w:tcPr/>
          <w:p>
            <w:pPr>
              <w:pStyle w:val="Compact"/>
            </w:pPr>
            <w:r>
              <w:rPr>
                <w:rFonts w:ascii="Times New Roman" w:hAnsi="Times New Roman" w:eastAsia="游明朝"/>
                <w:sz w:val="18"/>
              </w:rPr>
              <w:t xml:space="preserve">R06 </w:t>
            </w:r>
            <w:r>
              <w:rPr>
                <w:rFonts w:hint="eastAsia" w:ascii="Times New Roman" w:hAnsi="Times New Roman" w:eastAsia="游明朝"/>
                <w:sz w:val="18"/>
              </w:rPr>
              <w:t xml:space="preserve">構造的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組織は基盤だが構造的優位性かは議論あり</w:t>
            </w:r>
          </w:p>
        </w:tc>
      </w:tr>
      <w:tr>
        <w:tc>
          <w:tcPr/>
          <w:p>
            <w:pPr>
              <w:pStyle w:val="Compact"/>
            </w:pPr>
            <w:r>
              <w:rPr>
                <w:rFonts w:ascii="Times New Roman" w:hAnsi="Times New Roman" w:eastAsia="游明朝"/>
                <w:sz w:val="18"/>
              </w:rPr>
              <w:t xml:space="preserve">R07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ITW対比の差別化根拠なし</w:t>
            </w:r>
          </w:p>
        </w:tc>
      </w:tr>
      <w:tr>
        <w:tc>
          <w:tcPr/>
          <w:p>
            <w:pPr>
              <w:pStyle w:val="Compact"/>
            </w:pPr>
            <w:r>
              <w:rPr>
                <w:rFonts w:ascii="Times New Roman" w:hAnsi="Times New Roman" w:eastAsia="游明朝"/>
                <w:sz w:val="18"/>
              </w:rPr>
              <w:t xml:space="preserve">R08 </w:t>
            </w:r>
            <w:r>
              <w:rPr>
                <w:rFonts w:hint="eastAsia" w:ascii="Times New Roman" w:hAnsi="Times New Roman" w:eastAsia="游明朝"/>
                <w:sz w:val="18"/>
              </w:rPr>
              <w:t xml:space="preserve">戦略≠優位</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組織戦略の側面もある</w:t>
            </w:r>
          </w:p>
        </w:tc>
      </w:tr>
      <w:tr>
        <w:tc>
          <w:tcPr/>
          <w:p>
            <w:pPr>
              <w:pStyle w:val="Compact"/>
            </w:pPr>
            <w:r>
              <w:rPr>
                <w:rFonts w:ascii="Times New Roman" w:hAnsi="Times New Roman" w:eastAsia="游明朝"/>
                <w:sz w:val="18"/>
              </w:rPr>
              <w:t xml:space="preserve">R10 </w:t>
            </w:r>
            <w:r>
              <w:rPr>
                <w:rFonts w:hint="eastAsia" w:ascii="Times New Roman" w:hAnsi="Times New Roman" w:eastAsia="游明朝"/>
                <w:sz w:val="18"/>
              </w:rPr>
              <w:t xml:space="preserve">断念例</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Epiroc売却は好例だが大企業病懸念が逆方向</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多様なエンド市場カバーから合理的だが論証弱い</w:t>
            </w:r>
          </w:p>
        </w:tc>
      </w:tr>
    </w:tbl>
    <w:p>
      <w:pPr>
        <w:pStyle w:val="BodyText"/>
      </w:pPr>
      <w:r>
        <w:rPr>
          <w:rFonts w:hint="eastAsia"/>
          <w:b/>
          <w:bCs/>
        </w:rPr>
        <w:t xml:space="preserve">検出パターン</w:t>
      </w:r>
      <w:r>
        <w:t xml:space="preserve">: </w:t>
      </w:r>
      <w:r>
        <w:rPr>
          <w:rFonts w:hint="eastAsia"/>
        </w:rPr>
        <w:t xml:space="preserve">却下B（業界共通能力、moderate）・A（結果混同、weak）・G（純粋競合比較不足、strong）</w:t>
      </w:r>
      <w:r>
        <w:t xml:space="preserve"> / </w:t>
      </w:r>
      <w:r>
        <w:rPr>
          <w:rFonts w:hint="eastAsia"/>
        </w:rPr>
        <w:t xml:space="preserve">高評価なし</w:t>
      </w:r>
    </w:p>
    <w:p>
      <w:pPr>
        <w:pStyle w:val="BodyText"/>
      </w:pPr>
      <w:r>
        <w:rPr>
          <w:rFonts w:hint="eastAsia"/>
          <w:b/>
          <w:bCs/>
        </w:rPr>
        <w:t xml:space="preserve">CAGR接続（50%）</w:t>
      </w:r>
      <w:r>
        <w:t xml:space="preserve">: </w:t>
      </w:r>
      <w:r>
        <w:rPr>
          <w:rFonts w:hint="eastAsia"/>
        </w:rPr>
        <w:t xml:space="preserve">分散型組織→各市場での迅速な意思決定→OG成長。M&amp;A後のPMI（ボトムアップ統合）→InOG成長3%への寄与。ただし3ステップ以上の因果チェーンで飛躍のリスク（パターンC的）。</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15"/>
    <w:bookmarkEnd w:id="16"/>
    <w:bookmarkStart w:id="18" w:name="主張-4-変動費型コスト構造による景気耐性力"/>
    <w:p>
      <w:pPr>
        <w:pStyle w:val="Heading3"/>
      </w:pPr>
      <w:r>
        <w:rPr>
          <w:rFonts w:hint="eastAsia"/>
        </w:rPr>
        <w:t xml:space="preserve">主張</w:t>
      </w:r>
      <w:r>
        <w:t xml:space="preserve"> #4: </w:t>
      </w:r>
      <w:r>
        <w:rPr>
          <w:rFonts w:hint="eastAsia"/>
        </w:rPr>
        <w:t xml:space="preserve">変動費型コスト構造による景気耐性力</w:t>
      </w:r>
    </w:p>
    <w:bookmarkStart w:id="17" w:name="ai評価-あまり納得しない30"/>
    <w:p>
      <w:pPr>
        <w:pStyle w:val="Heading4"/>
      </w:pPr>
      <w:r>
        <w:rPr>
          <w:rFonts w:hint="eastAsia"/>
        </w:rPr>
        <w:t xml:space="preserve">AI評価:</w:t>
      </w:r>
      <w:r>
        <w:t xml:space="preserve"> </w:t>
      </w:r>
      <w:r>
        <w:rPr>
          <w:rFonts w:hint="eastAsia"/>
        </w:rPr>
        <w:t xml:space="preserve">あまり納得しない（30%）</w:t>
      </w:r>
    </w:p>
    <w:p>
      <w:pPr>
        <w:pStyle w:val="FirstParagraph"/>
      </w:pPr>
      <w:r>
        <w:rPr>
          <w:rFonts w:hint="eastAsia"/>
        </w:rPr>
        <w:t xml:space="preserve">コア部品25%内製・75%アウトソースの変動費型構造は仕組みとして確認できる。ただし「景気耐性力」は結果の側面が強く（ルール1</w:t>
      </w:r>
      <w:r>
        <w:t xml:space="preserve"> </w:t>
      </w:r>
      <w:r>
        <w:rPr>
          <w:rFonts w:hint="eastAsia"/>
        </w:rPr>
        <w:t xml:space="preserve">PARTIAL）、独立した競争優位性というよりダウンサイドプロテクション（補完的要素）。他の産業機器メーカーも同様の変動費型構造を持つ可能性が高く（ルール7</w:t>
      </w:r>
      <w:r>
        <w:t xml:space="preserve"> </w:t>
      </w:r>
      <w:r>
        <w:rPr>
          <w:rFonts w:hint="eastAsia"/>
        </w:rPr>
        <w:t xml:space="preserve">WARN）、ATCOAの75%アウトソースが際立つかは不明。</w:t>
      </w:r>
    </w:p>
    <w:p>
      <w:pPr>
        <w:pStyle w:val="BodyText"/>
      </w:pPr>
      <w:r>
        <w:rPr>
          <w:rFonts w:hint="eastAsia"/>
          <w:b/>
          <w:bCs/>
        </w:rPr>
        <w:t xml:space="preserve">納得できる点</w:t>
      </w:r>
      <w:r>
        <w:t xml:space="preserve">:</w:t>
      </w:r>
      <w:r>
        <w:t xml:space="preserve"> </w:t>
      </w:r>
      <w:r>
        <w:t xml:space="preserve">- </w:t>
      </w:r>
      <w:r>
        <w:rPr>
          <w:rFonts w:hint="eastAsia"/>
        </w:rPr>
        <w:t xml:space="preserve">75%アウトソース比率は明確な定量データ</w:t>
      </w:r>
      <w:r>
        <w:t xml:space="preserve"> </w:t>
      </w:r>
      <w:r>
        <w:t xml:space="preserve">- </w:t>
      </w:r>
      <w:r>
        <w:rPr>
          <w:rFonts w:hint="eastAsia"/>
        </w:rPr>
        <w:t xml:space="preserve">アフターサービス比率（CT</w:t>
      </w:r>
      <w:r>
        <w:t xml:space="preserve"> </w:t>
      </w:r>
      <w:r>
        <w:rPr>
          <w:rFonts w:hint="eastAsia"/>
        </w:rPr>
        <w:t xml:space="preserve">1:1、VTターゲット40%）のバッファー機能</w:t>
      </w:r>
    </w:p>
    <w:p>
      <w:pPr>
        <w:pStyle w:val="BodyText"/>
      </w:pPr>
      <w:r>
        <w:rPr>
          <w:rFonts w:hint="eastAsia"/>
          <w:b/>
          <w:bCs/>
        </w:rPr>
        <w:t xml:space="preserve">懸念点</w:t>
      </w:r>
      <w:r>
        <w:t xml:space="preserve">:</w:t>
      </w:r>
      <w:r>
        <w:t xml:space="preserve"> </w:t>
      </w:r>
      <w:r>
        <w:t xml:space="preserve">- </w:t>
      </w:r>
      <w:r>
        <w:rPr>
          <w:rFonts w:hint="eastAsia"/>
        </w:rPr>
        <w:t xml:space="preserve">景気耐性は結果であり能力ではない（ルール1</w:t>
      </w:r>
      <w:r>
        <w:t xml:space="preserve"> PARTIAL、パターンA </w:t>
      </w:r>
      <w:r>
        <w:rPr>
          <w:rFonts w:hint="eastAsia"/>
        </w:rPr>
        <w:t xml:space="preserve">moderate）</w:t>
      </w:r>
      <w:r>
        <w:t xml:space="preserve"> </w:t>
      </w:r>
      <w:r>
        <w:t xml:space="preserve">- </w:t>
      </w:r>
      <w:r>
        <w:rPr>
          <w:rFonts w:hint="eastAsia"/>
        </w:rPr>
        <w:t xml:space="preserve">他の産業機器メーカーとの変動費比率比較なし（パターンG</w:t>
      </w:r>
      <w:r>
        <w:t xml:space="preserve"> </w:t>
      </w:r>
      <w:r>
        <w:rPr>
          <w:rFonts w:hint="eastAsia"/>
        </w:rPr>
        <w:t xml:space="preserve">strong）</w:t>
      </w:r>
      <w:r>
        <w:t xml:space="preserve"> </w:t>
      </w:r>
      <w:r>
        <w:t xml:space="preserve">- </w:t>
      </w:r>
      <w:r>
        <w:rPr>
          <w:rFonts w:hint="eastAsia"/>
        </w:rPr>
        <w:t xml:space="preserve">GFC時やコロナ時のMargin</w:t>
      </w:r>
      <w:r>
        <w:t xml:space="preserve"> </w:t>
      </w:r>
      <w:r>
        <w:rPr>
          <w:rFonts w:hint="eastAsia"/>
        </w:rPr>
        <w:t xml:space="preserve">Floor定量データがない（パターンD</w:t>
      </w:r>
      <w:r>
        <w:t xml:space="preserve"> </w:t>
      </w:r>
      <w:r>
        <w:rPr>
          <w:rFonts w:hint="eastAsia"/>
        </w:rPr>
        <w:t xml:space="preserve">weak）</w:t>
      </w:r>
    </w:p>
    <w:p>
      <w:pPr>
        <w:pStyle w:val="BodyText"/>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4"/>
        <w:gridCol w:w="2066"/>
        <w:gridCol w:w="3099"/>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R01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コスト構造は仕組みだが景気耐性は結果</w:t>
            </w:r>
          </w:p>
        </w:tc>
      </w:tr>
      <w:tr>
        <w:tc>
          <w:tcPr/>
          <w:p>
            <w:pPr>
              <w:pStyle w:val="Compact"/>
            </w:pPr>
            <w:r>
              <w:rPr>
                <w:rFonts w:ascii="Times New Roman" w:hAnsi="Times New Roman" w:eastAsia="游明朝"/>
                <w:sz w:val="18"/>
              </w:rPr>
              <w:t xml:space="preserve">R02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変動費型コスト構造</w:t>
            </w:r>
          </w:p>
        </w:tc>
      </w:tr>
      <w:tr>
        <w:tc>
          <w:tcPr/>
          <w:p>
            <w:pPr>
              <w:pStyle w:val="Compact"/>
            </w:pPr>
            <w:r>
              <w:rPr>
                <w:rFonts w:ascii="Times New Roman" w:hAnsi="Times New Roman" w:eastAsia="游明朝"/>
                <w:sz w:val="18"/>
              </w:rPr>
              <w:t xml:space="preserve">R04 </w:t>
            </w:r>
            <w:r>
              <w:rPr>
                <w:rFonts w:hint="eastAsia" w:ascii="Times New Roman" w:hAnsi="Times New Roman" w:eastAsia="游明朝"/>
                <w:sz w:val="18"/>
              </w:rPr>
              <w:t xml:space="preserve">定量証拠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75%アウトソース率は明確。Margin</w:t>
            </w:r>
            <w:r>
              <w:rPr>
                <w:rFonts w:ascii="Times New Roman" w:hAnsi="Times New Roman" w:eastAsia="游明朝"/>
                <w:sz w:val="18"/>
              </w:rPr>
              <w:t xml:space="preserve"> Floorデータなし</w:t>
            </w:r>
          </w:p>
        </w:tc>
      </w:tr>
      <w:tr>
        <w:tc>
          <w:tcPr/>
          <w:p>
            <w:pPr>
              <w:pStyle w:val="Compact"/>
            </w:pPr>
            <w:r>
              <w:rPr>
                <w:rFonts w:ascii="Times New Roman" w:hAnsi="Times New Roman" w:eastAsia="游明朝"/>
                <w:sz w:val="18"/>
              </w:rPr>
              <w:t xml:space="preserve">R06 </w:t>
            </w:r>
            <w:r>
              <w:rPr>
                <w:rFonts w:hint="eastAsia" w:ascii="Times New Roman" w:hAnsi="Times New Roman" w:eastAsia="游明朝"/>
                <w:sz w:val="18"/>
              </w:rPr>
              <w:t xml:space="preserve">構造的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ダウンサイドプロテクション＝補完的要素</w:t>
            </w:r>
          </w:p>
        </w:tc>
      </w:tr>
      <w:tr>
        <w:tc>
          <w:tcPr/>
          <w:p>
            <w:pPr>
              <w:pStyle w:val="Compact"/>
            </w:pPr>
            <w:r>
              <w:rPr>
                <w:rFonts w:ascii="Times New Roman" w:hAnsi="Times New Roman" w:eastAsia="游明朝"/>
                <w:sz w:val="18"/>
              </w:rPr>
              <w:t xml:space="preserve">R07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IR・Parker等との比較なし</w:t>
            </w:r>
          </w:p>
        </w:tc>
      </w:tr>
      <w:tr>
        <w:tc>
          <w:tcPr/>
          <w:p>
            <w:pPr>
              <w:pStyle w:val="Compact"/>
            </w:pPr>
            <w:r>
              <w:rPr>
                <w:rFonts w:ascii="Times New Roman" w:hAnsi="Times New Roman" w:eastAsia="游明朝"/>
                <w:sz w:val="18"/>
              </w:rPr>
              <w:t xml:space="preserve">R08 </w:t>
            </w:r>
            <w:r>
              <w:rPr>
                <w:rFonts w:hint="eastAsia" w:ascii="Times New Roman" w:hAnsi="Times New Roman" w:eastAsia="游明朝"/>
                <w:sz w:val="18"/>
              </w:rPr>
              <w:t xml:space="preserve">戦略≠優位</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アウトソース比率選択は戦略的決断</w:t>
            </w:r>
          </w:p>
        </w:tc>
      </w:tr>
      <w:tr>
        <w:tc>
          <w:tcPr/>
          <w:p>
            <w:pPr>
              <w:pStyle w:val="Compact"/>
            </w:pPr>
            <w:r>
              <w:rPr>
                <w:rFonts w:ascii="Times New Roman" w:hAnsi="Times New Roman" w:eastAsia="游明朝"/>
                <w:sz w:val="18"/>
              </w:rPr>
              <w:t xml:space="preserve">R10 </w:t>
            </w:r>
            <w:r>
              <w:rPr>
                <w:rFonts w:hint="eastAsia" w:ascii="Times New Roman" w:hAnsi="Times New Roman" w:eastAsia="游明朝"/>
                <w:sz w:val="18"/>
              </w:rPr>
              <w:t xml:space="preserve">断念例</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シクリカル市場での合理性はあるが論証弱い</w:t>
            </w:r>
          </w:p>
        </w:tc>
      </w:tr>
    </w:tbl>
    <w:p>
      <w:pPr>
        <w:pStyle w:val="BodyText"/>
      </w:pPr>
      <w:r>
        <w:rPr>
          <w:rFonts w:hint="eastAsia"/>
          <w:b/>
          <w:bCs/>
        </w:rPr>
        <w:t xml:space="preserve">検出パターン</w:t>
      </w:r>
      <w:r>
        <w:t xml:space="preserve">: </w:t>
      </w:r>
      <w:r>
        <w:rPr>
          <w:rFonts w:hint="eastAsia"/>
        </w:rPr>
        <w:t xml:space="preserve">却下A（結果混同、moderate）・D（定性的主張、weak）・G（純粋競合比較不足、strong）</w:t>
      </w:r>
      <w:r>
        <w:t xml:space="preserve"> / </w:t>
      </w:r>
      <w:r>
        <w:rPr>
          <w:rFonts w:hint="eastAsia"/>
        </w:rPr>
        <w:t xml:space="preserve">高評価なし</w:t>
      </w:r>
    </w:p>
    <w:p>
      <w:pPr>
        <w:pStyle w:val="BodyText"/>
      </w:pPr>
      <w:r>
        <w:rPr>
          <w:rFonts w:hint="eastAsia"/>
          <w:b/>
          <w:bCs/>
        </w:rPr>
        <w:t xml:space="preserve">CAGR接続（50%）</w:t>
      </w:r>
      <w:r>
        <w:t xml:space="preserve">: </w:t>
      </w:r>
      <w:r>
        <w:rPr>
          <w:rFonts w:hint="eastAsia"/>
        </w:rPr>
        <w:t xml:space="preserve">変動費型構造→景気後退時のMargin</w:t>
      </w:r>
      <w:r>
        <w:t xml:space="preserve"> </w:t>
      </w:r>
      <w:r>
        <w:rPr>
          <w:rFonts w:hint="eastAsia"/>
        </w:rPr>
        <w:t xml:space="preserve">Floor維持→サイクルを通じた安定的EPS</w:t>
      </w:r>
      <w:r>
        <w:t xml:space="preserve"> </w:t>
      </w:r>
      <w:r>
        <w:rPr>
          <w:rFonts w:hint="eastAsia"/>
        </w:rPr>
        <w:t xml:space="preserve">CAGR。アフターサービス比率向上→Recurring収益→OPレバレッジ1%への寄与。VT事業サービス比率40%ターゲットの達成見通しは不透明。</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17"/>
    <w:bookmarkEnd w:id="18"/>
    <w:bookmarkStart w:id="20" w:name="主張-5-ma-playbookと規律ある資本配分"/>
    <w:p>
      <w:pPr>
        <w:pStyle w:val="Heading3"/>
      </w:pPr>
      <w:r>
        <w:rPr>
          <w:rFonts w:hint="eastAsia"/>
        </w:rPr>
        <w:t xml:space="preserve">主張</w:t>
      </w:r>
      <w:r>
        <w:t xml:space="preserve"> #5: M&amp;A </w:t>
      </w:r>
      <w:r>
        <w:rPr>
          <w:rFonts w:hint="eastAsia"/>
        </w:rPr>
        <w:t xml:space="preserve">Playbookと規律ある資本配分</w:t>
      </w:r>
    </w:p>
    <w:bookmarkStart w:id="19" w:name="ai評価-まあ納得50-t8修正-cagr-70---50"/>
    <w:p>
      <w:pPr>
        <w:pStyle w:val="Heading4"/>
      </w:pPr>
      <w:r>
        <w:rPr>
          <w:rFonts w:hint="eastAsia"/>
        </w:rPr>
        <w:t xml:space="preserve">AI評価:</w:t>
      </w:r>
      <w:r>
        <w:t xml:space="preserve"> </w:t>
      </w:r>
      <w:r>
        <w:rPr>
          <w:rFonts w:hint="eastAsia"/>
        </w:rPr>
        <w:t xml:space="preserve">まあ納得（50%）</w:t>
      </w:r>
      <w:r>
        <w:t xml:space="preserve"> [⬇️ </w:t>
      </w:r>
      <w:r>
        <w:rPr>
          <w:rFonts w:hint="eastAsia"/>
        </w:rPr>
        <w:t xml:space="preserve">T8修正:</w:t>
      </w:r>
      <w:r>
        <w:t xml:space="preserve"> CAGR 70% -&gt; 50%]</w:t>
      </w:r>
    </w:p>
    <w:p>
      <w:pPr>
        <w:pStyle w:val="FirstParagraph"/>
      </w:pPr>
      <w:r>
        <w:t xml:space="preserve">M&amp;A </w:t>
      </w:r>
      <w:r>
        <w:rPr>
          <w:rFonts w:hint="eastAsia"/>
        </w:rPr>
        <w:t xml:space="preserve">Playbookの3段階プロセス（領域特定→企業選定→DCF分析）、WACC8%投資基準、年29-33件の実績、ROCE24%の定量データが揃う。Epiroc売却（2018年）がCapital効率重視の規律を裏付け（ルール10</w:t>
      </w:r>
      <w:r>
        <w:t xml:space="preserve"> </w:t>
      </w:r>
      <w:r>
        <w:rPr>
          <w:rFonts w:hint="eastAsia"/>
        </w:rPr>
        <w:t xml:space="preserve">PASS）。CFOの「サイズが小さくIBが関心を示さない案件をインターナルでソーシング」が規模規律の証拠。ただし純粋競合（IR、Danaher）との比較なし、IRR達成率不明。</w:t>
      </w:r>
    </w:p>
    <w:p>
      <w:pPr>
        <w:pStyle w:val="BodyText"/>
      </w:pPr>
      <w:r>
        <w:rPr>
          <w:rFonts w:hint="eastAsia"/>
          <w:b/>
          <w:bCs/>
        </w:rPr>
        <w:t xml:space="preserve">納得できる点</w:t>
      </w:r>
      <w:r>
        <w:t xml:space="preserve">:</w:t>
      </w:r>
      <w:r>
        <w:t xml:space="preserve"> </w:t>
      </w:r>
      <w:r>
        <w:t xml:space="preserve">- </w:t>
      </w:r>
      <w:r>
        <w:rPr>
          <w:rFonts w:hint="eastAsia"/>
        </w:rPr>
        <w:t xml:space="preserve">3段階M&amp;A検討プロセスの具体性（能力としての記述）</w:t>
      </w:r>
      <w:r>
        <w:t xml:space="preserve"> </w:t>
      </w:r>
      <w:r>
        <w:t xml:space="preserve">- </w:t>
      </w:r>
      <w:r>
        <w:rPr>
          <w:rFonts w:hint="eastAsia"/>
        </w:rPr>
        <w:t xml:space="preserve">Epiroc売却（2018年）が規律の証明（ルール10</w:t>
      </w:r>
      <w:r>
        <w:t xml:space="preserve"> </w:t>
      </w:r>
      <w:r>
        <w:rPr>
          <w:rFonts w:hint="eastAsia"/>
        </w:rPr>
        <w:t xml:space="preserve">PASS）</w:t>
      </w:r>
      <w:r>
        <w:t xml:space="preserve"> </w:t>
      </w:r>
      <w:r>
        <w:t xml:space="preserve">- </w:t>
      </w:r>
      <w:r>
        <w:rPr>
          <w:rFonts w:hint="eastAsia"/>
        </w:rPr>
        <w:t xml:space="preserve">WACC8%基準、ROCE24%の定量データ</w:t>
      </w:r>
    </w:p>
    <w:p>
      <w:pPr>
        <w:pStyle w:val="BodyText"/>
      </w:pPr>
      <w:r>
        <w:rPr>
          <w:rFonts w:hint="eastAsia"/>
          <w:b/>
          <w:bCs/>
        </w:rPr>
        <w:t xml:space="preserve">懸念点</w:t>
      </w:r>
      <w:r>
        <w:t xml:space="preserve">:</w:t>
      </w:r>
      <w:r>
        <w:t xml:space="preserve"> </w:t>
      </w:r>
      <w:r>
        <w:t xml:space="preserve">- </w:t>
      </w:r>
      <w:r>
        <w:rPr>
          <w:rFonts w:hint="eastAsia"/>
        </w:rPr>
        <w:t xml:space="preserve">IR、Danaher等のM&amp;A巧者との具体的比較なし（パターンG</w:t>
      </w:r>
      <w:r>
        <w:t xml:space="preserve"> </w:t>
      </w:r>
      <w:r>
        <w:rPr>
          <w:rFonts w:hint="eastAsia"/>
        </w:rPr>
        <w:t xml:space="preserve">moderate）</w:t>
      </w:r>
      <w:r>
        <w:t xml:space="preserve"> </w:t>
      </w:r>
      <w:r>
        <w:t xml:space="preserve">- </w:t>
      </w:r>
      <w:r>
        <w:rPr>
          <w:rFonts w:hint="eastAsia"/>
        </w:rPr>
        <w:t xml:space="preserve">IRR達成率やM&amp;A後のROIC推移が不明</w:t>
      </w:r>
      <w:r>
        <w:t xml:space="preserve"> </w:t>
      </w:r>
      <w:r>
        <w:t xml:space="preserve">- </w:t>
      </w:r>
      <w:r>
        <w:rPr>
          <w:rFonts w:hint="eastAsia"/>
        </w:rPr>
        <w:t xml:space="preserve">M&amp;A大型化傾向のリスク</w:t>
      </w:r>
      <w:r>
        <w:t xml:space="preserve"> </w:t>
      </w:r>
      <w:r>
        <w:t xml:space="preserve">-</w:t>
      </w:r>
      <w:r>
        <w:t xml:space="preserve"> </w:t>
      </w:r>
      <w:r>
        <w:t xml:space="preserve">CA confidence 50%とCAGR confidence </w:t>
      </w:r>
      <w:r>
        <w:rPr>
          <w:rFonts w:hint="eastAsia"/>
        </w:rPr>
        <w:t xml:space="preserve">70%の乖離が不整合（T8修正対象）</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(critical): </w:t>
      </w:r>
      <w:r>
        <w:rPr>
          <w:rFonts w:hint="eastAsia"/>
          <w:b/>
          <w:bCs/>
        </w:rPr>
        <w:t xml:space="preserve">CA=50%とCAGR=70%の不整合</w:t>
      </w:r>
    </w:p>
    <w:p>
      <w:pPr>
        <w:pStyle w:val="BlockText"/>
      </w:pPr>
      <w:r>
        <w:t xml:space="preserve">CA confidence </w:t>
      </w:r>
      <w:r>
        <w:rPr>
          <w:rFonts w:hint="eastAsia"/>
        </w:rPr>
        <w:t xml:space="preserve">50%に対してCAGR</w:t>
      </w:r>
      <w:r>
        <w:t xml:space="preserve"> confidence </w:t>
      </w:r>
      <w:r>
        <w:rPr>
          <w:rFonts w:hint="eastAsia"/>
        </w:rPr>
        <w:t xml:space="preserve">70%と20ポイント乖離がある。KB3実績ではCA=CAGR</w:t>
      </w:r>
      <w:r>
        <w:t xml:space="preserve"> </w:t>
      </w:r>
      <w:r>
        <w:rPr>
          <w:rFonts w:hint="eastAsia"/>
        </w:rPr>
        <w:t xml:space="preserve">が一般的（CHD#1:</w:t>
      </w:r>
      <w:r>
        <w:t xml:space="preserve"> 70%/70%、ORLY#1: 70%/50%、COST#3: </w:t>
      </w:r>
      <w:r>
        <w:rPr>
          <w:rFonts w:hint="eastAsia"/>
        </w:rPr>
        <w:t xml:space="preserve">50%/70%）。CHD#6（CA50%/CAGR90%）やCHD#7（CA50%/CAGR90%）でKYが乖離を正当化したのは「経営力の高さがあれば目標達成への蓋然性高い」という明確な理由があったため。ATCOAのClaim#5ではCA（M&amp;A</w:t>
      </w:r>
      <w:r>
        <w:t xml:space="preserve"> </w:t>
      </w:r>
      <w:r>
        <w:rPr>
          <w:rFonts w:hint="eastAsia"/>
        </w:rPr>
        <w:t xml:space="preserve">Playbook自体の独自性）が50%しかないならば、InOG3%の達成蓋然性もそれに制約されるべき。Dogma</w:t>
      </w:r>
      <w:r>
        <w:t xml:space="preserve"> </w:t>
      </w:r>
      <w:r>
        <w:rPr>
          <w:rFonts w:hint="eastAsia"/>
        </w:rPr>
        <w:t xml:space="preserve">v1.0「最終納得度は優位性×CAGR前提の掛け算で評価すべき」に基づき、</w:t>
      </w:r>
      <w:r>
        <w:t xml:space="preserve">CAGR </w:t>
      </w:r>
      <w:r>
        <w:rPr>
          <w:rFonts w:hint="eastAsia"/>
        </w:rPr>
        <w:t xml:space="preserve">confidenceを70%→50%に引き下げ</w:t>
      </w:r>
      <w:r>
        <w:t xml:space="preserve">。</w:t>
      </w:r>
    </w:p>
    <w:p>
      <w:pPr>
        <w:pStyle w:val="BlockText"/>
      </w:pPr>
      <w:r>
        <w:rPr>
          <w:rFonts w:hint="eastAsia"/>
          <w:b/>
          <w:bCs/>
        </w:rPr>
        <w:t xml:space="preserve">T8の判断</w:t>
      </w:r>
      <w:r>
        <w:t xml:space="preserve">: CAGR </w:t>
      </w:r>
      <w:r>
        <w:rPr>
          <w:rFonts w:hint="eastAsia"/>
        </w:rPr>
        <w:t xml:space="preserve">confidenceを70%→50%に修正。M&amp;A→InOG3%の接続は直接的だが、M&amp;A</w:t>
      </w:r>
      <w:r>
        <w:t xml:space="preserve"> </w:t>
      </w:r>
      <w:r>
        <w:rPr>
          <w:rFonts w:hint="eastAsia"/>
        </w:rPr>
        <w:t xml:space="preserve">Playbookの独自性が50%評価であるならば、その達成蓋然性も50%に制約される。IR・Danaherとの具体的比較データが得られ、M&amp;A能力の独自性がCA70%に上昇すればCAGR70%も回復しうる。</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4"/>
        <w:gridCol w:w="2066"/>
        <w:gridCol w:w="3099"/>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R01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Playbook・選定基準は能力・仕組み</w:t>
            </w:r>
          </w:p>
        </w:tc>
      </w:tr>
      <w:tr>
        <w:tc>
          <w:tcPr/>
          <w:p>
            <w:pPr>
              <w:pStyle w:val="Compact"/>
            </w:pPr>
            <w:r>
              <w:rPr>
                <w:rFonts w:ascii="Times New Roman" w:hAnsi="Times New Roman" w:eastAsia="游明朝"/>
                <w:sz w:val="18"/>
              </w:rPr>
              <w:t xml:space="preserve">R02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M&amp;A実行能力、資本配分規律</w:t>
            </w:r>
          </w:p>
        </w:tc>
      </w:tr>
      <w:tr>
        <w:tc>
          <w:tcPr/>
          <w:p>
            <w:pPr>
              <w:pStyle w:val="Compact"/>
            </w:pPr>
            <w:r>
              <w:rPr>
                <w:rFonts w:ascii="Times New Roman" w:hAnsi="Times New Roman" w:eastAsia="游明朝"/>
                <w:sz w:val="18"/>
              </w:rPr>
              <w:t xml:space="preserve">R04 </w:t>
            </w:r>
            <w:r>
              <w:rPr>
                <w:rFonts w:hint="eastAsia" w:ascii="Times New Roman" w:hAnsi="Times New Roman" w:eastAsia="游明朝"/>
                <w:sz w:val="18"/>
              </w:rPr>
              <w:t xml:space="preserve">定量証拠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WACC8%・年29-33件・ROCE24%あり。IRR達成率不明</w:t>
            </w:r>
          </w:p>
        </w:tc>
      </w:tr>
      <w:tr>
        <w:tc>
          <w:tcPr/>
          <w:p>
            <w:pPr>
              <w:pStyle w:val="Compact"/>
            </w:pPr>
            <w:r>
              <w:rPr>
                <w:rFonts w:ascii="Times New Roman" w:hAnsi="Times New Roman" w:eastAsia="游明朝"/>
                <w:sz w:val="18"/>
              </w:rPr>
              <w:t xml:space="preserve">R06 </w:t>
            </w:r>
            <w:r>
              <w:rPr>
                <w:rFonts w:hint="eastAsia" w:ascii="Times New Roman" w:hAnsi="Times New Roman" w:eastAsia="游明朝"/>
                <w:sz w:val="18"/>
              </w:rPr>
              <w:t xml:space="preserve">構造的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InOG成長3%の中核ドライバー</w:t>
            </w:r>
          </w:p>
        </w:tc>
      </w:tr>
      <w:tr>
        <w:tc>
          <w:tcPr/>
          <w:p>
            <w:pPr>
              <w:pStyle w:val="Compact"/>
            </w:pPr>
            <w:r>
              <w:rPr>
                <w:rFonts w:ascii="Times New Roman" w:hAnsi="Times New Roman" w:eastAsia="游明朝"/>
                <w:sz w:val="18"/>
              </w:rPr>
              <w:t xml:space="preserve">R07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IR・Danaher等との比較なし</w:t>
            </w:r>
          </w:p>
        </w:tc>
      </w:tr>
      <w:tr>
        <w:tc>
          <w:tcPr/>
          <w:p>
            <w:pPr>
              <w:pStyle w:val="Compact"/>
            </w:pPr>
            <w:r>
              <w:rPr>
                <w:rFonts w:ascii="Times New Roman" w:hAnsi="Times New Roman" w:eastAsia="游明朝"/>
                <w:sz w:val="18"/>
              </w:rPr>
              <w:t xml:space="preserve">R08 </w:t>
            </w:r>
            <w:r>
              <w:rPr>
                <w:rFonts w:hint="eastAsia" w:ascii="Times New Roman" w:hAnsi="Times New Roman" w:eastAsia="游明朝"/>
                <w:sz w:val="18"/>
              </w:rPr>
              <w:t xml:space="preserve">戦略≠優位</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M&amp;A実行は戦略的活動。Playbookが能力</w:t>
            </w:r>
          </w:p>
        </w:tc>
      </w:tr>
      <w:tr>
        <w:tc>
          <w:tcPr/>
          <w:p>
            <w:pPr>
              <w:pStyle w:val="Compact"/>
            </w:pPr>
            <w:r>
              <w:rPr>
                <w:rFonts w:ascii="Times New Roman" w:hAnsi="Times New Roman" w:eastAsia="游明朝"/>
                <w:sz w:val="18"/>
              </w:rPr>
              <w:t xml:space="preserve">R10 </w:t>
            </w:r>
            <w:r>
              <w:rPr>
                <w:rFonts w:hint="eastAsia" w:ascii="Times New Roman" w:hAnsi="Times New Roman" w:eastAsia="游明朝"/>
                <w:sz w:val="18"/>
              </w:rPr>
              <w:t xml:space="preserve">断念例</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Epiroc売却が規律の証明</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市場フラグメント度の定量分析なし</w:t>
            </w:r>
          </w:p>
        </w:tc>
      </w:tr>
    </w:tbl>
    <w:p>
      <w:pPr>
        <w:pStyle w:val="BodyText"/>
      </w:pPr>
      <w:r>
        <w:rPr>
          <w:rFonts w:hint="eastAsia"/>
          <w:b/>
          <w:bCs/>
        </w:rPr>
        <w:t xml:space="preserve">検出パターン</w:t>
      </w:r>
      <w:r>
        <w:t xml:space="preserve">: </w:t>
      </w:r>
      <w:r>
        <w:rPr>
          <w:rFonts w:hint="eastAsia"/>
        </w:rPr>
        <w:t xml:space="preserve">高評価III（能力&gt;結果、strong）・V（ネガティブケース、moderate）・I（定量裏付け、moderate）</w:t>
      </w:r>
      <w:r>
        <w:t xml:space="preserve"> / </w:t>
      </w:r>
      <w:r>
        <w:rPr>
          <w:rFonts w:hint="eastAsia"/>
        </w:rPr>
        <w:t xml:space="preserve">却下G（純粋競合比較不足、moderate）</w:t>
      </w:r>
    </w:p>
    <w:p>
      <w:pPr>
        <w:pStyle w:val="BodyText"/>
      </w:pPr>
      <w:r>
        <w:rPr>
          <w:rFonts w:hint="eastAsia"/>
          <w:b/>
          <w:bCs/>
        </w:rPr>
        <w:t xml:space="preserve">CAGR接続（50%、T8修正後）</w:t>
      </w:r>
      <w:r>
        <w:t xml:space="preserve">: </w:t>
      </w:r>
      <w:r>
        <w:rPr>
          <w:rFonts w:hint="eastAsia"/>
        </w:rPr>
        <w:t xml:space="preserve">M&amp;A→InOG成長3%は直接的な1ステップ接続。年29-33件のトラックレコードが実績として裏付け。WACC8%超の基準でROCE24%維持は検証可能。ただしCA</w:t>
      </w:r>
      <w:r>
        <w:t xml:space="preserve"> confidence </w:t>
      </w:r>
      <w:r>
        <w:rPr>
          <w:rFonts w:hint="eastAsia"/>
        </w:rPr>
        <w:t xml:space="preserve">50%（M&amp;A</w:t>
      </w:r>
      <w:r>
        <w:t xml:space="preserve"> </w:t>
      </w:r>
      <w:r>
        <w:rPr>
          <w:rFonts w:hint="eastAsia"/>
        </w:rPr>
        <w:t xml:space="preserve">Playbookの独自性が限定的）がInOG3%達成蓋然性を制約。IR・Danaherとの比較データが得られCA70%に上昇すればCAGR70%も回復しうる。</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9"/>
    <w:bookmarkEnd w:id="20"/>
    <w:bookmarkStart w:id="22" w:name="主張-6-イノベーションによる顧客囲い込みとリプレイス促進"/>
    <w:p>
      <w:pPr>
        <w:pStyle w:val="Heading3"/>
      </w:pPr>
      <w:r>
        <w:rPr>
          <w:rFonts w:hint="eastAsia"/>
        </w:rPr>
        <w:t xml:space="preserve">主張</w:t>
      </w:r>
      <w:r>
        <w:t xml:space="preserve"> #6: </w:t>
      </w:r>
      <w:r>
        <w:rPr>
          <w:rFonts w:hint="eastAsia"/>
        </w:rPr>
        <w:t xml:space="preserve">イノベーションによる顧客囲い込みとリプレイス促進</w:t>
      </w:r>
    </w:p>
    <w:bookmarkStart w:id="21" w:name="ai評価-あまり納得しない30-t8修正-claim1との関係性を明確化"/>
    <w:p>
      <w:pPr>
        <w:pStyle w:val="Heading4"/>
      </w:pPr>
      <w:r>
        <w:rPr>
          <w:rFonts w:hint="eastAsia"/>
        </w:rPr>
        <w:t xml:space="preserve">AI評価:</w:t>
      </w:r>
      <w:r>
        <w:t xml:space="preserve"> </w:t>
      </w:r>
      <w:r>
        <w:rPr>
          <w:rFonts w:hint="eastAsia"/>
        </w:rPr>
        <w:t xml:space="preserve">あまり納得しない（30%）</w:t>
      </w:r>
      <w:r>
        <w:t xml:space="preserve"> [⬇️ </w:t>
      </w:r>
      <w:r>
        <w:rPr>
          <w:rFonts w:hint="eastAsia"/>
        </w:rPr>
        <w:t xml:space="preserve">T8修正:</w:t>
      </w:r>
      <w:r>
        <w:t xml:space="preserve"> </w:t>
      </w:r>
      <w:r>
        <w:rPr>
          <w:rFonts w:hint="eastAsia"/>
        </w:rPr>
        <w:t xml:space="preserve">Claim#1との関係性を明確化]</w:t>
      </w:r>
    </w:p>
    <w:p>
      <w:pPr>
        <w:pStyle w:val="FirstParagraph"/>
      </w:pPr>
      <w:r>
        <w:rPr>
          <w:rFonts w:hint="eastAsia"/>
        </w:rPr>
        <w:t xml:space="preserve">R&amp;Dは好不景気に関わらず一定水準投下（GFC・コロナ禍でも投資）。7-8%の効率性改善でリプレイス促進（CEOコメント）。ただし「漸次的イノベーション」は業界共通取り組みであり（ルール7</w:t>
      </w:r>
      <w:r>
        <w:t xml:space="preserve"> WARN、パターンB </w:t>
      </w:r>
      <w:r>
        <w:rPr>
          <w:rFonts w:hint="eastAsia"/>
        </w:rPr>
        <w:t xml:space="preserve">moderate）、独立した優位性としての強度が不足。</w:t>
      </w:r>
      <w:r>
        <w:rPr>
          <w:rFonts w:hint="eastAsia"/>
        </w:rPr>
        <w:t xml:space="preserve">Claim#1（スイッチングコスト）の持続可能性を支える補完的要素として整理するのが適切</w:t>
      </w:r>
      <w:r>
        <w:t xml:space="preserve">。</w:t>
      </w:r>
    </w:p>
    <w:p>
      <w:pPr>
        <w:pStyle w:val="BodyText"/>
      </w:pPr>
      <w:r>
        <w:rPr>
          <w:rFonts w:hint="eastAsia"/>
          <w:b/>
          <w:bCs/>
        </w:rPr>
        <w:t xml:space="preserve">納得できる点</w:t>
      </w:r>
      <w:r>
        <w:t xml:space="preserve">:</w:t>
      </w:r>
      <w:r>
        <w:t xml:space="preserve"> </w:t>
      </w:r>
      <w:r>
        <w:t xml:space="preserve">- </w:t>
      </w:r>
      <w:r>
        <w:rPr>
          <w:rFonts w:hint="eastAsia"/>
        </w:rPr>
        <w:t xml:space="preserve">R&amp;D投資の一貫性（景気変動に左右されない規律）</w:t>
      </w:r>
      <w:r>
        <w:t xml:space="preserve"> </w:t>
      </w:r>
      <w:r>
        <w:t xml:space="preserve">- </w:t>
      </w:r>
      <w:r>
        <w:rPr>
          <w:rFonts w:hint="eastAsia"/>
        </w:rPr>
        <w:t xml:space="preserve">7-8%効率改善→リプレイス促進の定量的メカニズム</w:t>
      </w:r>
      <w:r>
        <w:t xml:space="preserve"> </w:t>
      </w:r>
      <w:r>
        <w:t xml:space="preserve">- </w:t>
      </w:r>
      <w:r>
        <w:rPr>
          <w:rFonts w:hint="eastAsia"/>
        </w:rPr>
        <w:t xml:space="preserve">アジアでは価格競争に巻き込まれたことがない（CEOコメント）</w:t>
      </w:r>
    </w:p>
    <w:p>
      <w:pPr>
        <w:pStyle w:val="BodyText"/>
      </w:pPr>
      <w:r>
        <w:rPr>
          <w:rFonts w:hint="eastAsia"/>
          <w:b/>
          <w:bCs/>
        </w:rPr>
        <w:t xml:space="preserve">懸念点</w:t>
      </w:r>
      <w:r>
        <w:t xml:space="preserve">:</w:t>
      </w:r>
      <w:r>
        <w:t xml:space="preserve"> </w:t>
      </w:r>
      <w:r>
        <w:t xml:space="preserve">- </w:t>
      </w:r>
      <w:r>
        <w:rPr>
          <w:rFonts w:hint="eastAsia"/>
        </w:rPr>
        <w:t xml:space="preserve">漸次的イノベーションは業界共通取り組み（パターンB</w:t>
      </w:r>
      <w:r>
        <w:t xml:space="preserve"> </w:t>
      </w:r>
      <w:r>
        <w:rPr>
          <w:rFonts w:hint="eastAsia"/>
        </w:rPr>
        <w:t xml:space="preserve">moderate）</w:t>
      </w:r>
      <w:r>
        <w:t xml:space="preserve"> </w:t>
      </w:r>
      <w:r>
        <w:t xml:space="preserve">- </w:t>
      </w:r>
      <w:r>
        <w:rPr>
          <w:rFonts w:hint="eastAsia"/>
        </w:rPr>
        <w:t xml:space="preserve">Claim#1の補完的要素であり独立した優位性としては弱い（ルール6</w:t>
      </w:r>
      <w:r>
        <w:t xml:space="preserve"> </w:t>
      </w:r>
      <w:r>
        <w:rPr>
          <w:rFonts w:hint="eastAsia"/>
        </w:rPr>
        <w:t xml:space="preserve">PARTIAL）</w:t>
      </w:r>
      <w:r>
        <w:t xml:space="preserve"> </w:t>
      </w:r>
      <w:r>
        <w:t xml:space="preserve">- </w:t>
      </w:r>
      <w:r>
        <w:rPr>
          <w:rFonts w:hint="eastAsia"/>
        </w:rPr>
        <w:t xml:space="preserve">セミコン・自動車向けではLfLフラット（セグメント別格差）</w:t>
      </w:r>
    </w:p>
    <w:p>
      <w:pPr>
        <w:pStyle w:val="BlockText"/>
      </w:pPr>
      <w:r>
        <w:rPr>
          <w:rFonts w:hint="eastAsia"/>
          <w:b/>
          <w:bCs/>
        </w:rPr>
        <w:t xml:space="preserve">[注6]</w:t>
      </w:r>
      <w:r>
        <w:rPr>
          <w:b/>
          <w:bCs/>
        </w:rPr>
        <w:t xml:space="preserve"> </w:t>
      </w:r>
      <w:r>
        <w:rPr>
          <w:rFonts w:hint="eastAsia"/>
          <w:b/>
          <w:bCs/>
        </w:rPr>
        <w:t xml:space="preserve">T8批判</w:t>
      </w:r>
      <w:r>
        <w:rPr>
          <w:b/>
          <w:bCs/>
        </w:rPr>
        <w:t xml:space="preserve"> (minor): </w:t>
      </w:r>
      <w:r>
        <w:rPr>
          <w:rFonts w:hint="eastAsia"/>
          <w:b/>
          <w:bCs/>
        </w:rPr>
        <w:t xml:space="preserve">Claim#1との関係性の明確化</w:t>
      </w:r>
    </w:p>
    <w:p>
      <w:pPr>
        <w:pStyle w:val="BlockText"/>
      </w:pPr>
      <w:r>
        <w:rPr>
          <w:rFonts w:hint="eastAsia"/>
        </w:rPr>
        <w:t xml:space="preserve">Claim#6は独立主張として30%（業界共通能力）だが、7-8%効率改善→リプレイス促進はClaim#1のスイッチングコスト維持に直接寄与する要素。KB3ではCHD#3（ポートフォリオ管理能力50%）がCHD#1（買収選定能力70%）と分離して評価されたが、ATCOAの#6と#1の関係はCHDの#3と#1よりも密接（同一の顧客囲い込みメカニズム内）。</w:t>
      </w:r>
    </w:p>
    <w:p>
      <w:pPr>
        <w:pStyle w:val="BlockText"/>
      </w:pPr>
      <w:r>
        <w:rPr>
          <w:rFonts w:hint="eastAsia"/>
          <w:b/>
          <w:bCs/>
        </w:rPr>
        <w:t xml:space="preserve">T8の判断</w:t>
      </w:r>
      <w:r>
        <w:t xml:space="preserve">: CA confidence </w:t>
      </w:r>
      <w:r>
        <w:rPr>
          <w:rFonts w:hint="eastAsia"/>
        </w:rPr>
        <w:t xml:space="preserve">30%は適切と判断する（独立主張としては業界共通能力）。ただしClaim#1のスイッチングコスト維持にイノベーション（#6）が寄与している関係を明確にし、#6は独立した優位性ではないが#1の持続可能性を支える要素として整理する。</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4"/>
        <w:gridCol w:w="2066"/>
        <w:gridCol w:w="3099"/>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R01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R&amp;D規律は仕組みだがイノベーション結果が核心</w:t>
            </w:r>
          </w:p>
        </w:tc>
      </w:tr>
      <w:tr>
        <w:tc>
          <w:tcPr/>
          <w:p>
            <w:pPr>
              <w:pStyle w:val="Compact"/>
            </w:pPr>
            <w:r>
              <w:rPr>
                <w:rFonts w:ascii="Times New Roman" w:hAnsi="Times New Roman" w:eastAsia="游明朝"/>
                <w:sz w:val="18"/>
              </w:rPr>
              <w:t xml:space="preserve">R02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イノベーション能力</w:t>
            </w:r>
          </w:p>
        </w:tc>
      </w:tr>
      <w:tr>
        <w:tc>
          <w:tcPr/>
          <w:p>
            <w:pPr>
              <w:pStyle w:val="Compact"/>
            </w:pPr>
            <w:r>
              <w:rPr>
                <w:rFonts w:ascii="Times New Roman" w:hAnsi="Times New Roman" w:eastAsia="游明朝"/>
                <w:sz w:val="18"/>
              </w:rPr>
              <w:t xml:space="preserve">R04 </w:t>
            </w:r>
            <w:r>
              <w:rPr>
                <w:rFonts w:hint="eastAsia" w:ascii="Times New Roman" w:hAnsi="Times New Roman" w:eastAsia="游明朝"/>
                <w:sz w:val="18"/>
              </w:rPr>
              <w:t xml:space="preserve">定量証拠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7-8%効率改善、LfL1-2%。セグメント別格差大</w:t>
            </w:r>
          </w:p>
        </w:tc>
      </w:tr>
      <w:tr>
        <w:tc>
          <w:tcPr/>
          <w:p>
            <w:pPr>
              <w:pStyle w:val="Compact"/>
            </w:pPr>
            <w:r>
              <w:rPr>
                <w:rFonts w:ascii="Times New Roman" w:hAnsi="Times New Roman" w:eastAsia="游明朝"/>
                <w:sz w:val="18"/>
              </w:rPr>
              <w:t xml:space="preserve">R06 </w:t>
            </w:r>
            <w:r>
              <w:rPr>
                <w:rFonts w:hint="eastAsia" w:ascii="Times New Roman" w:hAnsi="Times New Roman" w:eastAsia="游明朝"/>
                <w:sz w:val="18"/>
              </w:rPr>
              <w:t xml:space="preserve">構造的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Claim#1の補完的要素</w:t>
            </w:r>
          </w:p>
        </w:tc>
      </w:tr>
      <w:tr>
        <w:tc>
          <w:tcPr/>
          <w:p>
            <w:pPr>
              <w:pStyle w:val="Compact"/>
            </w:pPr>
            <w:r>
              <w:rPr>
                <w:rFonts w:ascii="Times New Roman" w:hAnsi="Times New Roman" w:eastAsia="游明朝"/>
                <w:sz w:val="18"/>
              </w:rPr>
              <w:t xml:space="preserve">R07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IR・Kaeser等との比較なし</w:t>
            </w:r>
          </w:p>
        </w:tc>
      </w:tr>
      <w:tr>
        <w:tc>
          <w:tcPr/>
          <w:p>
            <w:pPr>
              <w:pStyle w:val="Compact"/>
            </w:pPr>
            <w:r>
              <w:rPr>
                <w:rFonts w:ascii="Times New Roman" w:hAnsi="Times New Roman" w:eastAsia="游明朝"/>
                <w:sz w:val="18"/>
              </w:rPr>
              <w:t xml:space="preserve">R08 </w:t>
            </w:r>
            <w:r>
              <w:rPr>
                <w:rFonts w:hint="eastAsia" w:ascii="Times New Roman" w:hAnsi="Times New Roman" w:eastAsia="游明朝"/>
                <w:sz w:val="18"/>
              </w:rPr>
              <w:t xml:space="preserve">戦略≠優位</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R&amp;D投資は戦略的意思決定</w:t>
            </w:r>
          </w:p>
        </w:tc>
      </w:tr>
      <w:tr>
        <w:tc>
          <w:tcPr/>
          <w:p>
            <w:pPr>
              <w:pStyle w:val="Compact"/>
            </w:pPr>
            <w:r>
              <w:rPr>
                <w:rFonts w:ascii="Times New Roman" w:hAnsi="Times New Roman" w:eastAsia="游明朝"/>
                <w:sz w:val="18"/>
              </w:rPr>
              <w:t xml:space="preserve">R10 </w:t>
            </w:r>
            <w:r>
              <w:rPr>
                <w:rFonts w:hint="eastAsia" w:ascii="Times New Roman" w:hAnsi="Times New Roman" w:eastAsia="游明朝"/>
                <w:sz w:val="18"/>
              </w:rPr>
              <w:t xml:space="preserve">断念例</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ミッションクリティカル市場でのTCO改善は部分的に合致</w:t>
            </w:r>
          </w:p>
        </w:tc>
      </w:tr>
    </w:tbl>
    <w:p>
      <w:pPr>
        <w:pStyle w:val="BodyText"/>
      </w:pPr>
      <w:r>
        <w:rPr>
          <w:rFonts w:hint="eastAsia"/>
          <w:b/>
          <w:bCs/>
        </w:rPr>
        <w:t xml:space="preserve">検出パターン</w:t>
      </w:r>
      <w:r>
        <w:t xml:space="preserve">: </w:t>
      </w:r>
      <w:r>
        <w:rPr>
          <w:rFonts w:hint="eastAsia"/>
        </w:rPr>
        <w:t xml:space="preserve">却下F（戦略混同、weak）・B（業界共通能力、moderate）・G（純粋競合比較不足、strong）</w:t>
      </w:r>
      <w:r>
        <w:t xml:space="preserve"> / </w:t>
      </w:r>
      <w:r>
        <w:rPr>
          <w:rFonts w:hint="eastAsia"/>
        </w:rPr>
        <w:t xml:space="preserve">高評価なし</w:t>
      </w:r>
    </w:p>
    <w:p>
      <w:pPr>
        <w:pStyle w:val="BodyText"/>
      </w:pPr>
      <w:r>
        <w:rPr>
          <w:rFonts w:hint="eastAsia"/>
          <w:b/>
          <w:bCs/>
        </w:rPr>
        <w:t xml:space="preserve">CAGR接続（50%）</w:t>
      </w:r>
      <w:r>
        <w:t xml:space="preserve">: </w:t>
      </w:r>
      <w:r>
        <w:rPr>
          <w:rFonts w:hint="eastAsia"/>
        </w:rPr>
        <w:t xml:space="preserve">イノベーション→リプレイス促進→既存顧客からの追加売上→OG成長のイノベーション寄与。LfL</w:t>
      </w:r>
      <w:r>
        <w:t xml:space="preserve"> </w:t>
      </w:r>
      <w:r>
        <w:rPr>
          <w:rFonts w:hint="eastAsia"/>
        </w:rPr>
        <w:t xml:space="preserve">1-2%のプライシング→マージン維持。ただしセミコン・自動車向けのLfLフラットがOG寄与を弱める。</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21"/>
    <w:bookmarkEnd w:id="22"/>
    <w:bookmarkStart w:id="24" w:name="主張-7-トップシェアによるプライシング主導権"/>
    <w:p>
      <w:pPr>
        <w:pStyle w:val="Heading3"/>
      </w:pPr>
      <w:r>
        <w:rPr>
          <w:rFonts w:hint="eastAsia"/>
        </w:rPr>
        <w:t xml:space="preserve">主張</w:t>
      </w:r>
      <w:r>
        <w:t xml:space="preserve"> #7: </w:t>
      </w:r>
      <w:r>
        <w:rPr>
          <w:rFonts w:hint="eastAsia"/>
        </w:rPr>
        <w:t xml:space="preserve">トップシェアによるプライシング主導権</w:t>
      </w:r>
    </w:p>
    <w:bookmarkStart w:id="23" w:name="ai評価-あまり納得しない30-t8修正-mnst1との差異を注記"/>
    <w:p>
      <w:pPr>
        <w:pStyle w:val="Heading4"/>
      </w:pPr>
      <w:r>
        <w:rPr>
          <w:rFonts w:hint="eastAsia"/>
        </w:rPr>
        <w:t xml:space="preserve">AI評価:</w:t>
      </w:r>
      <w:r>
        <w:t xml:space="preserve"> </w:t>
      </w:r>
      <w:r>
        <w:rPr>
          <w:rFonts w:hint="eastAsia"/>
        </w:rPr>
        <w:t xml:space="preserve">あまり納得しない（30%）</w:t>
      </w:r>
      <w:r>
        <w:t xml:space="preserve"> [⬇️ </w:t>
      </w:r>
      <w:r>
        <w:rPr>
          <w:rFonts w:hint="eastAsia"/>
        </w:rPr>
        <w:t xml:space="preserve">T8修正:</w:t>
      </w:r>
      <w:r>
        <w:t xml:space="preserve"> </w:t>
      </w:r>
      <w:r>
        <w:rPr>
          <w:rFonts w:hint="eastAsia"/>
        </w:rPr>
        <w:t xml:space="preserve">MNST#1との差異を注記]</w:t>
      </w:r>
    </w:p>
    <w:p>
      <w:pPr>
        <w:pStyle w:val="FirstParagraph"/>
      </w:pPr>
      <w:r>
        <w:rPr>
          <w:rFonts w:hint="eastAsia"/>
        </w:rPr>
        <w:t xml:space="preserve">CT世界シェア34%（2番手の1.8倍）、VT世界シェア約50%、IT自動車向け2番手の4倍。圧倒的シェアを背景にしたプライシング主導権を主張。しかし市場シェアは結果であり優位性ではない（ルール1</w:t>
      </w:r>
      <w:r>
        <w:t xml:space="preserve"> WARN、パターンA </w:t>
      </w:r>
      <w:r>
        <w:rPr>
          <w:rFonts w:hint="eastAsia"/>
        </w:rPr>
        <w:t xml:space="preserve">strong）。さらにアナリスト面談（2025年4月）で「価格支配力はよくてインフレ並み」「セミコン・自動車向けはプライシングが弱い」と明示的に懸念。Claim#1の派生結果。</w:t>
      </w:r>
    </w:p>
    <w:p>
      <w:pPr>
        <w:pStyle w:val="BodyText"/>
      </w:pPr>
      <w:r>
        <w:rPr>
          <w:rFonts w:hint="eastAsia"/>
          <w:b/>
          <w:bCs/>
        </w:rPr>
        <w:t xml:space="preserve">納得できる点</w:t>
      </w:r>
      <w:r>
        <w:t xml:space="preserve">:</w:t>
      </w:r>
      <w:r>
        <w:t xml:space="preserve"> </w:t>
      </w:r>
      <w:r>
        <w:t xml:space="preserve">- </w:t>
      </w:r>
      <w:r>
        <w:rPr>
          <w:rFonts w:hint="eastAsia"/>
        </w:rPr>
        <w:t xml:space="preserve">シェア数値（CT34%、VT50%、IT4倍）は定量的に明確</w:t>
      </w:r>
      <w:r>
        <w:t xml:space="preserve"> </w:t>
      </w:r>
      <w:r>
        <w:t xml:space="preserve">- </w:t>
      </w:r>
      <w:r>
        <w:rPr>
          <w:rFonts w:hint="eastAsia"/>
        </w:rPr>
        <w:t xml:space="preserve">CFOコメント「VTビジネスでは当社シェアが高いのでプライシングも当社次第」</w:t>
      </w:r>
    </w:p>
    <w:p>
      <w:pPr>
        <w:pStyle w:val="BodyText"/>
      </w:pPr>
      <w:r>
        <w:rPr>
          <w:rFonts w:hint="eastAsia"/>
          <w:b/>
          <w:bCs/>
        </w:rPr>
        <w:t xml:space="preserve">懸念点</w:t>
      </w:r>
      <w:r>
        <w:t xml:space="preserve">:</w:t>
      </w:r>
      <w:r>
        <w:t xml:space="preserve"> </w:t>
      </w:r>
      <w:r>
        <w:t xml:space="preserve">- </w:t>
      </w:r>
      <w:r>
        <w:rPr>
          <w:rFonts w:hint="eastAsia"/>
        </w:rPr>
        <w:t xml:space="preserve">市場シェアは結果であり優位性ではない（ルール1</w:t>
      </w:r>
      <w:r>
        <w:t xml:space="preserve"> WARN、パターンA </w:t>
      </w:r>
      <w:r>
        <w:rPr>
          <w:rFonts w:hint="eastAsia"/>
        </w:rPr>
        <w:t xml:space="preserve">strong）</w:t>
      </w:r>
      <w:r>
        <w:t xml:space="preserve"> </w:t>
      </w:r>
      <w:r>
        <w:t xml:space="preserve">- </w:t>
      </w:r>
      <w:r>
        <w:rPr>
          <w:rFonts w:hint="eastAsia"/>
        </w:rPr>
        <w:t xml:space="preserve">アナリスト面談で「価格支配力はよくてインフレ並み」と懸念表明</w:t>
      </w:r>
      <w:r>
        <w:t xml:space="preserve"> </w:t>
      </w:r>
      <w:r>
        <w:t xml:space="preserve">- </w:t>
      </w:r>
      <w:r>
        <w:rPr>
          <w:rFonts w:hint="eastAsia"/>
        </w:rPr>
        <w:t xml:space="preserve">セミコン・自動車向けはLfLフラット（全社売上の約5割）</w:t>
      </w:r>
      <w:r>
        <w:t xml:space="preserve"> </w:t>
      </w:r>
      <w:r>
        <w:t xml:space="preserve">- </w:t>
      </w:r>
      <w:r>
        <w:rPr>
          <w:rFonts w:hint="eastAsia"/>
        </w:rPr>
        <w:t xml:space="preserve">Claim#1の派生結果としての位置づけが適切</w:t>
      </w:r>
    </w:p>
    <w:p>
      <w:pPr>
        <w:pStyle w:val="BlockText"/>
      </w:pPr>
      <w:r>
        <w:rPr>
          <w:rFonts w:hint="eastAsia"/>
          <w:b/>
          <w:bCs/>
        </w:rPr>
        <w:t xml:space="preserve">[注7]</w:t>
      </w:r>
      <w:r>
        <w:rPr>
          <w:b/>
          <w:bCs/>
        </w:rPr>
        <w:t xml:space="preserve"> </w:t>
      </w:r>
      <w:r>
        <w:rPr>
          <w:rFonts w:hint="eastAsia"/>
          <w:b/>
          <w:bCs/>
        </w:rPr>
        <w:t xml:space="preserve">T8批判</w:t>
      </w:r>
      <w:r>
        <w:rPr>
          <w:b/>
          <w:bCs/>
        </w:rPr>
        <w:t xml:space="preserve"> (minor): </w:t>
      </w:r>
      <w:r>
        <w:rPr>
          <w:rFonts w:hint="eastAsia"/>
          <w:b/>
          <w:bCs/>
        </w:rPr>
        <w:t xml:space="preserve">MNST#1との差異</w:t>
      </w:r>
    </w:p>
    <w:p>
      <w:pPr>
        <w:pStyle w:val="BlockText"/>
      </w:pPr>
      <w:r>
        <w:rPr>
          <w:rFonts w:hint="eastAsia"/>
        </w:rPr>
        <w:t xml:space="preserve">Claim#7（30%）をMNST#1（50%、シェア=結果）と比較してMNST#1より低い30%とした。MNST#1ではKYが「シェアはあくまで結果」としつつも50%をつけた理由は、エナジードリンク市場での「ブランドロイヤルティ」という能力的側面があったため。ATCOAではアナリスト自身が「価格支配力はよくてインフレ並み」と明示的に懸念しており、能力的側面の裏付けがMNSTより弱い。</w:t>
      </w:r>
    </w:p>
    <w:p>
      <w:pPr>
        <w:pStyle w:val="BlockText"/>
      </w:pPr>
      <w:r>
        <w:rPr>
          <w:rFonts w:hint="eastAsia"/>
          <w:b/>
          <w:bCs/>
        </w:rPr>
        <w:t xml:space="preserve">T8の判断</w:t>
      </w:r>
      <w:r>
        <w:t xml:space="preserve">: CA confidence </w:t>
      </w:r>
      <w:r>
        <w:rPr>
          <w:rFonts w:hint="eastAsia"/>
        </w:rPr>
        <w:t xml:space="preserve">30%は適切と判断する。MNST#1（50%）との差異はアナリスト自身の明示的懸念が根拠。プライシング力がインフレ以上に発揮されるエビデンスが得られれば50%に上昇する可能性がある。</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4"/>
        <w:gridCol w:w="2066"/>
        <w:gridCol w:w="3099"/>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R01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シェアもプライシング主導権も結果</w:t>
            </w:r>
          </w:p>
        </w:tc>
      </w:tr>
      <w:tr>
        <w:tc>
          <w:tcPr/>
          <w:p>
            <w:pPr>
              <w:pStyle w:val="Compact"/>
            </w:pPr>
            <w:r>
              <w:rPr>
                <w:rFonts w:ascii="Times New Roman" w:hAnsi="Times New Roman" w:eastAsia="游明朝"/>
                <w:sz w:val="18"/>
              </w:rPr>
              <w:t xml:space="preserve">R02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プライシング主導権</w:t>
            </w:r>
          </w:p>
        </w:tc>
      </w:tr>
      <w:tr>
        <w:tc>
          <w:tcPr/>
          <w:p>
            <w:pPr>
              <w:pStyle w:val="Compact"/>
            </w:pPr>
            <w:r>
              <w:rPr>
                <w:rFonts w:ascii="Times New Roman" w:hAnsi="Times New Roman" w:eastAsia="游明朝"/>
                <w:sz w:val="18"/>
              </w:rPr>
              <w:t xml:space="preserve">R04 </w:t>
            </w:r>
            <w:r>
              <w:rPr>
                <w:rFonts w:hint="eastAsia" w:ascii="Times New Roman" w:hAnsi="Times New Roman" w:eastAsia="游明朝"/>
                <w:sz w:val="18"/>
              </w:rPr>
              <w:t xml:space="preserve">定量証拠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シェア数値豊富。プライシング実績はLfL1-2%</w:t>
            </w:r>
          </w:p>
        </w:tc>
      </w:tr>
      <w:tr>
        <w:tc>
          <w:tcPr/>
          <w:p>
            <w:pPr>
              <w:pStyle w:val="Compact"/>
            </w:pPr>
            <w:r>
              <w:rPr>
                <w:rFonts w:ascii="Times New Roman" w:hAnsi="Times New Roman" w:eastAsia="游明朝"/>
                <w:sz w:val="18"/>
              </w:rPr>
              <w:t xml:space="preserve">R06 </w:t>
            </w:r>
            <w:r>
              <w:rPr>
                <w:rFonts w:hint="eastAsia" w:ascii="Times New Roman" w:hAnsi="Times New Roman" w:eastAsia="游明朝"/>
                <w:sz w:val="18"/>
              </w:rPr>
              <w:t xml:space="preserve">構造的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Claim#1の派生結果</w:t>
            </w:r>
          </w:p>
        </w:tc>
      </w:tr>
      <w:tr>
        <w:tc>
          <w:tcPr/>
          <w:p>
            <w:pPr>
              <w:pStyle w:val="Compact"/>
            </w:pPr>
            <w:r>
              <w:rPr>
                <w:rFonts w:ascii="Times New Roman" w:hAnsi="Times New Roman" w:eastAsia="游明朝"/>
                <w:sz w:val="18"/>
              </w:rPr>
              <w:t xml:space="preserve">R07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CTでは相対優位明確。VT・ITでは不明</w:t>
            </w:r>
          </w:p>
        </w:tc>
      </w:tr>
      <w:tr>
        <w:tc>
          <w:tcPr/>
          <w:p>
            <w:pPr>
              <w:pStyle w:val="Compact"/>
            </w:pPr>
            <w:r>
              <w:rPr>
                <w:rFonts w:ascii="Times New Roman" w:hAnsi="Times New Roman" w:eastAsia="游明朝"/>
                <w:sz w:val="18"/>
              </w:rPr>
              <w:t xml:space="preserve">R08 </w:t>
            </w:r>
            <w:r>
              <w:rPr>
                <w:rFonts w:hint="eastAsia" w:ascii="Times New Roman" w:hAnsi="Times New Roman" w:eastAsia="游明朝"/>
                <w:sz w:val="18"/>
              </w:rPr>
              <w:t xml:space="preserve">戦略≠優位</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能力/結果であり戦略ではない</w:t>
            </w:r>
          </w:p>
        </w:tc>
      </w:tr>
      <w:tr>
        <w:tc>
          <w:tcPr/>
          <w:p>
            <w:pPr>
              <w:pStyle w:val="Compact"/>
            </w:pPr>
            <w:r>
              <w:rPr>
                <w:rFonts w:ascii="Times New Roman" w:hAnsi="Times New Roman" w:eastAsia="游明朝"/>
                <w:sz w:val="18"/>
              </w:rPr>
              <w:t xml:space="preserve">R10 </w:t>
            </w:r>
            <w:r>
              <w:rPr>
                <w:rFonts w:hint="eastAsia" w:ascii="Times New Roman" w:hAnsi="Times New Roman" w:eastAsia="游明朝"/>
                <w:sz w:val="18"/>
              </w:rPr>
              <w:t xml:space="preserve">断念例</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Consolidated市場でのシェアとプライシングの関係は部分的</w:t>
            </w:r>
          </w:p>
        </w:tc>
      </w:tr>
    </w:tbl>
    <w:p>
      <w:pPr>
        <w:pStyle w:val="BodyText"/>
      </w:pPr>
      <w:r>
        <w:rPr>
          <w:rFonts w:hint="eastAsia"/>
          <w:b/>
          <w:bCs/>
        </w:rPr>
        <w:t xml:space="preserve">検出パターン</w:t>
      </w:r>
      <w:r>
        <w:t xml:space="preserve">: </w:t>
      </w:r>
      <w:r>
        <w:rPr>
          <w:rFonts w:hint="eastAsia"/>
        </w:rPr>
        <w:t xml:space="preserve">却下A（結果混同、strong）・E（トレンド確認不足、weak）・G（純粋競合比較不足、moderate）</w:t>
      </w:r>
      <w:r>
        <w:t xml:space="preserve"> / </w:t>
      </w:r>
      <w:r>
        <w:rPr>
          <w:rFonts w:hint="eastAsia"/>
        </w:rPr>
        <w:t xml:space="preserve">高評価I（定量裏付け、weak）</w:t>
      </w:r>
    </w:p>
    <w:p>
      <w:pPr>
        <w:pStyle w:val="BodyText"/>
      </w:pPr>
      <w:r>
        <w:rPr>
          <w:rFonts w:hint="eastAsia"/>
          <w:b/>
          <w:bCs/>
        </w:rPr>
        <w:t xml:space="preserve">CAGR接続（30%）</w:t>
      </w:r>
      <w:r>
        <w:t xml:space="preserve">: </w:t>
      </w:r>
      <w:r>
        <w:rPr>
          <w:rFonts w:hint="eastAsia"/>
        </w:rPr>
        <w:t xml:space="preserve">LfL1-2%だがセミコン・自動車向けフラット。VTとITが全社売上の約5割を占め、プライシング弱さはCAGR全体への寄与を大幅に限定。OPレバレッジ1%のうちプライシング寄与は限定的。</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23"/>
    <w:bookmarkEnd w:id="24"/>
    <w:bookmarkEnd w:id="25"/>
    <w:bookmarkStart w:id="31" w:name="総合評価"/>
    <w:p>
      <w:pPr>
        <w:pStyle w:val="Heading2"/>
      </w:pPr>
      <w:r>
        <w:t xml:space="preserve">4. </w:t>
      </w:r>
      <w:r>
        <w:rPr>
          <w:rFonts w:hint="eastAsia"/>
        </w:rPr>
        <w:t xml:space="preserve">総合評価</w:t>
      </w:r>
    </w:p>
    <w:bookmarkStart w:id="26" w:name="競争優位性の構造"/>
    <w:p>
      <w:pPr>
        <w:pStyle w:val="Heading3"/>
      </w:pPr>
      <w:r>
        <w:rPr>
          <w:rFonts w:hint="eastAsia"/>
        </w:rPr>
        <w:t xml:space="preserve">競争優位性の構造</w:t>
      </w:r>
    </w:p>
    <w:p>
      <w:pPr>
        <w:pStyle w:val="SourceCode"/>
      </w:pPr>
      <w:r>
        <w:rPr>
          <w:rStyle w:val="VerbatimChar"/>
          <w:rFonts w:hint="eastAsia"/>
        </w:rPr>
        <w:t xml:space="preserve">【核心的優位性】</w:t>
      </w:r>
      <w:r>
        <w:br/>
      </w:r>
      <w:r>
        <w:rPr>
          <w:rStyle w:val="VerbatimChar"/>
        </w:rPr>
        <w:t xml:space="preserve">  #1 </w:t>
      </w:r>
      <w:r>
        <w:rPr>
          <w:rStyle w:val="VerbatimChar"/>
          <w:rFonts w:hint="eastAsia"/>
        </w:rPr>
        <w:t xml:space="preserve">スイッチングコスト（70%）</w:t>
      </w:r>
      <w:r>
        <w:rPr>
          <w:rStyle w:val="VerbatimChar"/>
        </w:rPr>
        <w:t xml:space="preserve"> ←→ #2 </w:t>
      </w:r>
      <w:r>
        <w:rPr>
          <w:rStyle w:val="VerbatimChar"/>
          <w:rFonts w:hint="eastAsia"/>
        </w:rPr>
        <w:t xml:space="preserve">バキュームクロスセル（50%）</w:t>
      </w:r>
      <w:r>
        <w:br/>
      </w:r>
      <w:r>
        <w:rPr>
          <w:rStyle w:val="VerbatimChar"/>
        </w:rPr>
        <w:t xml:space="preserve">         ↑                              ↑</w:t>
      </w:r>
      <w:r>
        <w:br/>
      </w:r>
      <w:r>
        <w:rPr>
          <w:rStyle w:val="VerbatimChar"/>
        </w:rPr>
        <w:t xml:space="preserve">    #6 </w:t>
      </w:r>
      <w:r>
        <w:rPr>
          <w:rStyle w:val="VerbatimChar"/>
          <w:rFonts w:hint="eastAsia"/>
        </w:rPr>
        <w:t xml:space="preserve">イノベーション（30%）</w:t>
      </w:r>
      <w:r>
        <w:rPr>
          <w:rStyle w:val="VerbatimChar"/>
        </w:rPr>
        <w:t xml:space="preserve">       #7 </w:t>
      </w:r>
      <w:r>
        <w:rPr>
          <w:rStyle w:val="VerbatimChar"/>
          <w:rFonts w:hint="eastAsia"/>
        </w:rPr>
        <w:t xml:space="preserve">プライシング（30%）</w:t>
      </w:r>
      <w:r>
        <w:br/>
      </w:r>
      <w:r>
        <w:rPr>
          <w:rStyle w:val="VerbatimChar"/>
        </w:rPr>
        <w:t xml:space="preserve">    </w:t>
      </w:r>
      <w:r>
        <w:rPr>
          <w:rStyle w:val="VerbatimChar"/>
          <w:rFonts w:hint="eastAsia"/>
        </w:rPr>
        <w:t xml:space="preserve">（#1の持続可能性を支える</w:t>
      </w:r>
      <w:r>
        <w:rPr>
          <w:rStyle w:val="VerbatimChar"/>
        </w:rPr>
        <w:t xml:space="preserve">         </w:t>
      </w:r>
      <w:r>
        <w:rPr>
          <w:rStyle w:val="VerbatimChar"/>
          <w:rFonts w:hint="eastAsia"/>
        </w:rPr>
        <w:t xml:space="preserve">（#1の派生結果）</w:t>
      </w:r>
      <w:r>
        <w:br/>
      </w:r>
      <w:r>
        <w:rPr>
          <w:rStyle w:val="VerbatimChar"/>
        </w:rPr>
        <w:t xml:space="preserve">     </w:t>
      </w:r>
      <w:r>
        <w:rPr>
          <w:rStyle w:val="VerbatimChar"/>
          <w:rFonts w:hint="eastAsia"/>
        </w:rPr>
        <w:t xml:space="preserve">補完的要素）</w:t>
      </w:r>
      <w:r>
        <w:br/>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#6は#1の持続可能性支援要素として整理</w:t>
      </w:r>
      <w:r>
        <w:br/>
      </w:r>
      <w:r>
        <w:br/>
      </w:r>
      <w:r>
        <w:rPr>
          <w:rStyle w:val="VerbatimChar"/>
          <w:rFonts w:hint="eastAsia"/>
        </w:rPr>
        <w:t xml:space="preserve">【CAGR成長ドライバー】</w:t>
      </w:r>
      <w:r>
        <w:br/>
      </w:r>
      <w:r>
        <w:rPr>
          <w:rStyle w:val="VerbatimChar"/>
        </w:rPr>
        <w:t xml:space="preserve">  #5 M&amp;A </w:t>
      </w:r>
      <w:r>
        <w:rPr>
          <w:rStyle w:val="VerbatimChar"/>
          <w:rFonts w:hint="eastAsia"/>
        </w:rPr>
        <w:t xml:space="preserve">Playbook（50%/CAGR50%）</w:t>
      </w:r>
      <w:r>
        <w:rPr>
          <w:rStyle w:val="VerbatimChar"/>
        </w:rPr>
        <w:t xml:space="preserve"> ← </w:t>
      </w:r>
      <w:r>
        <w:rPr>
          <w:rStyle w:val="VerbatimChar"/>
          <w:rFonts w:hint="eastAsia"/>
        </w:rPr>
        <w:t xml:space="preserve">InOG3%の直接ドライバー</w:t>
      </w:r>
      <w:r>
        <w:br/>
      </w:r>
      <w:r>
        <w:rPr>
          <w:rStyle w:val="VerbatimChar"/>
        </w:rPr>
        <w:t xml:space="preserve">         ↑                           </w:t>
      </w:r>
      <w:r>
        <w:rPr>
          <w:rStyle w:val="VerbatimChar"/>
          <w:rFonts w:hint="eastAsia"/>
        </w:rPr>
        <w:t xml:space="preserve">[T8修正]</w:t>
      </w:r>
      <w:r>
        <w:rPr>
          <w:rStyle w:val="VerbatimChar"/>
        </w:rPr>
        <w:t xml:space="preserve"> CAGR 70%→50%</w:t>
      </w:r>
      <w:r>
        <w:br/>
      </w:r>
      <w:r>
        <w:rPr>
          <w:rStyle w:val="VerbatimChar"/>
        </w:rPr>
        <w:t xml:space="preserve">    #3 </w:t>
      </w:r>
      <w:r>
        <w:rPr>
          <w:rStyle w:val="VerbatimChar"/>
          <w:rFonts w:hint="eastAsia"/>
        </w:rPr>
        <w:t xml:space="preserve">分散型組織（30%/CAGR50%）</w:t>
      </w:r>
      <w:r>
        <w:rPr>
          <w:rStyle w:val="VerbatimChar"/>
        </w:rPr>
        <w:t xml:space="preserve"> ← </w:t>
      </w:r>
      <w:r>
        <w:rPr>
          <w:rStyle w:val="VerbatimChar"/>
          <w:rFonts w:hint="eastAsia"/>
        </w:rPr>
        <w:t xml:space="preserve">PMIの基盤（だが業界共通能力）</w:t>
      </w:r>
      <w:r>
        <w:br/>
      </w:r>
      <w:r>
        <w:br/>
      </w:r>
      <w:r>
        <w:rPr>
          <w:rStyle w:val="VerbatimChar"/>
        </w:rPr>
        <w:t xml:space="preserve">【ダウンサイドプロテクション】</w:t>
      </w:r>
      <w:r>
        <w:br/>
      </w:r>
      <w:r>
        <w:rPr>
          <w:rStyle w:val="VerbatimChar"/>
        </w:rPr>
        <w:t xml:space="preserve">  #4 </w:t>
      </w:r>
      <w:r>
        <w:rPr>
          <w:rStyle w:val="VerbatimChar"/>
          <w:rFonts w:hint="eastAsia"/>
        </w:rPr>
        <w:t xml:space="preserve">変動費型コスト構造（30%/CAGR50%）</w:t>
      </w:r>
      <w:r>
        <w:rPr>
          <w:rStyle w:val="VerbatimChar"/>
        </w:rPr>
        <w:t xml:space="preserve"> ← </w:t>
      </w:r>
      <w:r>
        <w:rPr>
          <w:rStyle w:val="VerbatimChar"/>
          <w:rFonts w:hint="eastAsia"/>
        </w:rPr>
        <w:t xml:space="preserve">補完的要素</w:t>
      </w:r>
    </w:p>
    <w:bookmarkEnd w:id="26"/>
    <w:bookmarkStart w:id="27" w:name="強み"/>
    <w:p>
      <w:pPr>
        <w:pStyle w:val="Heading3"/>
      </w:pPr>
      <w:r>
        <w:rPr>
          <w:rFonts w:hint="eastAsia"/>
        </w:rPr>
        <w:t xml:space="preserve">強み</w:t>
      </w:r>
    </w:p>
    <w:p>
      <w:pPr>
        <w:pStyle w:val="Compact"/>
        <w:numPr>
          <w:ilvl w:val="0"/>
          <w:numId w:val="1001"/>
        </w:numPr>
      </w:pPr>
      <w:r>
        <w:rPr>
          <w:rFonts w:hint="eastAsia"/>
          <w:b/>
          <w:bCs/>
        </w:rPr>
        <w:t xml:space="preserve">Claim#1（スイッチングコスト70%）が唯一の構造的優位性</w:t>
      </w:r>
      <w:r>
        <w:t xml:space="preserve">: </w:t>
      </w:r>
      <w:r>
        <w:rPr>
          <w:rFonts w:hint="eastAsia"/>
        </w:rPr>
        <w:t xml:space="preserve">ミッションクリティカル×カスタマイズ×アフターサービスの3層構造が実在。ROIC84%がその裏付け。</w:t>
      </w:r>
    </w:p>
    <w:p>
      <w:pPr>
        <w:pStyle w:val="Compact"/>
        <w:numPr>
          <w:ilvl w:val="0"/>
          <w:numId w:val="1001"/>
        </w:numPr>
      </w:pPr>
      <w:r>
        <w:rPr>
          <w:rFonts w:hint="eastAsia"/>
          <w:b/>
          <w:bCs/>
        </w:rPr>
        <w:t xml:space="preserve">定量データが豊富</w:t>
      </w:r>
      <w:r>
        <w:t xml:space="preserve">: </w:t>
      </w:r>
      <w:r>
        <w:rPr>
          <w:rFonts w:hint="eastAsia"/>
        </w:rPr>
        <w:t xml:space="preserve">シェア・ROIC・TCO構成比・アウトソース率・M&amp;A件数・ROCE等、多くの定量指標が利用可能。</w:t>
      </w:r>
    </w:p>
    <w:p>
      <w:pPr>
        <w:pStyle w:val="Compact"/>
        <w:numPr>
          <w:ilvl w:val="0"/>
          <w:numId w:val="1001"/>
        </w:numPr>
      </w:pPr>
      <w:r>
        <w:rPr>
          <w:rFonts w:hint="eastAsia"/>
          <w:b/>
          <w:bCs/>
        </w:rPr>
        <w:t xml:space="preserve">Epiroc売却がCapital効率重視の規律を裏付け</w:t>
      </w:r>
      <w:r>
        <w:rPr>
          <w:rFonts w:hint="eastAsia"/>
        </w:rPr>
        <w:t xml:space="preserve">（ルール10）:</w:t>
      </w:r>
      <w:r>
        <w:t xml:space="preserve"> </w:t>
      </w:r>
      <w:r>
        <w:rPr>
          <w:rFonts w:hint="eastAsia"/>
        </w:rPr>
        <w:t xml:space="preserve">収益性の高い事業でもスピンオフする規律。</w:t>
      </w:r>
    </w:p>
    <w:p>
      <w:pPr>
        <w:pStyle w:val="Compact"/>
        <w:numPr>
          <w:ilvl w:val="0"/>
          <w:numId w:val="1001"/>
        </w:numPr>
      </w:pPr>
      <w:r>
        <w:rPr>
          <w:rFonts w:hint="eastAsia"/>
          <w:b/>
          <w:bCs/>
        </w:rPr>
        <w:t xml:space="preserve">CAGR10%の内訳が論理的</w:t>
      </w:r>
      <w:r>
        <w:t xml:space="preserve">: </w:t>
      </w:r>
      <w:r>
        <w:rPr>
          <w:rFonts w:hint="eastAsia"/>
        </w:rPr>
        <w:t xml:space="preserve">OG5%（スイッチングコスト→安定OG）+InOG3%（M&amp;A</w:t>
      </w:r>
      <w:r>
        <w:t xml:space="preserve"> </w:t>
      </w:r>
      <w:r>
        <w:rPr>
          <w:rFonts w:hint="eastAsia"/>
        </w:rPr>
        <w:t xml:space="preserve">Playbook）+OPレバ1%+自社株買い1%。</w:t>
      </w:r>
    </w:p>
    <w:bookmarkEnd w:id="27"/>
    <w:bookmarkStart w:id="28" w:name="弱み留意点t8修正後"/>
    <w:p>
      <w:pPr>
        <w:pStyle w:val="Heading3"/>
      </w:pPr>
      <w:r>
        <w:rPr>
          <w:rFonts w:hint="eastAsia"/>
        </w:rPr>
        <w:t xml:space="preserve">弱み・留意点（T8修正後）</w:t>
      </w:r>
    </w:p>
    <w:p>
      <w:pPr>
        <w:pStyle w:val="Compact"/>
        <w:numPr>
          <w:ilvl w:val="0"/>
          <w:numId w:val="1002"/>
        </w:numPr>
      </w:pPr>
      <w:r>
        <w:rPr>
          <w:rFonts w:hint="eastAsia"/>
          <w:b/>
          <w:bCs/>
        </w:rPr>
        <w:t xml:space="preserve">全7主張でパターンG（純粋競合比較不足）が検出</w:t>
      </w:r>
      <w:r>
        <w:t xml:space="preserve">: </w:t>
      </w:r>
      <w:r>
        <w:rPr>
          <w:rFonts w:hint="eastAsia"/>
        </w:rPr>
        <w:t xml:space="preserve">KB3実績で重視されるルール7が全体的に不満足。IR、ITW、Danaher、Ebara等との具体的比較がない。</w:t>
      </w:r>
    </w:p>
    <w:p>
      <w:pPr>
        <w:pStyle w:val="Compact"/>
        <w:numPr>
          <w:ilvl w:val="0"/>
          <w:numId w:val="1002"/>
        </w:numPr>
      </w:pPr>
      <w:r>
        <w:rPr>
          <w:rFonts w:hint="eastAsia"/>
          <w:b/>
          <w:bCs/>
        </w:rPr>
        <w:t xml:space="preserve">アナリスト自身のネガティブ面談コメント</w:t>
      </w:r>
      <w:r>
        <w:t xml:space="preserve">: </w:t>
      </w:r>
      <w:r>
        <w:rPr>
          <w:rFonts w:hint="eastAsia"/>
        </w:rPr>
        <w:t xml:space="preserve">2025年4月「価格支配力はよくてインフレ並み」「大企業病懸念」「より魅力的な企業があれば入替検討」。</w:t>
      </w:r>
    </w:p>
    <w:p>
      <w:pPr>
        <w:pStyle w:val="Compact"/>
        <w:numPr>
          <w:ilvl w:val="0"/>
          <w:numId w:val="1002"/>
        </w:numPr>
      </w:pPr>
      <w:r>
        <w:rPr>
          <w:rFonts w:hint="eastAsia"/>
          <w:b/>
          <w:bCs/>
        </w:rPr>
        <w:t xml:space="preserve">4主張（#3,#4,#6,#7）が30%</w:t>
      </w:r>
      <w:r>
        <w:t xml:space="preserve">: </w:t>
      </w:r>
      <w:r>
        <w:rPr>
          <w:rFonts w:hint="eastAsia"/>
        </w:rPr>
        <w:t xml:space="preserve">業界共通能力・結果の混同・派生であり独立した優位性としては弱い。</w:t>
      </w:r>
    </w:p>
    <w:p>
      <w:pPr>
        <w:pStyle w:val="Compact"/>
        <w:numPr>
          <w:ilvl w:val="0"/>
          <w:numId w:val="1002"/>
        </w:numPr>
      </w:pPr>
      <w:r>
        <w:rPr>
          <w:rFonts w:hint="eastAsia"/>
          <w:b/>
          <w:bCs/>
        </w:rPr>
        <w:t xml:space="preserve">VTダウンサイクル長期化</w:t>
      </w:r>
      <w:r>
        <w:t xml:space="preserve">: </w:t>
      </w:r>
      <w:r>
        <w:rPr>
          <w:rFonts w:hint="eastAsia"/>
        </w:rPr>
        <w:t xml:space="preserve">CEO「今まで経験した中で一番長い」。VTの回復タイミング不透明。</w:t>
      </w:r>
    </w:p>
    <w:p>
      <w:pPr>
        <w:pStyle w:val="Compact"/>
        <w:numPr>
          <w:ilvl w:val="0"/>
          <w:numId w:val="1002"/>
        </w:numPr>
      </w:pPr>
      <w:r>
        <w:rPr>
          <w:b/>
          <w:bCs/>
        </w:rPr>
        <w:t xml:space="preserve">SEC </w:t>
      </w:r>
      <w:r>
        <w:rPr>
          <w:rFonts w:hint="eastAsia"/>
          <w:b/>
          <w:bCs/>
        </w:rPr>
        <w:t xml:space="preserve">EDGAR非対象</w:t>
      </w:r>
      <w:r>
        <w:t xml:space="preserve">: </w:t>
      </w:r>
      <w:r>
        <w:rPr>
          <w:rFonts w:hint="eastAsia"/>
        </w:rPr>
        <w:t xml:space="preserve">スウェーデン上場企業のため独立財務検証に限界。</w:t>
      </w:r>
    </w:p>
    <w:p>
      <w:pPr>
        <w:pStyle w:val="Compact"/>
        <w:numPr>
          <w:ilvl w:val="0"/>
          <w:numId w:val="1002"/>
        </w:numPr>
      </w:pPr>
      <w:r>
        <w:rPr>
          <w:rFonts w:hint="eastAsia"/>
          <w:b/>
          <w:bCs/>
        </w:rPr>
        <w:t xml:space="preserve">[T8追加]</w:t>
      </w:r>
      <w:r>
        <w:rPr>
          <w:b/>
          <w:bCs/>
        </w:rPr>
        <w:t xml:space="preserve"> Claim#5 </w:t>
      </w:r>
      <w:r>
        <w:rPr>
          <w:rFonts w:hint="eastAsia"/>
          <w:b/>
          <w:bCs/>
        </w:rPr>
        <w:t xml:space="preserve">CAGR乖離の修正</w:t>
      </w:r>
      <w:r>
        <w:t xml:space="preserve">: </w:t>
      </w:r>
      <w:r>
        <w:rPr>
          <w:rFonts w:hint="eastAsia"/>
        </w:rPr>
        <w:t xml:space="preserve">CA50%→CAGR70%の不整合をCAGR50%に修正。Dogma</w:t>
      </w:r>
      <w:r>
        <w:t xml:space="preserve"> </w:t>
      </w:r>
      <w:r>
        <w:rPr>
          <w:rFonts w:hint="eastAsia"/>
        </w:rPr>
        <w:t xml:space="preserve">v1.0の掛け算方針に基づく。</w:t>
      </w:r>
    </w:p>
    <w:bookmarkEnd w:id="28"/>
    <w:bookmarkStart w:id="29"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3"/>
        </w:numPr>
      </w:pPr>
      <w:r>
        <w:rPr>
          <w:rFonts w:hint="eastAsia"/>
          <w:b/>
          <w:bCs/>
        </w:rPr>
        <w:t xml:space="preserve">純粋競合比較の全面的欠如（ルール7・パターンG）</w:t>
      </w:r>
      <w:r>
        <w:t xml:space="preserve">: </w:t>
      </w:r>
      <w:r>
        <w:rPr>
          <w:rFonts w:hint="eastAsia"/>
        </w:rPr>
        <w:t xml:space="preserve">全7主張でパターンGが検出（KB3全5銘柄でも頻出だがATCOAは7/7で最も顕著）。ATCOAのビジネスモデル特性（複数の産業機器市場で異なるプレイヤーと競合）が純粋競合特定を困難にしているが、KB3でルール7が重視される以上（ORLY#2の90%はAZO対比）、この課題は評価を抑制し続ける。CTでのIR（Ingersoll</w:t>
      </w:r>
      <w:r>
        <w:t xml:space="preserve"> </w:t>
      </w:r>
      <w:r>
        <w:rPr>
          <w:rFonts w:hint="eastAsia"/>
        </w:rPr>
        <w:t xml:space="preserve">Rand）との具体的顧客リテンション率比較が最も有効なエビデンスとなりうる。</w:t>
      </w:r>
    </w:p>
    <w:p>
      <w:pPr>
        <w:numPr>
          <w:ilvl w:val="0"/>
          <w:numId w:val="1003"/>
        </w:numPr>
      </w:pPr>
      <w:r>
        <w:rPr>
          <w:rFonts w:hint="eastAsia"/>
          <w:b/>
          <w:bCs/>
        </w:rPr>
        <w:t xml:space="preserve">アナリスト自身のネガティブコメントの体系的反映</w:t>
      </w:r>
      <w:r>
        <w:t xml:space="preserve">: </w:t>
      </w:r>
      <w:r>
        <w:rPr>
          <w:rFonts w:hint="eastAsia"/>
        </w:rPr>
        <w:t xml:space="preserve">KB3の5銘柄はいずれも保有継続判断であり、アナリスト自身がネガティブ評価を下している銘柄パターンがKBに存在しない。ATCOAの「より魅力的な企業があれば入替検討」というコメントは、KB拡張の重要なインプット。特に#3（大企業病懸念）と#7（プライシング懸念）のアナリスト評価結果はKB改善に直結する。</w:t>
      </w:r>
    </w:p>
    <w:bookmarkEnd w:id="29"/>
    <w:bookmarkStart w:id="30" w:name="kb3との対比"/>
    <w:p>
      <w:pPr>
        <w:pStyle w:val="Heading3"/>
      </w:pPr>
      <w:r>
        <w:rPr>
          <w:rFonts w:hint="eastAsia"/>
        </w:rPr>
        <w:t xml:space="preserve">KB3との対比</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ATCOA</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最も類似:</w:t>
            </w:r>
            <w:r>
              <w:rPr>
                <w:rFonts w:ascii="Times New Roman" w:hAnsi="Times New Roman" w:eastAsia="游明朝"/>
                <w:sz w:val="18"/>
              </w:rPr>
              <w:t xml:space="preserve"> COST</w:t>
            </w:r>
          </w:p>
        </w:tc>
      </w:tr>
      <w:tr>
        <w:tc>
          <w:tcPr/>
          <w:p>
            <w:pPr>
              <w:pStyle w:val="Compact"/>
            </w:pPr>
            <w:r>
              <w:rPr>
                <w:rFonts w:hint="eastAsia" w:ascii="Times New Roman" w:hAnsi="Times New Roman" w:eastAsia="游明朝"/>
                <w:sz w:val="18"/>
              </w:rPr>
              <w:t xml:space="preserve">平均CA確信度</w:t>
            </w:r>
          </w:p>
        </w:tc>
        <w:tc>
          <w:tcPr/>
          <w:p>
            <w:pPr>
              <w:pStyle w:val="Compact"/>
            </w:pPr>
            <w:r>
              <w:rPr>
                <w:rFonts w:ascii="Times New Roman" w:hAnsi="Times New Roman" w:eastAsia="游明朝"/>
                <w:sz w:val="18"/>
              </w:rPr>
              <w:t xml:space="preserve">41%</w:t>
            </w:r>
          </w:p>
        </w:tc>
        <w:tc>
          <w:tcPr/>
          <w:p>
            <w:pPr>
              <w:pStyle w:val="Compact"/>
            </w:pPr>
            <w:r>
              <w:rPr>
                <w:rFonts w:ascii="Times New Roman" w:hAnsi="Times New Roman" w:eastAsia="游明朝"/>
                <w:sz w:val="18"/>
              </w:rPr>
              <w:t xml:space="preserve">39%</w:t>
            </w:r>
          </w:p>
        </w:tc>
      </w:tr>
      <w:tr>
        <w:tc>
          <w:tcPr/>
          <w:p>
            <w:pPr>
              <w:pStyle w:val="Compact"/>
            </w:pPr>
            <w:r>
              <w:rPr>
                <w:rFonts w:hint="eastAsia" w:ascii="Times New Roman" w:hAnsi="Times New Roman" w:eastAsia="游明朝"/>
                <w:sz w:val="18"/>
              </w:rPr>
              <w:t xml:space="preserve">平均CAGR確信度</w:t>
            </w:r>
          </w:p>
        </w:tc>
        <w:tc>
          <w:tcPr/>
          <w:p>
            <w:pPr>
              <w:pStyle w:val="Compact"/>
            </w:pPr>
            <w:r>
              <w:rPr>
                <w:rFonts w:hint="eastAsia" w:ascii="Times New Roman" w:hAnsi="Times New Roman" w:eastAsia="游明朝"/>
                <w:sz w:val="18"/>
              </w:rPr>
              <w:t xml:space="preserve">50%（T8修正後）</w:t>
            </w:r>
          </w:p>
        </w:tc>
        <w:tc>
          <w:tcPr/>
          <w:p>
            <w:pPr>
              <w:pStyle w:val="Compact"/>
            </w:pPr>
            <w:r>
              <w:rPr>
                <w:rFonts w:ascii="Times New Roman" w:hAnsi="Times New Roman" w:eastAsia="游明朝"/>
                <w:sz w:val="18"/>
              </w:rPr>
              <w:t xml:space="preserve">56%</w:t>
            </w:r>
          </w:p>
        </w:tc>
      </w:tr>
      <w:tr>
        <w:tc>
          <w:tcPr/>
          <w:p>
            <w:pPr>
              <w:pStyle w:val="Compact"/>
            </w:pPr>
            <w:r>
              <w:rPr>
                <w:rFonts w:hint="eastAsia" w:ascii="Times New Roman" w:hAnsi="Times New Roman" w:eastAsia="游明朝"/>
                <w:sz w:val="18"/>
              </w:rPr>
              <w:t xml:space="preserve">主張数</w:t>
            </w:r>
          </w:p>
        </w:tc>
        <w:tc>
          <w:tcPr/>
          <w:p>
            <w:pPr>
              <w:pStyle w:val="Compact"/>
            </w:pPr>
            <w:r>
              <w:rPr>
                <w:rFonts w:hint="eastAsia" w:ascii="Times New Roman" w:hAnsi="Times New Roman" w:eastAsia="游明朝"/>
                <w:sz w:val="18"/>
              </w:rPr>
              <w:t xml:space="preserve">7件</w:t>
            </w:r>
          </w:p>
        </w:tc>
        <w:tc>
          <w:tcPr/>
          <w:p>
            <w:pPr>
              <w:pStyle w:val="Compact"/>
            </w:pPr>
            <w:r>
              <w:rPr>
                <w:rFonts w:hint="eastAsia" w:ascii="Times New Roman" w:hAnsi="Times New Roman" w:eastAsia="游明朝"/>
                <w:sz w:val="18"/>
              </w:rPr>
              <w:t xml:space="preserve">5件</w:t>
            </w:r>
          </w:p>
        </w:tc>
      </w:tr>
      <w:tr>
        <w:tc>
          <w:tcPr/>
          <w:p>
            <w:pPr>
              <w:pStyle w:val="Compact"/>
            </w:pPr>
            <w:r>
              <w:rPr>
                <w:rFonts w:hint="eastAsia" w:ascii="Times New Roman" w:hAnsi="Times New Roman" w:eastAsia="游明朝"/>
                <w:sz w:val="18"/>
              </w:rPr>
              <w:t xml:space="preserve">70%以上</w:t>
            </w:r>
          </w:p>
        </w:tc>
        <w:tc>
          <w:tcPr/>
          <w:p>
            <w:pPr>
              <w:pStyle w:val="Compact"/>
            </w:pPr>
            <w:r>
              <w:rPr>
                <w:rFonts w:hint="eastAsia" w:ascii="Times New Roman" w:hAnsi="Times New Roman" w:eastAsia="游明朝"/>
                <w:sz w:val="18"/>
              </w:rPr>
              <w:t xml:space="preserve">1件</w:t>
            </w:r>
          </w:p>
        </w:tc>
        <w:tc>
          <w:tcPr/>
          <w:p>
            <w:pPr>
              <w:pStyle w:val="Compact"/>
            </w:pPr>
            <w:r>
              <w:rPr>
                <w:rFonts w:hint="eastAsia" w:ascii="Times New Roman" w:hAnsi="Times New Roman" w:eastAsia="游明朝"/>
                <w:sz w:val="18"/>
              </w:rPr>
              <w:t xml:space="preserve">0件</w:t>
            </w:r>
          </w:p>
        </w:tc>
      </w:tr>
      <w:tr>
        <w:tc>
          <w:tcPr/>
          <w:p>
            <w:pPr>
              <w:pStyle w:val="Compact"/>
            </w:pPr>
            <w:r>
              <w:rPr>
                <w:rFonts w:hint="eastAsia" w:ascii="Times New Roman" w:hAnsi="Times New Roman" w:eastAsia="游明朝"/>
                <w:sz w:val="18"/>
              </w:rPr>
              <w:t xml:space="preserve">30%以下</w:t>
            </w:r>
          </w:p>
        </w:tc>
        <w:tc>
          <w:tcPr/>
          <w:p>
            <w:pPr>
              <w:pStyle w:val="Compact"/>
            </w:pPr>
            <w:r>
              <w:rPr>
                <w:rFonts w:hint="eastAsia" w:ascii="Times New Roman" w:hAnsi="Times New Roman" w:eastAsia="游明朝"/>
                <w:sz w:val="18"/>
              </w:rPr>
              <w:t xml:space="preserve">4件</w:t>
            </w:r>
          </w:p>
        </w:tc>
        <w:tc>
          <w:tcPr/>
          <w:p>
            <w:pPr>
              <w:pStyle w:val="Compact"/>
            </w:pPr>
            <w:r>
              <w:rPr>
                <w:rFonts w:hint="eastAsia" w:ascii="Times New Roman" w:hAnsi="Times New Roman" w:eastAsia="游明朝"/>
                <w:sz w:val="18"/>
              </w:rPr>
              <w:t xml:space="preserve">2件</w:t>
            </w:r>
          </w:p>
        </w:tc>
      </w:tr>
      <w:tr>
        <w:tc>
          <w:tcPr/>
          <w:p>
            <w:pPr>
              <w:pStyle w:val="Compact"/>
            </w:pPr>
            <w:r>
              <w:rPr>
                <w:rFonts w:hint="eastAsia" w:ascii="Times New Roman" w:hAnsi="Times New Roman" w:eastAsia="游明朝"/>
                <w:sz w:val="18"/>
              </w:rPr>
              <w:t xml:space="preserve">10%（却下）</w:t>
            </w:r>
          </w:p>
        </w:tc>
        <w:tc>
          <w:tcPr/>
          <w:p>
            <w:pPr>
              <w:pStyle w:val="Compact"/>
            </w:pPr>
            <w:r>
              <w:rPr>
                <w:rFonts w:hint="eastAsia" w:ascii="Times New Roman" w:hAnsi="Times New Roman" w:eastAsia="游明朝"/>
                <w:sz w:val="18"/>
              </w:rPr>
              <w:t xml:space="preserve">0件</w:t>
            </w:r>
          </w:p>
        </w:tc>
        <w:tc>
          <w:tcPr/>
          <w:p>
            <w:pPr>
              <w:pStyle w:val="Compact"/>
            </w:pPr>
            <w:r>
              <w:rPr>
                <w:rFonts w:hint="eastAsia" w:ascii="Times New Roman" w:hAnsi="Times New Roman" w:eastAsia="游明朝"/>
                <w:sz w:val="18"/>
              </w:rPr>
              <w:t xml:space="preserve">1件</w:t>
            </w:r>
          </w:p>
        </w:tc>
      </w:tr>
      <w:tr>
        <w:tc>
          <w:tcPr/>
          <w:p>
            <w:pPr>
              <w:pStyle w:val="Compact"/>
            </w:pPr>
            <w:r>
              <w:rPr>
                <w:rFonts w:hint="eastAsia" w:ascii="Times New Roman" w:hAnsi="Times New Roman" w:eastAsia="游明朝"/>
                <w:sz w:val="18"/>
              </w:rPr>
              <w:t xml:space="preserve">最大の課題</w:t>
            </w:r>
          </w:p>
        </w:tc>
        <w:tc>
          <w:tcPr/>
          <w:p>
            <w:pPr>
              <w:pStyle w:val="Compact"/>
            </w:pPr>
            <w:r>
              <w:rPr>
                <w:rFonts w:hint="eastAsia" w:ascii="Times New Roman" w:hAnsi="Times New Roman" w:eastAsia="游明朝"/>
                <w:sz w:val="18"/>
              </w:rPr>
              <w:t xml:space="preserve">純粋競合比較不足</w:t>
            </w:r>
          </w:p>
        </w:tc>
        <w:tc>
          <w:tcPr/>
          <w:p>
            <w:pPr>
              <w:pStyle w:val="Compact"/>
            </w:pPr>
            <w:r>
              <w:rPr>
                <w:rFonts w:hint="eastAsia" w:ascii="Times New Roman" w:hAnsi="Times New Roman" w:eastAsia="游明朝"/>
                <w:sz w:val="18"/>
              </w:rPr>
              <w:t xml:space="preserve">純粋競合比較不足</w:t>
            </w:r>
          </w:p>
        </w:tc>
      </w:tr>
      <w:tr>
        <w:tc>
          <w:tcPr/>
          <w:p>
            <w:pPr>
              <w:pStyle w:val="Compact"/>
            </w:pPr>
            <w:r>
              <w:rPr>
                <w:rFonts w:hint="eastAsia" w:ascii="Times New Roman" w:hAnsi="Times New Roman" w:eastAsia="游明朝"/>
                <w:sz w:val="18"/>
              </w:rPr>
              <w:t xml:space="preserve">特徴</w:t>
            </w:r>
          </w:p>
        </w:tc>
        <w:tc>
          <w:tcPr/>
          <w:p>
            <w:pPr>
              <w:pStyle w:val="Compact"/>
            </w:pPr>
            <w:r>
              <w:rPr>
                <w:rFonts w:hint="eastAsia" w:ascii="Times New Roman" w:hAnsi="Times New Roman" w:eastAsia="游明朝"/>
                <w:sz w:val="18"/>
              </w:rPr>
              <w:t xml:space="preserve">二極化（70%x1</w:t>
            </w:r>
            <w:r>
              <w:rPr>
                <w:rFonts w:ascii="Times New Roman" w:hAnsi="Times New Roman" w:eastAsia="游明朝"/>
                <w:sz w:val="18"/>
              </w:rPr>
              <w:t xml:space="preserve"> vs </w:t>
            </w:r>
            <w:r>
              <w:rPr>
                <w:rFonts w:hint="eastAsia" w:ascii="Times New Roman" w:hAnsi="Times New Roman" w:eastAsia="游明朝"/>
                <w:sz w:val="18"/>
              </w:rPr>
              <w:t xml:space="preserve">30%x4）</w:t>
            </w:r>
          </w:p>
        </w:tc>
        <w:tc>
          <w:tcPr/>
          <w:p>
            <w:pPr>
              <w:pStyle w:val="Compact"/>
            </w:pPr>
            <w:r>
              <w:rPr>
                <w:rFonts w:hint="eastAsia" w:ascii="Times New Roman" w:hAnsi="Times New Roman" w:eastAsia="游明朝"/>
                <w:sz w:val="18"/>
              </w:rPr>
              <w:t xml:space="preserve">比較的均一</w:t>
            </w:r>
          </w:p>
        </w:tc>
      </w:tr>
    </w:tbl>
    <w:p>
      <w:pPr>
        <w:pStyle w:val="BodyText"/>
      </w:pPr>
      <w:r>
        <w:rPr>
          <w:rFonts w:hint="eastAsia"/>
          <w:b/>
          <w:bCs/>
        </w:rPr>
        <w:t xml:space="preserve">最も類似した事例</w:t>
      </w:r>
      <w:r>
        <w:t xml:space="preserve">: </w:t>
      </w:r>
      <w:r>
        <w:rPr>
          <w:rFonts w:hint="eastAsia"/>
        </w:rPr>
        <w:t xml:space="preserve">COST（コストコ、平均39%）。構造的だが純粋競合比較不足で評価が抑制された点が共通。ATCOAはCOSTより主張の二極化が顕著で、Claim#1が突出している。ATCOAの特異点はアナリスト自身がネガティブ面談コメントを残している点で、KB3にないパターン。</w:t>
      </w:r>
    </w:p>
    <w:p>
      <w:r>
        <w:pict>
          <v:rect style="width:0;height:1.5pt" o:hralign="center" o:hrstd="t" o:hr="t"/>
        </w:pict>
      </w:r>
    </w:p>
    <w:bookmarkEnd w:id="30"/>
    <w:bookmarkEnd w:id="31"/>
    <w:bookmarkStart w:id="41"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39" w:name="評価スケール"/>
    <w:p>
      <w:pPr>
        <w:pStyle w:val="Heading3"/>
      </w:pPr>
      <w:r>
        <w:rPr>
          <w:rFonts w:hint="eastAsia"/>
        </w:rPr>
        <w:t xml:space="preserve">評価スケール</w:t>
      </w:r>
    </w:p>
    <w:p>
      <w:pPr>
        <w:pStyle w:val="Compact"/>
        <w:numPr>
          <w:ilvl w:val="0"/>
          <w:numId w:val="1004"/>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4"/>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4"/>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4"/>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4"/>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2" w:name="スイッチングコスト"/>
    <w:p>
      <w:pPr>
        <w:pStyle w:val="Heading4"/>
      </w:pPr>
      <w:r>
        <w:t xml:space="preserve">#1 スイッチングコスト</w:t>
      </w:r>
    </w:p>
    <w:p>
      <w:pPr>
        <w:pStyle w:val="FirstParagraph"/>
      </w:pPr>
      <w:r>
        <w:rPr>
          <w:rFonts w:hint="eastAsia"/>
          <w:b/>
          <w:bCs/>
        </w:rPr>
        <w:t xml:space="preserve">AI評価（T8修正後）</w:t>
      </w:r>
      <w:r>
        <w:t xml:space="preserve">: </w:t>
      </w:r>
      <w:r>
        <w:rPr>
          <w:rFonts w:hint="eastAsia"/>
        </w:rPr>
        <w:t xml:space="preserve">70%（Churn</w:t>
      </w:r>
      <w:r>
        <w:t xml:space="preserve"> </w:t>
      </w:r>
      <w:r>
        <w:rPr>
          <w:rFonts w:hint="eastAsia"/>
        </w:rPr>
        <w:t xml:space="preserve">Rate非開示の注記付き）</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2"/>
    <w:bookmarkStart w:id="33" w:name="バキュームクロスセル"/>
    <w:p>
      <w:pPr>
        <w:pStyle w:val="Heading4"/>
      </w:pPr>
      <w:r>
        <w:t xml:space="preserve">#2 バキュームクロスセル</w:t>
      </w:r>
    </w:p>
    <w:p>
      <w:pPr>
        <w:pStyle w:val="FirstParagraph"/>
      </w:pPr>
      <w:r>
        <w:rPr>
          <w:rFonts w:hint="eastAsia"/>
          <w:b/>
          <w:bCs/>
        </w:rPr>
        <w:t xml:space="preserve">AI評価（T8修正後）</w:t>
      </w:r>
      <w:r>
        <w:t xml:space="preserve">: </w:t>
      </w:r>
      <w:r>
        <w:rPr>
          <w:rFonts w:hint="eastAsia"/>
        </w:rPr>
        <w:t xml:space="preserve">50%（VT上振れ/下振れ注記付き）</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3"/>
    <w:bookmarkStart w:id="34" w:name="分散型組織"/>
    <w:p>
      <w:pPr>
        <w:pStyle w:val="Heading4"/>
      </w:pPr>
      <w:r>
        <w:t xml:space="preserve">#3 </w:t>
      </w:r>
      <w:r>
        <w:rPr>
          <w:rFonts w:hint="eastAsia"/>
        </w:rPr>
        <w:t xml:space="preserve">分散型組織</w:t>
      </w:r>
    </w:p>
    <w:p>
      <w:pPr>
        <w:pStyle w:val="FirstParagraph"/>
      </w:pPr>
      <w:r>
        <w:rPr>
          <w:rFonts w:hint="eastAsia"/>
          <w:b/>
          <w:bCs/>
        </w:rPr>
        <w:t xml:space="preserve">AI評価（T8修正後）</w:t>
      </w:r>
      <w:r>
        <w:t xml:space="preserve">: </w:t>
      </w:r>
      <w:r>
        <w:rPr>
          <w:rFonts w:hint="eastAsia"/>
        </w:rPr>
        <w:t xml:space="preserve">30%（ITW差別化の上振れ条件注記）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4"/>
    <w:bookmarkStart w:id="35" w:name="変動費型コスト構造"/>
    <w:p>
      <w:pPr>
        <w:pStyle w:val="Heading4"/>
      </w:pPr>
      <w:r>
        <w:t xml:space="preserve">#4 </w:t>
      </w:r>
      <w:r>
        <w:rPr>
          <w:rFonts w:hint="eastAsia"/>
        </w:rPr>
        <w:t xml:space="preserve">変動費型コスト構造</w:t>
      </w:r>
    </w:p>
    <w:p>
      <w:pPr>
        <w:pStyle w:val="FirstParagraph"/>
      </w:pPr>
      <w:r>
        <w:rPr>
          <w:rFonts w:hint="eastAsia"/>
          <w:b/>
          <w:bCs/>
        </w:rPr>
        <w:t xml:space="preserve">AI評価（T8修正後）</w:t>
      </w:r>
      <w:r>
        <w:t xml:space="preserve">: 30%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5"/>
    <w:bookmarkStart w:id="36" w:name="ma-playbook"/>
    <w:p>
      <w:pPr>
        <w:pStyle w:val="Heading4"/>
      </w:pPr>
      <w:r>
        <w:t xml:space="preserve">#5 M&amp;A Playbook</w:t>
      </w:r>
    </w:p>
    <w:p>
      <w:pPr>
        <w:pStyle w:val="FirstParagraph"/>
      </w:pPr>
      <w:r>
        <w:rPr>
          <w:rFonts w:hint="eastAsia"/>
          <w:b/>
          <w:bCs/>
        </w:rPr>
        <w:t xml:space="preserve">AI評価（T8修正後）</w:t>
      </w:r>
      <w:r>
        <w:t xml:space="preserve">: </w:t>
      </w:r>
      <w:r>
        <w:rPr>
          <w:rFonts w:hint="eastAsia"/>
        </w:rPr>
        <w:t xml:space="preserve">50%（CAGR:</w:t>
      </w:r>
      <w:r>
        <w:t xml:space="preserve"> 70%-&gt;50% </w:t>
      </w:r>
      <w:r>
        <w:rPr>
          <w:rFonts w:hint="eastAsia"/>
        </w:rPr>
        <w:t xml:space="preserve">T8修正）</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イノベーション"/>
    <w:p>
      <w:pPr>
        <w:pStyle w:val="Heading4"/>
      </w:pPr>
      <w:r>
        <w:t xml:space="preserve">#6 イノベーション</w:t>
      </w:r>
    </w:p>
    <w:p>
      <w:pPr>
        <w:pStyle w:val="FirstParagraph"/>
      </w:pPr>
      <w:r>
        <w:rPr>
          <w:rFonts w:hint="eastAsia"/>
          <w:b/>
          <w:bCs/>
        </w:rPr>
        <w:t xml:space="preserve">AI評価（T8修正後）</w:t>
      </w:r>
      <w:r>
        <w:t xml:space="preserve">: </w:t>
      </w:r>
      <w:r>
        <w:rPr>
          <w:rFonts w:hint="eastAsia"/>
        </w:rPr>
        <w:t xml:space="preserve">30%（#1の持続可能性支援要素）</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プライシング"/>
    <w:p>
      <w:pPr>
        <w:pStyle w:val="Heading4"/>
      </w:pPr>
      <w:r>
        <w:t xml:space="preserve">#7 プライシング</w:t>
      </w:r>
    </w:p>
    <w:p>
      <w:pPr>
        <w:pStyle w:val="FirstParagraph"/>
      </w:pPr>
      <w:r>
        <w:rPr>
          <w:rFonts w:hint="eastAsia"/>
          <w:b/>
          <w:bCs/>
        </w:rPr>
        <w:t xml:space="preserve">AI評価（T8修正後）</w:t>
      </w:r>
      <w:r>
        <w:t xml:space="preserve">: </w:t>
      </w:r>
      <w:r>
        <w:rPr>
          <w:rFonts w:hint="eastAsia"/>
        </w:rPr>
        <w:t xml:space="preserve">30%（MNST#1との差異注記）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38"/>
    <w:bookmarkEnd w:id="39"/>
    <w:bookmarkStart w:id="40" w:name="追加フィードバック欄"/>
    <w:p>
      <w:pPr>
        <w:pStyle w:val="Heading3"/>
      </w:pPr>
      <w:r>
        <w:rPr>
          <w:rFonts w:hint="eastAsia"/>
        </w:rPr>
        <w:t xml:space="preserve">追加フィードバック欄</w:t>
      </w:r>
    </w:p>
    <w:p>
      <w:pPr>
        <w:pStyle w:val="FirstParagraph"/>
      </w:pPr>
      <w:r>
        <w:rPr>
          <w:b/>
          <w:bCs/>
        </w:rPr>
        <w:t xml:space="preserve">Q1</w:t>
      </w:r>
      <w:r>
        <w:t xml:space="preserve">: </w:t>
      </w:r>
      <w:r>
        <w:rPr>
          <w:rFonts w:hint="eastAsia"/>
        </w:rPr>
        <w:t xml:space="preserve">Claim#1のスイッチングコストについて、IR（Ingersoll</w:t>
      </w:r>
      <w:r>
        <w:t xml:space="preserve"> </w:t>
      </w:r>
      <w:r>
        <w:rPr>
          <w:rFonts w:hint="eastAsia"/>
        </w:rPr>
        <w:t xml:space="preserve">Rand）等との具体的な差別化要因をどのように評価されますか？</w:t>
      </w:r>
    </w:p>
    <w:p>
      <w:pPr>
        <w:pStyle w:val="BodyText"/>
      </w:pPr>
      <w:r>
        <w:rPr>
          <w:b/>
          <w:bCs/>
        </w:rPr>
        <w:t xml:space="preserve">Q2</w:t>
      </w:r>
      <w:r>
        <w:t xml:space="preserve">: </w:t>
      </w:r>
      <w:r>
        <w:rPr>
          <w:rFonts w:hint="eastAsia"/>
        </w:rPr>
        <w:t xml:space="preserve">分散型組織（Claim#3）について、ITWとの類似性をどのように見ていますか？ATCOAの独自性はどこにありますか？</w:t>
      </w:r>
    </w:p>
    <w:p>
      <w:pPr>
        <w:pStyle w:val="BodyText"/>
      </w:pPr>
      <w:r>
        <w:rPr>
          <w:b/>
          <w:bCs/>
        </w:rPr>
        <w:t xml:space="preserve">Q3</w:t>
      </w:r>
      <w:r>
        <w:t xml:space="preserve">: </w:t>
      </w:r>
      <w:r>
        <w:rPr>
          <w:rFonts w:hint="eastAsia"/>
        </w:rPr>
        <w:t xml:space="preserve">VTダウンサイクルの底打ちタイミングについて、2025年後半以降の見通しはいかがですか？Dry</w:t>
      </w:r>
      <w:r>
        <w:t xml:space="preserve"> </w:t>
      </w:r>
      <w:r>
        <w:rPr>
          <w:rFonts w:hint="eastAsia"/>
        </w:rPr>
        <w:t xml:space="preserve">Vacuum米国工場の寄与をどう評価しますか？</w:t>
      </w:r>
    </w:p>
    <w:p>
      <w:pPr>
        <w:pStyle w:val="BodyText"/>
      </w:pPr>
      <w:r>
        <w:rPr>
          <w:b/>
          <w:bCs/>
        </w:rPr>
        <w:t xml:space="preserve">Q4</w:t>
      </w:r>
      <w:r>
        <w:t xml:space="preserve">: </w:t>
      </w:r>
      <w:r>
        <w:rPr>
          <w:rFonts w:hint="eastAsia"/>
        </w:rPr>
        <w:t xml:space="preserve">2025年4月面談で「より魅力的な企業があれば入替検討」とのコメントがありましたが、入替のトリガーとなる条件はどのようなものでしょうか？</w:t>
      </w:r>
    </w:p>
    <w:p>
      <w:pPr>
        <w:pStyle w:val="BodyText"/>
      </w:pPr>
      <w:r>
        <w:rPr>
          <w:b/>
          <w:bCs/>
        </w:rPr>
        <w:t xml:space="preserve">Q5</w:t>
      </w:r>
      <w:r>
        <w:t xml:space="preserve">: </w:t>
      </w:r>
      <w:r>
        <w:rPr>
          <w:rFonts w:hint="eastAsia"/>
        </w:rPr>
        <w:t xml:space="preserve">Claim#5のCAGR接続について、T8で70%→50%に修正しました（CA=CAGR整合性）。M&amp;A</w:t>
      </w:r>
      <w:r>
        <w:t xml:space="preserve"> </w:t>
      </w:r>
      <w:r>
        <w:rPr>
          <w:rFonts w:hint="eastAsia"/>
        </w:rPr>
        <w:t xml:space="preserve">Playbookの独自性をIR・Danaher対比でどのように評価されますか？</w:t>
      </w:r>
    </w:p>
    <w:p>
      <w:pPr>
        <w:pStyle w:val="BodyText"/>
      </w:pPr>
      <w:r>
        <w:rPr>
          <w:b/>
          <w:bCs/>
        </w:rPr>
        <w:t xml:space="preserve">Q6</w:t>
      </w:r>
      <w:r>
        <w:t xml:space="preserve">: </w:t>
      </w:r>
      <w:r>
        <w:rPr>
          <w:rFonts w:hint="eastAsia"/>
        </w:rPr>
        <w:t xml:space="preserve">[T8追加]</w:t>
      </w:r>
      <w:r>
        <w:t xml:space="preserve"> </w:t>
      </w:r>
      <w:r>
        <w:rPr>
          <w:rFonts w:hint="eastAsia"/>
        </w:rPr>
        <w:t xml:space="preserve">ATCOAはKB3の5銘柄と異なり「保有継続に疑問がある銘柄」のパターンです。このような銘柄の競争優位性評価で特に重視すべき観点はありますか？</w:t>
      </w:r>
    </w:p>
    <w:p>
      <w:pPr>
        <w:pStyle w:val="BodyText"/>
      </w:pPr>
      <w:r>
        <w:t xml:space="preserve">※ </w:t>
      </w:r>
      <w:r>
        <w:rPr>
          <w:rFonts w:hint="eastAsia"/>
        </w:rPr>
        <w:t xml:space="preserve">「アナリスト評価」列はアナリストが記入する欄です。AI評価との差異がKBの改善に直結します。</w:t>
      </w:r>
    </w:p>
    <w:p>
      <w:r>
        <w:pict>
          <v:rect style="width:0;height:1.5pt" o:hralign="center" o:hrstd="t" o:hr="t"/>
        </w:pict>
      </w:r>
    </w:p>
    <w:bookmarkEnd w:id="40"/>
    <w:bookmarkEnd w:id="41"/>
    <w:bookmarkStart w:id="43"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Churn </w:t>
            </w:r>
            <w:r>
              <w:rPr>
                <w:rFonts w:hint="eastAsia" w:ascii="Times New Roman" w:hAnsi="Times New Roman" w:eastAsia="游明朝"/>
                <w:sz w:val="18"/>
              </w:rPr>
              <w:t xml:space="preserve">Rate非開示の注記追加。検証データ入手時の上振れ余地を明記</w:t>
            </w:r>
          </w:p>
        </w:tc>
      </w:tr>
      <w:tr>
        <w:tc>
          <w:tcPr/>
          <w:p>
            <w:pPr>
              <w:pStyle w:val="Compact"/>
            </w:pPr>
            <w:r>
              <w:rPr>
                <w:rFonts w:hint="eastAsia" w:ascii="Times New Roman" w:hAnsi="Times New Roman" w:eastAsia="游明朝"/>
                <w:sz w:val="18"/>
              </w:rPr>
              <w:t xml:space="preserve">主張#2</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VT Dry </w:t>
            </w:r>
            <w:r>
              <w:rPr>
                <w:rFonts w:hint="eastAsia" w:ascii="Times New Roman" w:hAnsi="Times New Roman" w:eastAsia="游明朝"/>
                <w:sz w:val="18"/>
              </w:rPr>
              <w:t xml:space="preserve">Vacuum米国工場の上振れ要因とダウンサイクル下振れ要因の両面を明記</w:t>
            </w:r>
          </w:p>
        </w:tc>
      </w:tr>
      <w:tr>
        <w:tc>
          <w:tcPr/>
          <w:p>
            <w:pPr>
              <w:pStyle w:val="Compact"/>
            </w:pPr>
            <w:r>
              <w:rPr>
                <w:rFonts w:hint="eastAsia" w:ascii="Times New Roman" w:hAnsi="Times New Roman" w:eastAsia="游明朝"/>
                <w:sz w:val="18"/>
              </w:rPr>
              <w:t xml:space="preserve">主張#3</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5段階スケール制約上30%が最適。ITW差別化が示されれば50%への上振れ条件を明記</w:t>
            </w:r>
          </w:p>
        </w:tc>
      </w:tr>
      <w:tr>
        <w:tc>
          <w:tcPr/>
          <w:p>
            <w:pPr>
              <w:pStyle w:val="Compact"/>
            </w:pPr>
            <w:r>
              <w:rPr>
                <w:rFonts w:hint="eastAsia" w:ascii="Times New Roman" w:hAnsi="Times New Roman" w:eastAsia="游明朝"/>
                <w:sz w:val="18"/>
              </w:rPr>
              <w:t xml:space="preserve">主張#5</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CAGR 70% -&gt; </w:t>
            </w:r>
            <w:r>
              <w:rPr>
                <w:rFonts w:hint="eastAsia" w:ascii="Times New Roman" w:hAnsi="Times New Roman" w:eastAsia="游明朝"/>
                <w:sz w:val="18"/>
              </w:rPr>
              <w:t xml:space="preserve">50%。CA50%との整合性確保（Dogma</w:t>
            </w:r>
            <w:r>
              <w:rPr>
                <w:rFonts w:ascii="Times New Roman" w:hAnsi="Times New Roman" w:eastAsia="游明朝"/>
                <w:sz w:val="18"/>
              </w:rPr>
              <w:t xml:space="preserve"> </w:t>
            </w:r>
            <w:r>
              <w:rPr>
                <w:rFonts w:hint="eastAsia" w:ascii="Times New Roman" w:hAnsi="Times New Roman" w:eastAsia="游明朝"/>
                <w:sz w:val="18"/>
              </w:rPr>
              <w:t xml:space="preserve">v1.0掛け算方針）</w:t>
            </w:r>
          </w:p>
        </w:tc>
      </w:tr>
      <w:tr>
        <w:tc>
          <w:tcPr/>
          <w:p>
            <w:pPr>
              <w:pStyle w:val="Compact"/>
            </w:pPr>
            <w:r>
              <w:rPr>
                <w:rFonts w:hint="eastAsia" w:ascii="Times New Roman" w:hAnsi="Times New Roman" w:eastAsia="游明朝"/>
                <w:sz w:val="18"/>
              </w:rPr>
              <w:t xml:space="preserve">主張#6</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Claim#1のスイッチングコスト持続可能性を支える補完的要素として関係性を明確化</w:t>
            </w:r>
          </w:p>
        </w:tc>
      </w:tr>
      <w:tr>
        <w:tc>
          <w:tcPr/>
          <w:p>
            <w:pPr>
              <w:pStyle w:val="Compact"/>
            </w:pPr>
            <w:r>
              <w:rPr>
                <w:rFonts w:hint="eastAsia" w:ascii="Times New Roman" w:hAnsi="Times New Roman" w:eastAsia="游明朝"/>
                <w:sz w:val="18"/>
              </w:rPr>
              <w:t xml:space="preserve">主張#7</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MNST#1（50%）との差異（アナリスト明示的懸念）を根拠として注記</w:t>
            </w:r>
          </w:p>
        </w:tc>
      </w:tr>
    </w:tbl>
    <w:bookmarkStart w:id="42"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コメント文と</w:t>
            </w:r>
            <w:r>
              <w:rPr>
                <w:rFonts w:ascii="Times New Roman" w:hAnsi="Times New Roman" w:eastAsia="游明朝"/>
                <w:sz w:val="18"/>
              </w:rPr>
              <w:t xml:space="preserve"> confidence </w:t>
            </w:r>
            <w:r>
              <w:rPr>
                <w:rFonts w:hint="eastAsia" w:ascii="Times New Roman" w:hAnsi="Times New Roman" w:eastAsia="游明朝"/>
                <w:sz w:val="18"/>
              </w:rPr>
              <w:t xml:space="preserve">値の矛盾を修正</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2"/>
    <w:bookmarkEnd w:id="43"/>
    <w:bookmarkEnd w:id="4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2026-02-27T01:55:56Z</dcterms:created>
  <dcterms:modified xsi:type="dcterms:W3CDTF">2026-02-27T01:55:56Z</dcterms:modified>
</cp:coreProperties>
</file>

<file path=docProps/custom.xml><?xml version="1.0" encoding="utf-8"?>
<Properties xmlns="http://schemas.openxmlformats.org/officeDocument/2006/custom-properties" xmlns:vt="http://schemas.openxmlformats.org/officeDocument/2006/docPropsVTypes"/>
</file>