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07036" w14:textId="7C906B2D" w:rsidR="00F066E7" w:rsidRPr="00EC02B9" w:rsidRDefault="00844101" w:rsidP="005461EB">
      <w:pPr>
        <w:jc w:val="both"/>
        <w:rPr>
          <w:rFonts w:ascii="Times New Roman" w:hAnsi="Times New Roman" w:cs="Times New Roman"/>
          <w:b/>
          <w:bCs/>
          <w:sz w:val="24"/>
        </w:rPr>
      </w:pPr>
      <w:bookmarkStart w:id="0" w:name="OLE_LINK11"/>
      <w:r w:rsidRPr="00EC02B9">
        <w:rPr>
          <w:rFonts w:ascii="Times New Roman" w:hAnsi="Times New Roman" w:cs="Times New Roman"/>
          <w:b/>
          <w:bCs/>
          <w:sz w:val="24"/>
        </w:rPr>
        <w:t>Clean Energy supported d</w:t>
      </w:r>
      <w:r w:rsidR="004C0EA2" w:rsidRPr="00EC02B9">
        <w:rPr>
          <w:rFonts w:ascii="Times New Roman" w:hAnsi="Times New Roman" w:cs="Times New Roman"/>
          <w:b/>
          <w:bCs/>
          <w:sz w:val="24"/>
        </w:rPr>
        <w:t>ata center</w:t>
      </w:r>
      <w:r w:rsidRPr="00EC02B9">
        <w:rPr>
          <w:rFonts w:ascii="Times New Roman" w:hAnsi="Times New Roman" w:cs="Times New Roman"/>
          <w:b/>
          <w:bCs/>
          <w:sz w:val="24"/>
        </w:rPr>
        <w:t xml:space="preserve">s and </w:t>
      </w:r>
      <w:r w:rsidR="004C0EA2" w:rsidRPr="00EC02B9">
        <w:rPr>
          <w:rFonts w:ascii="Times New Roman" w:hAnsi="Times New Roman" w:cs="Times New Roman"/>
          <w:b/>
          <w:bCs/>
          <w:sz w:val="24"/>
        </w:rPr>
        <w:t>6G base station</w:t>
      </w:r>
      <w:r w:rsidRPr="00EC02B9">
        <w:rPr>
          <w:rFonts w:ascii="Times New Roman" w:hAnsi="Times New Roman" w:cs="Times New Roman"/>
          <w:b/>
          <w:bCs/>
          <w:sz w:val="24"/>
        </w:rPr>
        <w:t>s</w:t>
      </w:r>
      <w:r w:rsidR="000101E6" w:rsidRPr="00EC02B9">
        <w:rPr>
          <w:rFonts w:ascii="Times New Roman" w:hAnsi="Times New Roman" w:cs="Times New Roman"/>
          <w:b/>
          <w:bCs/>
          <w:sz w:val="24"/>
        </w:rPr>
        <w:t xml:space="preserve"> with smart EVs</w:t>
      </w:r>
      <w:r w:rsidR="003A4D69" w:rsidRPr="00EC02B9">
        <w:rPr>
          <w:rFonts w:ascii="Times New Roman" w:hAnsi="Times New Roman" w:cs="Times New Roman"/>
          <w:b/>
          <w:bCs/>
          <w:sz w:val="24"/>
        </w:rPr>
        <w:t xml:space="preserve"> and</w:t>
      </w:r>
      <w:r w:rsidR="000101E6" w:rsidRPr="00EC02B9">
        <w:rPr>
          <w:rFonts w:ascii="Times New Roman" w:hAnsi="Times New Roman" w:cs="Times New Roman"/>
          <w:b/>
          <w:bCs/>
          <w:sz w:val="24"/>
        </w:rPr>
        <w:t xml:space="preserve"> buildings</w:t>
      </w:r>
      <w:r w:rsidRPr="00EC02B9">
        <w:rPr>
          <w:rFonts w:ascii="Times New Roman" w:hAnsi="Times New Roman" w:cs="Times New Roman"/>
          <w:b/>
          <w:bCs/>
          <w:sz w:val="24"/>
        </w:rPr>
        <w:t xml:space="preserve"> for</w:t>
      </w:r>
      <w:bookmarkEnd w:id="0"/>
      <w:r w:rsidR="00A81374" w:rsidRPr="00A81374">
        <w:rPr>
          <w:rFonts w:hint="eastAsia"/>
        </w:rPr>
        <w:t xml:space="preserve"> </w:t>
      </w:r>
      <w:r w:rsidR="00A81374" w:rsidRPr="00A81374">
        <w:rPr>
          <w:rFonts w:ascii="Times New Roman" w:hAnsi="Times New Roman" w:cs="Times New Roman"/>
          <w:b/>
          <w:bCs/>
          <w:sz w:val="24"/>
        </w:rPr>
        <w:t>multi-asset grid services</w:t>
      </w:r>
    </w:p>
    <w:p w14:paraId="7FA0F4F8" w14:textId="10BC80E4" w:rsidR="00DE0077" w:rsidRPr="005461EB" w:rsidRDefault="005F0854" w:rsidP="005461EB">
      <w:pPr>
        <w:jc w:val="both"/>
        <w:rPr>
          <w:rFonts w:ascii="Times New Roman" w:hAnsi="Times New Roman" w:cs="Times New Roman" w:hint="eastAsia"/>
          <w:sz w:val="20"/>
          <w:szCs w:val="20"/>
        </w:rPr>
      </w:pPr>
      <w:r w:rsidRPr="003C5E6A">
        <w:rPr>
          <w:rFonts w:ascii="Times New Roman" w:hAnsi="Times New Roman" w:cs="Times New Roman" w:hint="eastAsia"/>
          <w:b/>
          <w:bCs/>
          <w:sz w:val="20"/>
          <w:szCs w:val="20"/>
        </w:rPr>
        <w:t>G</w:t>
      </w:r>
      <w:r w:rsidR="00DE0077" w:rsidRPr="003C5E6A">
        <w:rPr>
          <w:rFonts w:ascii="Times New Roman" w:hAnsi="Times New Roman" w:cs="Times New Roman"/>
          <w:b/>
          <w:bCs/>
          <w:noProof/>
          <w:sz w:val="20"/>
          <w:szCs w:val="20"/>
        </w:rPr>
        <w:drawing>
          <wp:anchor distT="0" distB="0" distL="114300" distR="114300" simplePos="0" relativeHeight="251659264" behindDoc="0" locked="0" layoutInCell="1" allowOverlap="1" wp14:anchorId="34B48CEC" wp14:editId="0D8F03B1">
            <wp:simplePos x="0" y="0"/>
            <wp:positionH relativeFrom="column">
              <wp:posOffset>0</wp:posOffset>
            </wp:positionH>
            <wp:positionV relativeFrom="paragraph">
              <wp:posOffset>328295</wp:posOffset>
            </wp:positionV>
            <wp:extent cx="5274310" cy="2962910"/>
            <wp:effectExtent l="0" t="0" r="2540" b="8890"/>
            <wp:wrapTopAndBottom/>
            <wp:docPr id="2088108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08766" name=""/>
                    <pic:cNvPicPr/>
                  </pic:nvPicPr>
                  <pic:blipFill>
                    <a:blip r:embed="rId7"/>
                    <a:stretch>
                      <a:fillRect/>
                    </a:stretch>
                  </pic:blipFill>
                  <pic:spPr>
                    <a:xfrm>
                      <a:off x="0" y="0"/>
                      <a:ext cx="5274310" cy="2962910"/>
                    </a:xfrm>
                    <a:prstGeom prst="rect">
                      <a:avLst/>
                    </a:prstGeom>
                  </pic:spPr>
                </pic:pic>
              </a:graphicData>
            </a:graphic>
          </wp:anchor>
        </w:drawing>
      </w:r>
      <w:r w:rsidRPr="003C5E6A">
        <w:rPr>
          <w:rFonts w:ascii="Times New Roman" w:hAnsi="Times New Roman" w:cs="Times New Roman" w:hint="eastAsia"/>
          <w:b/>
          <w:bCs/>
          <w:sz w:val="20"/>
          <w:szCs w:val="20"/>
        </w:rPr>
        <w:t>raphic Abstract</w:t>
      </w:r>
    </w:p>
    <w:p w14:paraId="173E9FFE" w14:textId="5AF99197" w:rsidR="00A95CE3" w:rsidRPr="005461EB" w:rsidRDefault="00A95CE3" w:rsidP="005461EB">
      <w:pPr>
        <w:jc w:val="both"/>
        <w:rPr>
          <w:rFonts w:ascii="Times New Roman" w:hAnsi="Times New Roman" w:cs="Times New Roman"/>
          <w:sz w:val="20"/>
          <w:szCs w:val="20"/>
        </w:rPr>
      </w:pPr>
      <w:bookmarkStart w:id="1" w:name="OLE_LINK12"/>
      <w:r w:rsidRPr="005461EB">
        <w:rPr>
          <w:rFonts w:ascii="Times New Roman" w:hAnsi="Times New Roman" w:cs="Times New Roman"/>
          <w:sz w:val="20"/>
          <w:szCs w:val="20"/>
        </w:rPr>
        <w:t>Grid+Renewable energy-&gt;data centers and 6G base station-&gt; smart EVs and buildings</w:t>
      </w:r>
      <w:bookmarkEnd w:id="1"/>
    </w:p>
    <w:p w14:paraId="03529375" w14:textId="77777777" w:rsidR="005461EB" w:rsidRPr="005461EB" w:rsidRDefault="005461EB" w:rsidP="005461EB">
      <w:pPr>
        <w:jc w:val="both"/>
        <w:rPr>
          <w:rFonts w:ascii="Times New Roman" w:hAnsi="Times New Roman" w:cs="Times New Roman"/>
          <w:b/>
          <w:bCs/>
          <w:sz w:val="20"/>
          <w:szCs w:val="20"/>
        </w:rPr>
      </w:pPr>
      <w:r w:rsidRPr="005461EB">
        <w:rPr>
          <w:rFonts w:ascii="Times New Roman" w:hAnsi="Times New Roman" w:cs="Times New Roman"/>
          <w:b/>
          <w:bCs/>
          <w:sz w:val="20"/>
          <w:szCs w:val="20"/>
        </w:rPr>
        <w:t>Abstract</w:t>
      </w:r>
    </w:p>
    <w:p w14:paraId="11EFADC6" w14:textId="70D194A7"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The accelerating convergence of digital infrastructure—data centers and 6G base stations—with transportation electrification and intelligent buildings presents a paradigm-shifting opportunity for power grid modernization. This review synthesizes interdisciplinary research on the integration of clean energy-powered digital assets, electric vehicles, and active buildings as grid-interactive resources. We examine how data centers and 6G base stations, traditionally viewed as passive load centers, can leverage their backup energy storage and workload flexibility to provide grid ancillary services. Concurrently, we analyze the synergistic potential of vehicle-to-grid (V2G) technologies and smart buildings as distributed energy prosumers. Key findings reveal that coordinated control frameworks can achieve sub-second frequency response, with data center cooling systems and IT workloads providing regulation services comparable to conventional battery storage. We identify critical challenges including interoperability standards, communication latency requirements, and the energy-security trade-off, while proposing future research directions at the intersection of telecommunications, power systems, and sustainable computing.</w:t>
      </w:r>
    </w:p>
    <w:p w14:paraId="32EA363C" w14:textId="77777777"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b/>
          <w:bCs/>
          <w:sz w:val="20"/>
          <w:szCs w:val="20"/>
        </w:rPr>
        <w:t>Keywords:</w:t>
      </w:r>
      <w:r w:rsidRPr="005461EB">
        <w:rPr>
          <w:rFonts w:ascii="Times New Roman" w:hAnsi="Times New Roman" w:cs="Times New Roman"/>
          <w:sz w:val="20"/>
          <w:szCs w:val="20"/>
        </w:rPr>
        <w:t> Data centers; 6G base stations; vehicle-to-grid (V2G); smart buildings; grid-interactive assets; frequency regulation; demand response; renewable energy integration</w:t>
      </w:r>
    </w:p>
    <w:p w14:paraId="5E7017FF" w14:textId="77777777" w:rsidR="005461EB" w:rsidRPr="00EC02B9" w:rsidRDefault="005461EB" w:rsidP="00EC02B9">
      <w:pPr>
        <w:pStyle w:val="1"/>
        <w:snapToGrid w:val="0"/>
        <w:spacing w:before="0" w:after="0" w:line="240" w:lineRule="auto"/>
        <w:rPr>
          <w:rFonts w:ascii="Times New Roman" w:hAnsi="Times New Roman" w:cs="Times New Roman"/>
          <w:b/>
          <w:bCs/>
          <w:color w:val="000000" w:themeColor="text1"/>
          <w:sz w:val="24"/>
          <w:szCs w:val="24"/>
        </w:rPr>
      </w:pPr>
      <w:r w:rsidRPr="00EC02B9">
        <w:rPr>
          <w:rFonts w:ascii="Times New Roman" w:hAnsi="Times New Roman" w:cs="Times New Roman"/>
          <w:b/>
          <w:bCs/>
          <w:color w:val="000000" w:themeColor="text1"/>
          <w:sz w:val="24"/>
          <w:szCs w:val="24"/>
        </w:rPr>
        <w:t>1. Introduction</w:t>
      </w:r>
    </w:p>
    <w:p w14:paraId="0D557C30" w14:textId="591FC68E" w:rsidR="005461EB" w:rsidRPr="00EC02B9" w:rsidRDefault="005461EB" w:rsidP="00EC02B9">
      <w:pPr>
        <w:pStyle w:val="2"/>
        <w:snapToGrid w:val="0"/>
        <w:spacing w:before="0" w:after="0" w:line="240" w:lineRule="auto"/>
        <w:rPr>
          <w:rFonts w:ascii="Times New Roman" w:hAnsi="Times New Roman" w:cs="Times New Roman"/>
          <w:i/>
          <w:iCs/>
          <w:color w:val="000000" w:themeColor="text1"/>
          <w:sz w:val="20"/>
          <w:szCs w:val="20"/>
        </w:rPr>
      </w:pPr>
      <w:r w:rsidRPr="00EC02B9">
        <w:rPr>
          <w:rFonts w:ascii="Times New Roman" w:hAnsi="Times New Roman" w:cs="Times New Roman"/>
          <w:i/>
          <w:iCs/>
          <w:color w:val="000000" w:themeColor="text1"/>
          <w:sz w:val="20"/>
          <w:szCs w:val="20"/>
        </w:rPr>
        <w:t xml:space="preserve">1.1 </w:t>
      </w:r>
      <w:r w:rsidRPr="00EC02B9">
        <w:rPr>
          <w:rFonts w:ascii="Times New Roman" w:hAnsi="Times New Roman" w:cs="Times New Roman" w:hint="eastAsia"/>
          <w:i/>
          <w:iCs/>
          <w:color w:val="000000" w:themeColor="text1"/>
          <w:sz w:val="20"/>
          <w:szCs w:val="20"/>
        </w:rPr>
        <w:t>Background</w:t>
      </w:r>
    </w:p>
    <w:p w14:paraId="2389FC28" w14:textId="7C45E7D8"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 xml:space="preserve">The global energy landscape is undergoing a profound transformation driven by three simultaneous </w:t>
      </w:r>
      <w:r w:rsidRPr="005461EB">
        <w:rPr>
          <w:rFonts w:ascii="Times New Roman" w:hAnsi="Times New Roman" w:cs="Times New Roman"/>
          <w:sz w:val="20"/>
          <w:szCs w:val="20"/>
        </w:rPr>
        <w:lastRenderedPageBreak/>
        <w:t>megatrends: the exponential growth of digital infrastructure, the electrification of transportation, and the imperative for grid decarbonization. Data centers, essential to the artificial intelligence revolution, are experiencing unprecedented electricity demand growth. Concurrently, the deployment of beyond-5G and 6G communication networks promises to connect billions of devices while introducing new energy challenges—China alone plans to deploy 8.28 million base stations by 2025.</w:t>
      </w:r>
    </w:p>
    <w:p w14:paraId="7F9B3F47" w14:textId="779AAE23" w:rsidR="005461EB" w:rsidRPr="00EC02B9" w:rsidRDefault="005461EB" w:rsidP="00EC02B9">
      <w:pPr>
        <w:pStyle w:val="2"/>
        <w:snapToGrid w:val="0"/>
        <w:spacing w:before="0" w:after="0" w:line="240" w:lineRule="auto"/>
        <w:rPr>
          <w:rFonts w:ascii="Times New Roman" w:hAnsi="Times New Roman" w:cs="Times New Roman"/>
          <w:i/>
          <w:iCs/>
          <w:color w:val="000000" w:themeColor="text1"/>
          <w:sz w:val="20"/>
          <w:szCs w:val="20"/>
        </w:rPr>
      </w:pPr>
      <w:r w:rsidRPr="00EC02B9">
        <w:rPr>
          <w:rFonts w:ascii="Times New Roman" w:hAnsi="Times New Roman" w:cs="Times New Roman"/>
          <w:i/>
          <w:iCs/>
          <w:color w:val="000000" w:themeColor="text1"/>
          <w:sz w:val="20"/>
          <w:szCs w:val="20"/>
        </w:rPr>
        <w:t xml:space="preserve">1.2 </w:t>
      </w:r>
      <w:r w:rsidR="00D50CEF" w:rsidRPr="00EC02B9">
        <w:rPr>
          <w:rFonts w:ascii="Times New Roman" w:hAnsi="Times New Roman" w:cs="Times New Roman" w:hint="eastAsia"/>
          <w:i/>
          <w:iCs/>
          <w:color w:val="000000" w:themeColor="text1"/>
          <w:sz w:val="20"/>
          <w:szCs w:val="20"/>
        </w:rPr>
        <w:t>Literature review</w:t>
      </w:r>
    </w:p>
    <w:p w14:paraId="01D78234" w14:textId="02443676"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Central to this review is the concept of "grid-interactive assets"—energy resources that can dynamically communicate with and respond to grid conditions. This paradigm represents a fundamental departure from the traditional unidirectional power flow model, transforming passive consumers into active prosumers capable of providing flexibility services.</w:t>
      </w:r>
    </w:p>
    <w:p w14:paraId="43AABEA9" w14:textId="2640D312" w:rsidR="005461EB" w:rsidRPr="00EC02B9" w:rsidRDefault="005461EB" w:rsidP="00EC02B9">
      <w:pPr>
        <w:pStyle w:val="2"/>
        <w:snapToGrid w:val="0"/>
        <w:spacing w:before="0" w:after="0" w:line="240" w:lineRule="auto"/>
        <w:rPr>
          <w:rFonts w:ascii="Times New Roman" w:hAnsi="Times New Roman" w:cs="Times New Roman"/>
          <w:i/>
          <w:iCs/>
          <w:color w:val="000000" w:themeColor="text1"/>
          <w:sz w:val="20"/>
          <w:szCs w:val="20"/>
        </w:rPr>
      </w:pPr>
      <w:r w:rsidRPr="00EC02B9">
        <w:rPr>
          <w:rFonts w:ascii="Times New Roman" w:hAnsi="Times New Roman" w:cs="Times New Roman"/>
          <w:i/>
          <w:iCs/>
          <w:color w:val="000000" w:themeColor="text1"/>
          <w:sz w:val="20"/>
          <w:szCs w:val="20"/>
        </w:rPr>
        <w:t xml:space="preserve">1.3 </w:t>
      </w:r>
      <w:r w:rsidR="00D50CEF" w:rsidRPr="00EC02B9">
        <w:rPr>
          <w:rFonts w:ascii="Times New Roman" w:hAnsi="Times New Roman" w:cs="Times New Roman" w:hint="eastAsia"/>
          <w:i/>
          <w:iCs/>
          <w:color w:val="000000" w:themeColor="text1"/>
          <w:sz w:val="20"/>
          <w:szCs w:val="20"/>
        </w:rPr>
        <w:t>Research gaps</w:t>
      </w:r>
      <w:r w:rsidRPr="00EC02B9">
        <w:rPr>
          <w:rFonts w:ascii="Times New Roman" w:hAnsi="Times New Roman" w:cs="Times New Roman"/>
          <w:i/>
          <w:iCs/>
          <w:color w:val="000000" w:themeColor="text1"/>
          <w:sz w:val="20"/>
          <w:szCs w:val="20"/>
        </w:rPr>
        <w:t xml:space="preserve"> and Contributions</w:t>
      </w:r>
    </w:p>
    <w:p w14:paraId="086134F7" w14:textId="77777777"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This paper provides a comprehensive review of:</w:t>
      </w:r>
    </w:p>
    <w:p w14:paraId="7A20F51A" w14:textId="01EA496D" w:rsidR="00DE1314" w:rsidRDefault="00DE1314" w:rsidP="005461EB">
      <w:pPr>
        <w:numPr>
          <w:ilvl w:val="0"/>
          <w:numId w:val="1"/>
        </w:numPr>
        <w:jc w:val="both"/>
        <w:rPr>
          <w:rFonts w:ascii="Times New Roman" w:hAnsi="Times New Roman" w:cs="Times New Roman"/>
          <w:sz w:val="20"/>
          <w:szCs w:val="20"/>
        </w:rPr>
      </w:pPr>
      <w:r>
        <w:rPr>
          <w:rFonts w:ascii="Times New Roman" w:hAnsi="Times New Roman" w:cs="Times New Roman" w:hint="eastAsia"/>
          <w:sz w:val="20"/>
          <w:szCs w:val="20"/>
        </w:rPr>
        <w:t xml:space="preserve">Nexus among </w:t>
      </w:r>
      <w:r w:rsidRPr="00DE1314">
        <w:rPr>
          <w:rFonts w:ascii="Times New Roman" w:hAnsi="Times New Roman" w:cs="Times New Roman"/>
          <w:sz w:val="20"/>
          <w:szCs w:val="20"/>
        </w:rPr>
        <w:t>Grid</w:t>
      </w:r>
      <w:r w:rsidR="00C570A2">
        <w:rPr>
          <w:rFonts w:ascii="Times New Roman" w:hAnsi="Times New Roman" w:cs="Times New Roman" w:hint="eastAsia"/>
          <w:sz w:val="20"/>
          <w:szCs w:val="20"/>
        </w:rPr>
        <w:t xml:space="preserve">, </w:t>
      </w:r>
      <w:r w:rsidRPr="00DE1314">
        <w:rPr>
          <w:rFonts w:ascii="Times New Roman" w:hAnsi="Times New Roman" w:cs="Times New Roman"/>
          <w:sz w:val="20"/>
          <w:szCs w:val="20"/>
        </w:rPr>
        <w:t>Renewable energy</w:t>
      </w:r>
      <w:r>
        <w:rPr>
          <w:rFonts w:ascii="Times New Roman" w:hAnsi="Times New Roman" w:cs="Times New Roman" w:hint="eastAsia"/>
          <w:sz w:val="20"/>
          <w:szCs w:val="20"/>
        </w:rPr>
        <w:t xml:space="preserve">, </w:t>
      </w:r>
      <w:r w:rsidRPr="00DE1314">
        <w:rPr>
          <w:rFonts w:ascii="Times New Roman" w:hAnsi="Times New Roman" w:cs="Times New Roman"/>
          <w:sz w:val="20"/>
          <w:szCs w:val="20"/>
        </w:rPr>
        <w:t>data centers and 6G base station</w:t>
      </w:r>
      <w:r>
        <w:rPr>
          <w:rFonts w:ascii="Times New Roman" w:hAnsi="Times New Roman" w:cs="Times New Roman" w:hint="eastAsia"/>
          <w:sz w:val="20"/>
          <w:szCs w:val="20"/>
        </w:rPr>
        <w:t>,</w:t>
      </w:r>
      <w:r w:rsidRPr="00DE1314">
        <w:rPr>
          <w:rFonts w:ascii="Times New Roman" w:hAnsi="Times New Roman" w:cs="Times New Roman"/>
          <w:sz w:val="20"/>
          <w:szCs w:val="20"/>
        </w:rPr>
        <w:t xml:space="preserve"> smart EVs and buildings</w:t>
      </w:r>
    </w:p>
    <w:p w14:paraId="14398A80" w14:textId="1609341D" w:rsidR="005461EB" w:rsidRPr="005461EB" w:rsidRDefault="005461EB" w:rsidP="005461EB">
      <w:pPr>
        <w:numPr>
          <w:ilvl w:val="0"/>
          <w:numId w:val="1"/>
        </w:numPr>
        <w:jc w:val="both"/>
        <w:rPr>
          <w:rFonts w:ascii="Times New Roman" w:hAnsi="Times New Roman" w:cs="Times New Roman"/>
          <w:sz w:val="20"/>
          <w:szCs w:val="20"/>
        </w:rPr>
      </w:pPr>
      <w:r w:rsidRPr="005461EB">
        <w:rPr>
          <w:rFonts w:ascii="Times New Roman" w:hAnsi="Times New Roman" w:cs="Times New Roman"/>
          <w:sz w:val="20"/>
          <w:szCs w:val="20"/>
        </w:rPr>
        <w:t>Clean energy integration strategies for data centers and 6G infrastructure</w:t>
      </w:r>
    </w:p>
    <w:p w14:paraId="7E830EC3" w14:textId="77777777" w:rsidR="005461EB" w:rsidRPr="005461EB" w:rsidRDefault="005461EB" w:rsidP="005461EB">
      <w:pPr>
        <w:numPr>
          <w:ilvl w:val="0"/>
          <w:numId w:val="1"/>
        </w:numPr>
        <w:jc w:val="both"/>
        <w:rPr>
          <w:rFonts w:ascii="Times New Roman" w:hAnsi="Times New Roman" w:cs="Times New Roman"/>
          <w:sz w:val="20"/>
          <w:szCs w:val="20"/>
        </w:rPr>
      </w:pPr>
      <w:r w:rsidRPr="005461EB">
        <w:rPr>
          <w:rFonts w:ascii="Times New Roman" w:hAnsi="Times New Roman" w:cs="Times New Roman"/>
          <w:sz w:val="20"/>
          <w:szCs w:val="20"/>
        </w:rPr>
        <w:t>Vehicle-to-grid and vehicle-to-fog technologies as mobile energy assets</w:t>
      </w:r>
    </w:p>
    <w:p w14:paraId="04DA4CE0" w14:textId="77777777" w:rsidR="005461EB" w:rsidRPr="005461EB" w:rsidRDefault="005461EB" w:rsidP="005461EB">
      <w:pPr>
        <w:numPr>
          <w:ilvl w:val="0"/>
          <w:numId w:val="1"/>
        </w:numPr>
        <w:jc w:val="both"/>
        <w:rPr>
          <w:rFonts w:ascii="Times New Roman" w:hAnsi="Times New Roman" w:cs="Times New Roman"/>
          <w:sz w:val="20"/>
          <w:szCs w:val="20"/>
        </w:rPr>
      </w:pPr>
      <w:r w:rsidRPr="005461EB">
        <w:rPr>
          <w:rFonts w:ascii="Times New Roman" w:hAnsi="Times New Roman" w:cs="Times New Roman"/>
          <w:sz w:val="20"/>
          <w:szCs w:val="20"/>
        </w:rPr>
        <w:t>Active buildings as distributed energy nodes</w:t>
      </w:r>
    </w:p>
    <w:p w14:paraId="45C3CE91" w14:textId="77777777" w:rsidR="005461EB" w:rsidRPr="005461EB" w:rsidRDefault="005461EB" w:rsidP="005461EB">
      <w:pPr>
        <w:numPr>
          <w:ilvl w:val="0"/>
          <w:numId w:val="1"/>
        </w:numPr>
        <w:jc w:val="both"/>
        <w:rPr>
          <w:rFonts w:ascii="Times New Roman" w:hAnsi="Times New Roman" w:cs="Times New Roman"/>
          <w:sz w:val="20"/>
          <w:szCs w:val="20"/>
        </w:rPr>
      </w:pPr>
      <w:r w:rsidRPr="005461EB">
        <w:rPr>
          <w:rFonts w:ascii="Times New Roman" w:hAnsi="Times New Roman" w:cs="Times New Roman"/>
          <w:sz w:val="20"/>
          <w:szCs w:val="20"/>
        </w:rPr>
        <w:t>Coordinated control frameworks for multi-asset grid services</w:t>
      </w:r>
    </w:p>
    <w:p w14:paraId="232A1CB8" w14:textId="77777777" w:rsidR="005461EB" w:rsidRPr="00EC02B9" w:rsidRDefault="005461EB" w:rsidP="00EC02B9">
      <w:pPr>
        <w:pStyle w:val="1"/>
        <w:snapToGrid w:val="0"/>
        <w:spacing w:before="0" w:after="0" w:line="240" w:lineRule="auto"/>
        <w:rPr>
          <w:rFonts w:ascii="Times New Roman" w:hAnsi="Times New Roman" w:cs="Times New Roman"/>
          <w:b/>
          <w:bCs/>
          <w:color w:val="000000" w:themeColor="text1"/>
          <w:sz w:val="24"/>
          <w:szCs w:val="24"/>
        </w:rPr>
      </w:pPr>
      <w:r w:rsidRPr="00EC02B9">
        <w:rPr>
          <w:rFonts w:ascii="Times New Roman" w:hAnsi="Times New Roman" w:cs="Times New Roman"/>
          <w:b/>
          <w:bCs/>
          <w:color w:val="000000" w:themeColor="text1"/>
          <w:sz w:val="24"/>
          <w:szCs w:val="24"/>
        </w:rPr>
        <w:t>2. The Energy Challenge: Digital Infrastructure and Grid Decarbonization</w:t>
      </w:r>
    </w:p>
    <w:p w14:paraId="219C7E63" w14:textId="77777777" w:rsidR="005461EB" w:rsidRPr="00EC02B9" w:rsidRDefault="005461EB" w:rsidP="00EC02B9">
      <w:pPr>
        <w:pStyle w:val="2"/>
        <w:snapToGrid w:val="0"/>
        <w:spacing w:before="0" w:after="0" w:line="240" w:lineRule="auto"/>
        <w:rPr>
          <w:rFonts w:ascii="Times New Roman" w:hAnsi="Times New Roman" w:cs="Times New Roman"/>
          <w:i/>
          <w:iCs/>
          <w:color w:val="000000" w:themeColor="text1"/>
          <w:sz w:val="20"/>
          <w:szCs w:val="20"/>
        </w:rPr>
      </w:pPr>
      <w:r w:rsidRPr="00EC02B9">
        <w:rPr>
          <w:rFonts w:ascii="Times New Roman" w:hAnsi="Times New Roman" w:cs="Times New Roman"/>
          <w:i/>
          <w:iCs/>
          <w:color w:val="000000" w:themeColor="text1"/>
          <w:sz w:val="20"/>
          <w:szCs w:val="20"/>
        </w:rPr>
        <w:t>2.1 Data Center Energy Consumption Trends</w:t>
      </w:r>
    </w:p>
    <w:p w14:paraId="0BA950A5" w14:textId="302D1D5D"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The rapid proliferation of artificial intelligence technologies has catalyzed unprecedented growth in data center infrastructure, creating significant pressure on electricity grids. Research indicates that power consumption in distributed computing systems is not linearly related to CPU utilization—I/O operations significantly impact energy consumption, necessitating sophisticated power modeling approaches.</w:t>
      </w:r>
    </w:p>
    <w:p w14:paraId="798771A6" w14:textId="77777777" w:rsidR="005461EB" w:rsidRPr="00EC02B9" w:rsidRDefault="005461EB" w:rsidP="00EC02B9">
      <w:pPr>
        <w:pStyle w:val="2"/>
        <w:snapToGrid w:val="0"/>
        <w:spacing w:before="0" w:after="0" w:line="240" w:lineRule="auto"/>
        <w:rPr>
          <w:rFonts w:ascii="Times New Roman" w:hAnsi="Times New Roman" w:cs="Times New Roman"/>
          <w:i/>
          <w:iCs/>
          <w:color w:val="000000" w:themeColor="text1"/>
          <w:sz w:val="20"/>
          <w:szCs w:val="20"/>
        </w:rPr>
      </w:pPr>
      <w:r w:rsidRPr="00EC02B9">
        <w:rPr>
          <w:rFonts w:ascii="Times New Roman" w:hAnsi="Times New Roman" w:cs="Times New Roman"/>
          <w:i/>
          <w:iCs/>
          <w:color w:val="000000" w:themeColor="text1"/>
          <w:sz w:val="20"/>
          <w:szCs w:val="20"/>
        </w:rPr>
        <w:t>2.2 6G Network Energy Requirements</w:t>
      </w:r>
    </w:p>
    <w:p w14:paraId="5C1FF7D9" w14:textId="4DCC3E18"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The transition to 6G communications, with standardization expected to commence in 2025 and commercialization targeted for 2030, introduces both challenges and opportunities. The massive deployment of base stations—each equipped with backup batteries—creates a distributed energy storage network potentially exceeding the capacity of conventional grid storage systems.</w:t>
      </w:r>
    </w:p>
    <w:p w14:paraId="51741420" w14:textId="77777777" w:rsidR="005461EB" w:rsidRPr="00EC02B9" w:rsidRDefault="005461EB" w:rsidP="00EC02B9">
      <w:pPr>
        <w:pStyle w:val="2"/>
        <w:snapToGrid w:val="0"/>
        <w:spacing w:before="0" w:after="0" w:line="240" w:lineRule="auto"/>
        <w:rPr>
          <w:rFonts w:ascii="Times New Roman" w:hAnsi="Times New Roman" w:cs="Times New Roman"/>
          <w:i/>
          <w:iCs/>
          <w:color w:val="000000" w:themeColor="text1"/>
          <w:sz w:val="20"/>
          <w:szCs w:val="20"/>
        </w:rPr>
      </w:pPr>
      <w:r w:rsidRPr="00EC02B9">
        <w:rPr>
          <w:rFonts w:ascii="Times New Roman" w:hAnsi="Times New Roman" w:cs="Times New Roman"/>
          <w:i/>
          <w:iCs/>
          <w:color w:val="000000" w:themeColor="text1"/>
          <w:sz w:val="20"/>
          <w:szCs w:val="20"/>
        </w:rPr>
        <w:t>2.3 Renewable Energy Integration Challenges</w:t>
      </w:r>
    </w:p>
    <w:p w14:paraId="6D34F6B9" w14:textId="5A7AC51E"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Integrating variable renewable energy sources requires unprecedented grid flexibility. Seasonal climate variability significantly affects electricity demand patterns—studies project increased summer peak loads and winter peaking shifts in some regions, requiring expanded generation capacity that may become underutilized.</w:t>
      </w:r>
    </w:p>
    <w:p w14:paraId="23EA1504" w14:textId="7C42C0C2" w:rsidR="005461EB" w:rsidRDefault="001915ED" w:rsidP="00EC02B9">
      <w:pPr>
        <w:pStyle w:val="1"/>
        <w:snapToGrid w:val="0"/>
        <w:spacing w:before="0" w:after="0" w:line="240" w:lineRule="auto"/>
        <w:rPr>
          <w:rFonts w:ascii="Times New Roman" w:hAnsi="Times New Roman" w:cs="Times New Roman"/>
          <w:b/>
          <w:bCs/>
          <w:color w:val="000000" w:themeColor="text1"/>
          <w:sz w:val="24"/>
          <w:szCs w:val="24"/>
        </w:rPr>
      </w:pPr>
      <w:r w:rsidRPr="001915ED">
        <w:lastRenderedPageBreak/>
        <w:drawing>
          <wp:anchor distT="0" distB="0" distL="114300" distR="114300" simplePos="0" relativeHeight="251661312" behindDoc="0" locked="0" layoutInCell="1" allowOverlap="1" wp14:anchorId="2CFB7FCA" wp14:editId="79FD7156">
            <wp:simplePos x="0" y="0"/>
            <wp:positionH relativeFrom="column">
              <wp:posOffset>0</wp:posOffset>
            </wp:positionH>
            <wp:positionV relativeFrom="paragraph">
              <wp:posOffset>360045</wp:posOffset>
            </wp:positionV>
            <wp:extent cx="5274310" cy="2962910"/>
            <wp:effectExtent l="0" t="0" r="2540" b="8890"/>
            <wp:wrapTopAndBottom/>
            <wp:docPr id="1339114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14038" name=""/>
                    <pic:cNvPicPr/>
                  </pic:nvPicPr>
                  <pic:blipFill>
                    <a:blip r:embed="rId8"/>
                    <a:stretch>
                      <a:fillRect/>
                    </a:stretch>
                  </pic:blipFill>
                  <pic:spPr>
                    <a:xfrm>
                      <a:off x="0" y="0"/>
                      <a:ext cx="5274310" cy="2962910"/>
                    </a:xfrm>
                    <a:prstGeom prst="rect">
                      <a:avLst/>
                    </a:prstGeom>
                  </pic:spPr>
                </pic:pic>
              </a:graphicData>
            </a:graphic>
          </wp:anchor>
        </w:drawing>
      </w:r>
      <w:r w:rsidR="005461EB" w:rsidRPr="00EC02B9">
        <w:rPr>
          <w:rFonts w:ascii="Times New Roman" w:hAnsi="Times New Roman" w:cs="Times New Roman"/>
          <w:b/>
          <w:bCs/>
          <w:color w:val="000000" w:themeColor="text1"/>
          <w:sz w:val="24"/>
          <w:szCs w:val="24"/>
        </w:rPr>
        <w:t>3. Data Centers as Grid-Interactive Assets</w:t>
      </w:r>
    </w:p>
    <w:p w14:paraId="4E241B05" w14:textId="724FD8F2" w:rsidR="001915ED" w:rsidRPr="001915ED" w:rsidRDefault="001915ED" w:rsidP="001915ED">
      <w:pPr>
        <w:rPr>
          <w:rFonts w:hint="eastAsia"/>
        </w:rPr>
      </w:pPr>
    </w:p>
    <w:p w14:paraId="6634ED07" w14:textId="77777777" w:rsidR="005461EB" w:rsidRPr="00EC02B9" w:rsidRDefault="005461EB" w:rsidP="00EC02B9">
      <w:pPr>
        <w:pStyle w:val="2"/>
        <w:snapToGrid w:val="0"/>
        <w:spacing w:before="0" w:after="0" w:line="240" w:lineRule="auto"/>
        <w:rPr>
          <w:rFonts w:ascii="Times New Roman" w:hAnsi="Times New Roman" w:cs="Times New Roman"/>
          <w:i/>
          <w:iCs/>
          <w:color w:val="000000" w:themeColor="text1"/>
          <w:sz w:val="20"/>
          <w:szCs w:val="20"/>
        </w:rPr>
      </w:pPr>
      <w:r w:rsidRPr="00EC02B9">
        <w:rPr>
          <w:rFonts w:ascii="Times New Roman" w:hAnsi="Times New Roman" w:cs="Times New Roman"/>
          <w:i/>
          <w:iCs/>
          <w:color w:val="000000" w:themeColor="text1"/>
          <w:sz w:val="20"/>
          <w:szCs w:val="20"/>
        </w:rPr>
        <w:t>3.1 Workload Shifting and Spatial-Temporal Flexibility</w:t>
      </w:r>
    </w:p>
    <w:p w14:paraId="177616B0" w14:textId="701B1829"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Data centers can provide load-shifting flexibility by migrating computational workloads across both space and time. This enables data centers to function as prosumers, simultaneously requesting load and providing flexibility services, with remuneration based on nodal price differences.</w:t>
      </w:r>
    </w:p>
    <w:p w14:paraId="28511C0E" w14:textId="77777777" w:rsidR="005461EB" w:rsidRPr="00EC02B9" w:rsidRDefault="005461EB" w:rsidP="00EC02B9">
      <w:pPr>
        <w:pStyle w:val="2"/>
        <w:snapToGrid w:val="0"/>
        <w:spacing w:before="0" w:after="0" w:line="240" w:lineRule="auto"/>
        <w:rPr>
          <w:rFonts w:ascii="Times New Roman" w:hAnsi="Times New Roman" w:cs="Times New Roman"/>
          <w:i/>
          <w:iCs/>
          <w:color w:val="000000" w:themeColor="text1"/>
          <w:sz w:val="20"/>
          <w:szCs w:val="20"/>
        </w:rPr>
      </w:pPr>
      <w:r w:rsidRPr="00EC02B9">
        <w:rPr>
          <w:rFonts w:ascii="Times New Roman" w:hAnsi="Times New Roman" w:cs="Times New Roman"/>
          <w:i/>
          <w:iCs/>
          <w:color w:val="000000" w:themeColor="text1"/>
          <w:sz w:val="20"/>
          <w:szCs w:val="20"/>
        </w:rPr>
        <w:t>3.2 Frequency Regulation Services</w:t>
      </w:r>
    </w:p>
    <w:p w14:paraId="4AAE0ED1" w14:textId="76E8792F"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Research demonstrates that data centers can provide fast frequency response (FFR) services through coordinated control of both IT workloads and cooling systems. Key mechanisms include:</w:t>
      </w:r>
    </w:p>
    <w:p w14:paraId="127B3794" w14:textId="77777777" w:rsidR="005461EB" w:rsidRPr="005461EB" w:rsidRDefault="005461EB" w:rsidP="005461EB">
      <w:pPr>
        <w:numPr>
          <w:ilvl w:val="0"/>
          <w:numId w:val="2"/>
        </w:numPr>
        <w:jc w:val="both"/>
        <w:rPr>
          <w:rFonts w:ascii="Times New Roman" w:hAnsi="Times New Roman" w:cs="Times New Roman"/>
          <w:sz w:val="20"/>
          <w:szCs w:val="20"/>
        </w:rPr>
      </w:pPr>
      <w:r w:rsidRPr="005461EB">
        <w:rPr>
          <w:rFonts w:ascii="Times New Roman" w:hAnsi="Times New Roman" w:cs="Times New Roman"/>
          <w:sz w:val="20"/>
          <w:szCs w:val="20"/>
        </w:rPr>
        <w:t>Server-level power management</w:t>
      </w:r>
    </w:p>
    <w:p w14:paraId="1C0FDF77" w14:textId="77777777" w:rsidR="005461EB" w:rsidRPr="005461EB" w:rsidRDefault="005461EB" w:rsidP="005461EB">
      <w:pPr>
        <w:numPr>
          <w:ilvl w:val="0"/>
          <w:numId w:val="2"/>
        </w:numPr>
        <w:jc w:val="both"/>
        <w:rPr>
          <w:rFonts w:ascii="Times New Roman" w:hAnsi="Times New Roman" w:cs="Times New Roman"/>
          <w:sz w:val="20"/>
          <w:szCs w:val="20"/>
        </w:rPr>
      </w:pPr>
      <w:r w:rsidRPr="005461EB">
        <w:rPr>
          <w:rFonts w:ascii="Times New Roman" w:hAnsi="Times New Roman" w:cs="Times New Roman"/>
          <w:sz w:val="20"/>
          <w:szCs w:val="20"/>
        </w:rPr>
        <w:t>Chilled water supply temperature control</w:t>
      </w:r>
    </w:p>
    <w:p w14:paraId="27FCA2A3" w14:textId="77777777" w:rsidR="005461EB" w:rsidRPr="005461EB" w:rsidRDefault="005461EB" w:rsidP="005461EB">
      <w:pPr>
        <w:numPr>
          <w:ilvl w:val="0"/>
          <w:numId w:val="2"/>
        </w:numPr>
        <w:jc w:val="both"/>
        <w:rPr>
          <w:rFonts w:ascii="Times New Roman" w:hAnsi="Times New Roman" w:cs="Times New Roman"/>
          <w:sz w:val="20"/>
          <w:szCs w:val="20"/>
        </w:rPr>
      </w:pPr>
      <w:r w:rsidRPr="005461EB">
        <w:rPr>
          <w:rFonts w:ascii="Times New Roman" w:hAnsi="Times New Roman" w:cs="Times New Roman"/>
          <w:sz w:val="20"/>
          <w:szCs w:val="20"/>
        </w:rPr>
        <w:t>UPS battery participation in frequency regulation</w:t>
      </w:r>
    </w:p>
    <w:p w14:paraId="21F808DB" w14:textId="29ABCA54"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A synergistic control strategy combining these approaches can effectively track regulation signals from electricity markets.</w:t>
      </w:r>
    </w:p>
    <w:p w14:paraId="43787188" w14:textId="77777777" w:rsidR="005461EB" w:rsidRPr="00EC02B9" w:rsidRDefault="005461EB" w:rsidP="00EC02B9">
      <w:pPr>
        <w:pStyle w:val="2"/>
        <w:snapToGrid w:val="0"/>
        <w:spacing w:before="0" w:after="0" w:line="240" w:lineRule="auto"/>
        <w:rPr>
          <w:rFonts w:ascii="Times New Roman" w:hAnsi="Times New Roman" w:cs="Times New Roman"/>
          <w:i/>
          <w:iCs/>
          <w:color w:val="000000" w:themeColor="text1"/>
          <w:sz w:val="20"/>
          <w:szCs w:val="20"/>
        </w:rPr>
      </w:pPr>
      <w:r w:rsidRPr="00EC02B9">
        <w:rPr>
          <w:rFonts w:ascii="Times New Roman" w:hAnsi="Times New Roman" w:cs="Times New Roman"/>
          <w:i/>
          <w:iCs/>
          <w:color w:val="000000" w:themeColor="text1"/>
          <w:sz w:val="20"/>
          <w:szCs w:val="20"/>
        </w:rPr>
        <w:t>3.3 Virtual Machine Placement Optimization</w:t>
      </w:r>
    </w:p>
    <w:p w14:paraId="7EA83C2E" w14:textId="3E7DB07D"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Energy-efficient virtual machine (VM) placement is a constrained optimization problem that significantly impacts data center efficiency. Accelerated genetic algorithms have demonstrated 8% energy savings compared to traditional algorithms, with 66% reduction in execution time for large-scale deployments.</w:t>
      </w:r>
    </w:p>
    <w:p w14:paraId="17199F62" w14:textId="77777777" w:rsidR="005461EB" w:rsidRDefault="005461EB" w:rsidP="00EC02B9">
      <w:pPr>
        <w:pStyle w:val="1"/>
        <w:snapToGrid w:val="0"/>
        <w:spacing w:before="0" w:after="0" w:line="240" w:lineRule="auto"/>
        <w:rPr>
          <w:rFonts w:ascii="Times New Roman" w:hAnsi="Times New Roman" w:cs="Times New Roman"/>
          <w:b/>
          <w:bCs/>
          <w:color w:val="000000" w:themeColor="text1"/>
          <w:sz w:val="24"/>
          <w:szCs w:val="24"/>
        </w:rPr>
      </w:pPr>
      <w:r w:rsidRPr="00EC02B9">
        <w:rPr>
          <w:rFonts w:ascii="Times New Roman" w:hAnsi="Times New Roman" w:cs="Times New Roman"/>
          <w:b/>
          <w:bCs/>
          <w:color w:val="000000" w:themeColor="text1"/>
          <w:sz w:val="24"/>
          <w:szCs w:val="24"/>
        </w:rPr>
        <w:t>4. 6G Base Stations as Energy Resources</w:t>
      </w:r>
    </w:p>
    <w:p w14:paraId="46F8E530" w14:textId="42FE5A21" w:rsidR="00F1148B" w:rsidRDefault="00F1148B" w:rsidP="00F1148B"/>
    <w:p w14:paraId="432A62AF" w14:textId="77777777" w:rsidR="00F1148B" w:rsidRDefault="00F1148B" w:rsidP="00F1148B"/>
    <w:p w14:paraId="6C2E713E" w14:textId="6A33A41F" w:rsidR="00F1148B" w:rsidRDefault="00290EB5" w:rsidP="00F1148B">
      <w:r w:rsidRPr="00290EB5">
        <w:lastRenderedPageBreak/>
        <w:drawing>
          <wp:anchor distT="0" distB="0" distL="114300" distR="114300" simplePos="0" relativeHeight="251663360" behindDoc="0" locked="0" layoutInCell="1" allowOverlap="1" wp14:anchorId="3CBFAD02" wp14:editId="3F68136F">
            <wp:simplePos x="0" y="0"/>
            <wp:positionH relativeFrom="column">
              <wp:posOffset>0</wp:posOffset>
            </wp:positionH>
            <wp:positionV relativeFrom="paragraph">
              <wp:posOffset>381000</wp:posOffset>
            </wp:positionV>
            <wp:extent cx="5274310" cy="2962910"/>
            <wp:effectExtent l="0" t="0" r="2540" b="8890"/>
            <wp:wrapTopAndBottom/>
            <wp:docPr id="1120989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89051" name=""/>
                    <pic:cNvPicPr/>
                  </pic:nvPicPr>
                  <pic:blipFill>
                    <a:blip r:embed="rId9"/>
                    <a:stretch>
                      <a:fillRect/>
                    </a:stretch>
                  </pic:blipFill>
                  <pic:spPr>
                    <a:xfrm>
                      <a:off x="0" y="0"/>
                      <a:ext cx="5274310" cy="2962910"/>
                    </a:xfrm>
                    <a:prstGeom prst="rect">
                      <a:avLst/>
                    </a:prstGeom>
                  </pic:spPr>
                </pic:pic>
              </a:graphicData>
            </a:graphic>
          </wp:anchor>
        </w:drawing>
      </w:r>
    </w:p>
    <w:p w14:paraId="7086C7BC" w14:textId="77777777" w:rsidR="00290EB5" w:rsidRPr="00F1148B" w:rsidRDefault="00290EB5" w:rsidP="00F1148B">
      <w:pPr>
        <w:rPr>
          <w:rFonts w:hint="eastAsia"/>
        </w:rPr>
      </w:pPr>
    </w:p>
    <w:p w14:paraId="4D043104" w14:textId="77777777" w:rsidR="005461EB" w:rsidRPr="00EC02B9" w:rsidRDefault="005461EB" w:rsidP="00EC02B9">
      <w:pPr>
        <w:pStyle w:val="2"/>
        <w:snapToGrid w:val="0"/>
        <w:spacing w:before="0" w:after="0" w:line="240" w:lineRule="auto"/>
        <w:rPr>
          <w:rFonts w:ascii="Times New Roman" w:hAnsi="Times New Roman" w:cs="Times New Roman"/>
          <w:i/>
          <w:iCs/>
          <w:color w:val="000000" w:themeColor="text1"/>
          <w:sz w:val="20"/>
          <w:szCs w:val="20"/>
        </w:rPr>
      </w:pPr>
      <w:r w:rsidRPr="00EC02B9">
        <w:rPr>
          <w:rFonts w:ascii="Times New Roman" w:hAnsi="Times New Roman" w:cs="Times New Roman"/>
          <w:i/>
          <w:iCs/>
          <w:color w:val="000000" w:themeColor="text1"/>
          <w:sz w:val="20"/>
          <w:szCs w:val="20"/>
        </w:rPr>
        <w:t>4.1 Backup Battery Utilization</w:t>
      </w:r>
    </w:p>
    <w:p w14:paraId="34D94C0F" w14:textId="7DD9DACC"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Base stations are uniquely positioned as grid assets because they are already grid-connected, with batteries primarily serving as backup power. These batteries can be charged during off-peak hours and discharged during peak demand, enabling telecom operators to participate in energy markets . Crucially, retired electric vehicle batteries retain sufficient capacity for base station backup applications, enabling circular economy approaches.</w:t>
      </w:r>
    </w:p>
    <w:p w14:paraId="0F479A9E" w14:textId="7038B4D7" w:rsidR="005461EB" w:rsidRPr="00EC02B9" w:rsidRDefault="005461EB" w:rsidP="00EC02B9">
      <w:pPr>
        <w:pStyle w:val="2"/>
        <w:snapToGrid w:val="0"/>
        <w:spacing w:before="0" w:after="0" w:line="240" w:lineRule="auto"/>
        <w:rPr>
          <w:rFonts w:ascii="Times New Roman" w:hAnsi="Times New Roman" w:cs="Times New Roman"/>
          <w:i/>
          <w:iCs/>
          <w:color w:val="000000" w:themeColor="text1"/>
          <w:sz w:val="20"/>
          <w:szCs w:val="20"/>
        </w:rPr>
      </w:pPr>
      <w:r w:rsidRPr="00EC02B9">
        <w:rPr>
          <w:rFonts w:ascii="Times New Roman" w:hAnsi="Times New Roman" w:cs="Times New Roman"/>
          <w:i/>
          <w:iCs/>
          <w:color w:val="000000" w:themeColor="text1"/>
          <w:sz w:val="20"/>
          <w:szCs w:val="20"/>
        </w:rPr>
        <w:t xml:space="preserve">4.2 </w:t>
      </w:r>
      <w:bookmarkStart w:id="2" w:name="OLE_LINK14"/>
      <w:r w:rsidR="001E6A33" w:rsidRPr="001E6A33">
        <w:rPr>
          <w:rFonts w:ascii="Times New Roman" w:hAnsi="Times New Roman" w:cs="Times New Roman"/>
          <w:i/>
          <w:iCs/>
          <w:color w:val="000000" w:themeColor="text1"/>
          <w:sz w:val="20"/>
          <w:szCs w:val="20"/>
        </w:rPr>
        <w:t>Tower-to-Grid</w:t>
      </w:r>
      <w:r w:rsidR="001E6A33" w:rsidRPr="001E6A33">
        <w:rPr>
          <w:rFonts w:ascii="Times New Roman" w:hAnsi="Times New Roman" w:cs="Times New Roman"/>
          <w:i/>
          <w:iCs/>
          <w:color w:val="000000" w:themeColor="text1"/>
          <w:sz w:val="20"/>
          <w:szCs w:val="20"/>
        </w:rPr>
        <w:t xml:space="preserve"> </w:t>
      </w:r>
      <w:r w:rsidR="001E6A33">
        <w:rPr>
          <w:rFonts w:ascii="Times New Roman" w:hAnsi="Times New Roman" w:cs="Times New Roman" w:hint="eastAsia"/>
          <w:i/>
          <w:iCs/>
          <w:color w:val="000000" w:themeColor="text1"/>
          <w:sz w:val="20"/>
          <w:szCs w:val="20"/>
        </w:rPr>
        <w:t>(</w:t>
      </w:r>
      <w:r w:rsidRPr="00EC02B9">
        <w:rPr>
          <w:rFonts w:ascii="Times New Roman" w:hAnsi="Times New Roman" w:cs="Times New Roman"/>
          <w:i/>
          <w:iCs/>
          <w:color w:val="000000" w:themeColor="text1"/>
          <w:sz w:val="20"/>
          <w:szCs w:val="20"/>
        </w:rPr>
        <w:t>T2G</w:t>
      </w:r>
      <w:r w:rsidR="001E6A33">
        <w:rPr>
          <w:rFonts w:ascii="Times New Roman" w:hAnsi="Times New Roman" w:cs="Times New Roman" w:hint="eastAsia"/>
          <w:i/>
          <w:iCs/>
          <w:color w:val="000000" w:themeColor="text1"/>
          <w:sz w:val="20"/>
          <w:szCs w:val="20"/>
        </w:rPr>
        <w:t>)</w:t>
      </w:r>
      <w:r w:rsidRPr="00EC02B9">
        <w:rPr>
          <w:rFonts w:ascii="Times New Roman" w:hAnsi="Times New Roman" w:cs="Times New Roman"/>
          <w:i/>
          <w:iCs/>
          <w:color w:val="000000" w:themeColor="text1"/>
          <w:sz w:val="20"/>
          <w:szCs w:val="20"/>
        </w:rPr>
        <w:t xml:space="preserve"> and </w:t>
      </w:r>
      <w:r w:rsidR="001E6A33" w:rsidRPr="001E6A33">
        <w:rPr>
          <w:rFonts w:ascii="Times New Roman" w:hAnsi="Times New Roman" w:cs="Times New Roman"/>
          <w:i/>
          <w:iCs/>
          <w:color w:val="000000" w:themeColor="text1"/>
          <w:sz w:val="20"/>
          <w:szCs w:val="20"/>
        </w:rPr>
        <w:t>Tower-to-</w:t>
      </w:r>
      <w:r w:rsidR="001E6A33">
        <w:rPr>
          <w:rFonts w:ascii="Times New Roman" w:hAnsi="Times New Roman" w:cs="Times New Roman" w:hint="eastAsia"/>
          <w:i/>
          <w:iCs/>
          <w:color w:val="000000" w:themeColor="text1"/>
          <w:sz w:val="20"/>
          <w:szCs w:val="20"/>
        </w:rPr>
        <w:t>Vehicle (</w:t>
      </w:r>
      <w:r w:rsidRPr="00EC02B9">
        <w:rPr>
          <w:rFonts w:ascii="Times New Roman" w:hAnsi="Times New Roman" w:cs="Times New Roman"/>
          <w:i/>
          <w:iCs/>
          <w:color w:val="000000" w:themeColor="text1"/>
          <w:sz w:val="20"/>
          <w:szCs w:val="20"/>
        </w:rPr>
        <w:t>T2V</w:t>
      </w:r>
      <w:r w:rsidR="001E6A33">
        <w:rPr>
          <w:rFonts w:ascii="Times New Roman" w:hAnsi="Times New Roman" w:cs="Times New Roman" w:hint="eastAsia"/>
          <w:i/>
          <w:iCs/>
          <w:color w:val="000000" w:themeColor="text1"/>
          <w:sz w:val="20"/>
          <w:szCs w:val="20"/>
        </w:rPr>
        <w:t>)</w:t>
      </w:r>
      <w:r w:rsidRPr="00EC02B9">
        <w:rPr>
          <w:rFonts w:ascii="Times New Roman" w:hAnsi="Times New Roman" w:cs="Times New Roman"/>
          <w:i/>
          <w:iCs/>
          <w:color w:val="000000" w:themeColor="text1"/>
          <w:sz w:val="20"/>
          <w:szCs w:val="20"/>
        </w:rPr>
        <w:t xml:space="preserve"> </w:t>
      </w:r>
      <w:bookmarkEnd w:id="2"/>
      <w:r w:rsidRPr="00EC02B9">
        <w:rPr>
          <w:rFonts w:ascii="Times New Roman" w:hAnsi="Times New Roman" w:cs="Times New Roman"/>
          <w:i/>
          <w:iCs/>
          <w:color w:val="000000" w:themeColor="text1"/>
          <w:sz w:val="20"/>
          <w:szCs w:val="20"/>
        </w:rPr>
        <w:t>Energy Exchange Models</w:t>
      </w:r>
    </w:p>
    <w:p w14:paraId="49035798" w14:textId="03920525"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Three primary implementation models for base station energy exchange have been identified :</w:t>
      </w:r>
    </w:p>
    <w:p w14:paraId="204444E7" w14:textId="77777777"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b/>
          <w:bCs/>
          <w:sz w:val="20"/>
          <w:szCs w:val="20"/>
        </w:rPr>
        <w:t>Grid-Centralized T2G</w:t>
      </w:r>
      <w:r w:rsidRPr="005461EB">
        <w:rPr>
          <w:rFonts w:ascii="Times New Roman" w:hAnsi="Times New Roman" w:cs="Times New Roman"/>
          <w:sz w:val="20"/>
          <w:szCs w:val="20"/>
        </w:rPr>
        <w:t>: Bidirectional exchange between base stations and the grid, enabling dynamic pricing participation. At most 50% of backup battery capacity is dispatchable during low traffic periods.</w:t>
      </w:r>
    </w:p>
    <w:p w14:paraId="76140DDC" w14:textId="77777777"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b/>
          <w:bCs/>
          <w:sz w:val="20"/>
          <w:szCs w:val="20"/>
        </w:rPr>
        <w:t>Cloud-Based Virtual Power Plant</w:t>
      </w:r>
      <w:r w:rsidRPr="005461EB">
        <w:rPr>
          <w:rFonts w:ascii="Times New Roman" w:hAnsi="Times New Roman" w:cs="Times New Roman"/>
          <w:sz w:val="20"/>
          <w:szCs w:val="20"/>
        </w:rPr>
        <w:t>: Aggregates decentralized resources including solar, wind, and storage through unified control, enabling peer-to-peer energy exchange that avoids transmission losses.</w:t>
      </w:r>
    </w:p>
    <w:p w14:paraId="7A6496BF" w14:textId="77777777"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b/>
          <w:bCs/>
          <w:sz w:val="20"/>
          <w:szCs w:val="20"/>
        </w:rPr>
        <w:t>Direct T2V Exchange</w:t>
      </w:r>
      <w:r w:rsidRPr="005461EB">
        <w:rPr>
          <w:rFonts w:ascii="Times New Roman" w:hAnsi="Times New Roman" w:cs="Times New Roman"/>
          <w:sz w:val="20"/>
          <w:szCs w:val="20"/>
        </w:rPr>
        <w:t>: Enables electric vehicles to directly obtain energy from base stations, reducing communication overhead and transmission losses.</w:t>
      </w:r>
    </w:p>
    <w:p w14:paraId="7FF817E4" w14:textId="77777777" w:rsidR="005461EB" w:rsidRPr="00EC02B9" w:rsidRDefault="005461EB" w:rsidP="00EC02B9">
      <w:pPr>
        <w:pStyle w:val="2"/>
        <w:snapToGrid w:val="0"/>
        <w:spacing w:before="0" w:after="0" w:line="240" w:lineRule="auto"/>
        <w:rPr>
          <w:rFonts w:ascii="Times New Roman" w:hAnsi="Times New Roman" w:cs="Times New Roman"/>
          <w:i/>
          <w:iCs/>
          <w:color w:val="000000" w:themeColor="text1"/>
          <w:sz w:val="20"/>
          <w:szCs w:val="20"/>
        </w:rPr>
      </w:pPr>
      <w:r w:rsidRPr="00EC02B9">
        <w:rPr>
          <w:rFonts w:ascii="Times New Roman" w:hAnsi="Times New Roman" w:cs="Times New Roman"/>
          <w:i/>
          <w:iCs/>
          <w:color w:val="000000" w:themeColor="text1"/>
          <w:sz w:val="20"/>
          <w:szCs w:val="20"/>
        </w:rPr>
        <w:t>4.3 Communication Requirements and Latency Constraints</w:t>
      </w:r>
    </w:p>
    <w:p w14:paraId="6BB9856E" w14:textId="0F44E2DC"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The smart grid requires low-latency, ultra-reliable communication for stability-critical operations. 5G technology addresses these requirements through enhanced Mobile Broadband (eMBB), Ultra-Reliable Low-Latency Communications (URLLC), and Massive Machine-Type Communications (mMTC) schemes </w:t>
      </w:r>
      <w:hyperlink r:id="rId10" w:anchor="11#4" w:tgtFrame="_blank" w:history="1">
        <w:r w:rsidRPr="005461EB">
          <w:rPr>
            <w:rStyle w:val="af2"/>
            <w:rFonts w:ascii="Times New Roman" w:hAnsi="Times New Roman" w:cs="Times New Roman"/>
            <w:sz w:val="20"/>
            <w:szCs w:val="20"/>
          </w:rPr>
          <w:t>-11</w:t>
        </w:r>
      </w:hyperlink>
      <w:r w:rsidRPr="005461EB">
        <w:rPr>
          <w:rFonts w:ascii="Times New Roman" w:hAnsi="Times New Roman" w:cs="Times New Roman"/>
          <w:sz w:val="20"/>
          <w:szCs w:val="20"/>
        </w:rPr>
        <w:t>. Smart grid applications requiring wireless communication include low-voltage distribution data acquisition, intelligent distributed feeder automation, and millisecond-level precise load control.</w:t>
      </w:r>
    </w:p>
    <w:p w14:paraId="4740B3B0" w14:textId="1AB578A2" w:rsidR="005461EB" w:rsidRDefault="000F49F4" w:rsidP="00EC02B9">
      <w:pPr>
        <w:pStyle w:val="1"/>
        <w:snapToGrid w:val="0"/>
        <w:spacing w:before="0" w:after="0" w:line="240" w:lineRule="auto"/>
        <w:rPr>
          <w:rFonts w:ascii="Times New Roman" w:hAnsi="Times New Roman" w:cs="Times New Roman"/>
          <w:b/>
          <w:bCs/>
          <w:color w:val="000000" w:themeColor="text1"/>
          <w:sz w:val="24"/>
          <w:szCs w:val="24"/>
        </w:rPr>
      </w:pPr>
      <w:bookmarkStart w:id="3" w:name="OLE_LINK15"/>
      <w:r w:rsidRPr="000F49F4">
        <w:lastRenderedPageBreak/>
        <w:drawing>
          <wp:anchor distT="0" distB="0" distL="114300" distR="114300" simplePos="0" relativeHeight="251665408" behindDoc="0" locked="0" layoutInCell="1" allowOverlap="1" wp14:anchorId="04F0DEEE" wp14:editId="4CA1D218">
            <wp:simplePos x="0" y="0"/>
            <wp:positionH relativeFrom="column">
              <wp:posOffset>0</wp:posOffset>
            </wp:positionH>
            <wp:positionV relativeFrom="paragraph">
              <wp:posOffset>348978</wp:posOffset>
            </wp:positionV>
            <wp:extent cx="5274310" cy="2962910"/>
            <wp:effectExtent l="0" t="0" r="2540" b="8890"/>
            <wp:wrapTopAndBottom/>
            <wp:docPr id="896162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62045" name=""/>
                    <pic:cNvPicPr/>
                  </pic:nvPicPr>
                  <pic:blipFill>
                    <a:blip r:embed="rId11"/>
                    <a:stretch>
                      <a:fillRect/>
                    </a:stretch>
                  </pic:blipFill>
                  <pic:spPr>
                    <a:xfrm>
                      <a:off x="0" y="0"/>
                      <a:ext cx="5274310" cy="2962910"/>
                    </a:xfrm>
                    <a:prstGeom prst="rect">
                      <a:avLst/>
                    </a:prstGeom>
                  </pic:spPr>
                </pic:pic>
              </a:graphicData>
            </a:graphic>
          </wp:anchor>
        </w:drawing>
      </w:r>
      <w:r w:rsidR="005461EB" w:rsidRPr="00EC02B9">
        <w:rPr>
          <w:rFonts w:ascii="Times New Roman" w:hAnsi="Times New Roman" w:cs="Times New Roman"/>
          <w:b/>
          <w:bCs/>
          <w:color w:val="000000" w:themeColor="text1"/>
          <w:sz w:val="24"/>
          <w:szCs w:val="24"/>
        </w:rPr>
        <w:t>5. Electric Vehicles as Mobile Energy Assets</w:t>
      </w:r>
    </w:p>
    <w:p w14:paraId="561AA495" w14:textId="720A92FA" w:rsidR="00666115" w:rsidRPr="00666115" w:rsidRDefault="00666115" w:rsidP="00666115">
      <w:pPr>
        <w:rPr>
          <w:rFonts w:hint="eastAsia"/>
        </w:rPr>
      </w:pPr>
    </w:p>
    <w:p w14:paraId="183A41FA" w14:textId="77777777" w:rsidR="005461EB" w:rsidRPr="00EC02B9" w:rsidRDefault="005461EB" w:rsidP="00EC02B9">
      <w:pPr>
        <w:pStyle w:val="2"/>
        <w:snapToGrid w:val="0"/>
        <w:spacing w:before="0" w:after="0" w:line="240" w:lineRule="auto"/>
        <w:rPr>
          <w:rFonts w:ascii="Times New Roman" w:hAnsi="Times New Roman" w:cs="Times New Roman"/>
          <w:i/>
          <w:iCs/>
          <w:color w:val="000000" w:themeColor="text1"/>
          <w:sz w:val="20"/>
          <w:szCs w:val="20"/>
        </w:rPr>
      </w:pPr>
      <w:r w:rsidRPr="00EC02B9">
        <w:rPr>
          <w:rFonts w:ascii="Times New Roman" w:hAnsi="Times New Roman" w:cs="Times New Roman"/>
          <w:i/>
          <w:iCs/>
          <w:color w:val="000000" w:themeColor="text1"/>
          <w:sz w:val="20"/>
          <w:szCs w:val="20"/>
        </w:rPr>
        <w:t>5.1 Vehicle-to-Grid (V2G) Technology</w:t>
      </w:r>
    </w:p>
    <w:bookmarkEnd w:id="3"/>
    <w:p w14:paraId="0E01E1E6" w14:textId="550971BA"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Vehicle-to-grid technology leverages electric vehicles as mobile energy storage units, providing promising solutions for peak demand management, renewable energy integration, and grid stabilization . Coordinated control frameworks for fast frequency response from electric vehicles, data centers, and battery energy storage systems demonstrate the potential for sub-second active power support from distributed resources.</w:t>
      </w:r>
    </w:p>
    <w:p w14:paraId="7943F25E" w14:textId="77777777" w:rsidR="005461EB" w:rsidRPr="00EC02B9" w:rsidRDefault="005461EB" w:rsidP="00EC02B9">
      <w:pPr>
        <w:pStyle w:val="2"/>
        <w:snapToGrid w:val="0"/>
        <w:spacing w:before="0" w:after="0" w:line="240" w:lineRule="auto"/>
        <w:rPr>
          <w:rFonts w:ascii="Times New Roman" w:hAnsi="Times New Roman" w:cs="Times New Roman"/>
          <w:i/>
          <w:iCs/>
          <w:color w:val="000000" w:themeColor="text1"/>
          <w:sz w:val="20"/>
          <w:szCs w:val="20"/>
        </w:rPr>
      </w:pPr>
      <w:r w:rsidRPr="00EC02B9">
        <w:rPr>
          <w:rFonts w:ascii="Times New Roman" w:hAnsi="Times New Roman" w:cs="Times New Roman"/>
          <w:i/>
          <w:iCs/>
          <w:color w:val="000000" w:themeColor="text1"/>
          <w:sz w:val="20"/>
          <w:szCs w:val="20"/>
        </w:rPr>
        <w:t>5.2 V2G and 6G Synergies</w:t>
      </w:r>
    </w:p>
    <w:p w14:paraId="3EB5FABB" w14:textId="5C003761"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The integration of V2G with next-generation networks enables decentralized energy processing, representing what some researchers identify as the optimal industrial application of 5G/6G technology for energy challenges . Vehicle-to-fog computing architectures extend this concept, enabling even greater decentralization of energy resources.</w:t>
      </w:r>
    </w:p>
    <w:p w14:paraId="6660B811" w14:textId="77777777" w:rsidR="005461EB" w:rsidRPr="00EC02B9" w:rsidRDefault="005461EB" w:rsidP="00EC02B9">
      <w:pPr>
        <w:pStyle w:val="2"/>
        <w:snapToGrid w:val="0"/>
        <w:spacing w:before="0" w:after="0" w:line="240" w:lineRule="auto"/>
        <w:rPr>
          <w:rFonts w:ascii="Times New Roman" w:hAnsi="Times New Roman" w:cs="Times New Roman"/>
          <w:i/>
          <w:iCs/>
          <w:color w:val="000000" w:themeColor="text1"/>
          <w:sz w:val="20"/>
          <w:szCs w:val="20"/>
        </w:rPr>
      </w:pPr>
      <w:r w:rsidRPr="00EC02B9">
        <w:rPr>
          <w:rFonts w:ascii="Times New Roman" w:hAnsi="Times New Roman" w:cs="Times New Roman"/>
          <w:i/>
          <w:iCs/>
          <w:color w:val="000000" w:themeColor="text1"/>
          <w:sz w:val="20"/>
          <w:szCs w:val="20"/>
        </w:rPr>
        <w:t>5.3 Implementation Challenges</w:t>
      </w:r>
    </w:p>
    <w:p w14:paraId="27823FBD" w14:textId="77777777"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Key challenges include:</w:t>
      </w:r>
    </w:p>
    <w:p w14:paraId="4AD40E26" w14:textId="77777777" w:rsidR="005461EB" w:rsidRPr="005461EB" w:rsidRDefault="005461EB" w:rsidP="005461EB">
      <w:pPr>
        <w:numPr>
          <w:ilvl w:val="0"/>
          <w:numId w:val="3"/>
        </w:numPr>
        <w:jc w:val="both"/>
        <w:rPr>
          <w:rFonts w:ascii="Times New Roman" w:hAnsi="Times New Roman" w:cs="Times New Roman"/>
          <w:sz w:val="20"/>
          <w:szCs w:val="20"/>
        </w:rPr>
      </w:pPr>
      <w:r w:rsidRPr="005461EB">
        <w:rPr>
          <w:rFonts w:ascii="Times New Roman" w:hAnsi="Times New Roman" w:cs="Times New Roman"/>
          <w:sz w:val="20"/>
          <w:szCs w:val="20"/>
        </w:rPr>
        <w:t>Potentially disrupting telecom infrastructure if not carefully planned</w:t>
      </w:r>
    </w:p>
    <w:p w14:paraId="442FB580" w14:textId="77777777" w:rsidR="005461EB" w:rsidRPr="005461EB" w:rsidRDefault="005461EB" w:rsidP="005461EB">
      <w:pPr>
        <w:numPr>
          <w:ilvl w:val="0"/>
          <w:numId w:val="3"/>
        </w:numPr>
        <w:jc w:val="both"/>
        <w:rPr>
          <w:rFonts w:ascii="Times New Roman" w:hAnsi="Times New Roman" w:cs="Times New Roman"/>
          <w:sz w:val="20"/>
          <w:szCs w:val="20"/>
        </w:rPr>
      </w:pPr>
      <w:r w:rsidRPr="005461EB">
        <w:rPr>
          <w:rFonts w:ascii="Times New Roman" w:hAnsi="Times New Roman" w:cs="Times New Roman"/>
          <w:sz w:val="20"/>
          <w:szCs w:val="20"/>
        </w:rPr>
        <w:t>Record-keeping requirements for energy origin tracing</w:t>
      </w:r>
    </w:p>
    <w:p w14:paraId="7552C657" w14:textId="77777777" w:rsidR="005461EB" w:rsidRPr="005461EB" w:rsidRDefault="005461EB" w:rsidP="005461EB">
      <w:pPr>
        <w:numPr>
          <w:ilvl w:val="0"/>
          <w:numId w:val="3"/>
        </w:numPr>
        <w:jc w:val="both"/>
        <w:rPr>
          <w:rFonts w:ascii="Times New Roman" w:hAnsi="Times New Roman" w:cs="Times New Roman"/>
          <w:sz w:val="20"/>
          <w:szCs w:val="20"/>
        </w:rPr>
      </w:pPr>
      <w:r w:rsidRPr="005461EB">
        <w:rPr>
          <w:rFonts w:ascii="Times New Roman" w:hAnsi="Times New Roman" w:cs="Times New Roman"/>
          <w:sz w:val="20"/>
          <w:szCs w:val="20"/>
        </w:rPr>
        <w:t>Dynamic pricing and buyer-seller matching</w:t>
      </w:r>
    </w:p>
    <w:p w14:paraId="038FE574" w14:textId="20DC3C09" w:rsidR="005461EB" w:rsidRPr="005461EB" w:rsidRDefault="005461EB" w:rsidP="005461EB">
      <w:pPr>
        <w:numPr>
          <w:ilvl w:val="0"/>
          <w:numId w:val="3"/>
        </w:numPr>
        <w:jc w:val="both"/>
        <w:rPr>
          <w:rFonts w:ascii="Times New Roman" w:hAnsi="Times New Roman" w:cs="Times New Roman"/>
          <w:sz w:val="20"/>
          <w:szCs w:val="20"/>
        </w:rPr>
      </w:pPr>
      <w:r w:rsidRPr="005461EB">
        <w:rPr>
          <w:rFonts w:ascii="Times New Roman" w:hAnsi="Times New Roman" w:cs="Times New Roman"/>
          <w:sz w:val="20"/>
          <w:szCs w:val="20"/>
        </w:rPr>
        <w:t>Privacy-preserving energy management</w:t>
      </w:r>
    </w:p>
    <w:p w14:paraId="426251B5" w14:textId="77777777" w:rsidR="005461EB" w:rsidRDefault="005461EB" w:rsidP="00EC02B9">
      <w:pPr>
        <w:pStyle w:val="1"/>
        <w:snapToGrid w:val="0"/>
        <w:spacing w:before="0" w:after="0" w:line="240" w:lineRule="auto"/>
        <w:rPr>
          <w:rFonts w:ascii="Times New Roman" w:hAnsi="Times New Roman" w:cs="Times New Roman"/>
          <w:b/>
          <w:bCs/>
          <w:color w:val="000000" w:themeColor="text1"/>
          <w:sz w:val="24"/>
          <w:szCs w:val="24"/>
        </w:rPr>
      </w:pPr>
      <w:bookmarkStart w:id="4" w:name="OLE_LINK16"/>
      <w:r w:rsidRPr="00EC02B9">
        <w:rPr>
          <w:rFonts w:ascii="Times New Roman" w:hAnsi="Times New Roman" w:cs="Times New Roman"/>
          <w:b/>
          <w:bCs/>
          <w:color w:val="000000" w:themeColor="text1"/>
          <w:sz w:val="24"/>
          <w:szCs w:val="24"/>
        </w:rPr>
        <w:t>6. Smart Buildings as Distributed Energy Nodes</w:t>
      </w:r>
    </w:p>
    <w:p w14:paraId="0BDC70FA" w14:textId="610AF4D6" w:rsidR="00624E42" w:rsidRDefault="00624E42" w:rsidP="00624E42"/>
    <w:p w14:paraId="7947D678" w14:textId="77777777" w:rsidR="004C13C1" w:rsidRDefault="004C13C1" w:rsidP="00624E42"/>
    <w:p w14:paraId="56715E3A" w14:textId="4BBBE89D" w:rsidR="004C13C1" w:rsidRDefault="004C13C1" w:rsidP="00624E42"/>
    <w:p w14:paraId="5843A82D" w14:textId="682D8F8A" w:rsidR="004C13C1" w:rsidRDefault="004C13C1" w:rsidP="00624E42">
      <w:r w:rsidRPr="004C13C1">
        <w:drawing>
          <wp:anchor distT="0" distB="0" distL="114300" distR="114300" simplePos="0" relativeHeight="251667456" behindDoc="0" locked="0" layoutInCell="1" allowOverlap="1" wp14:anchorId="279E7DBA" wp14:editId="715540DB">
            <wp:simplePos x="0" y="0"/>
            <wp:positionH relativeFrom="column">
              <wp:posOffset>0</wp:posOffset>
            </wp:positionH>
            <wp:positionV relativeFrom="paragraph">
              <wp:posOffset>374560</wp:posOffset>
            </wp:positionV>
            <wp:extent cx="5274310" cy="2962910"/>
            <wp:effectExtent l="0" t="0" r="2540" b="8890"/>
            <wp:wrapTopAndBottom/>
            <wp:docPr id="1687159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59975" name=""/>
                    <pic:cNvPicPr/>
                  </pic:nvPicPr>
                  <pic:blipFill>
                    <a:blip r:embed="rId12"/>
                    <a:stretch>
                      <a:fillRect/>
                    </a:stretch>
                  </pic:blipFill>
                  <pic:spPr>
                    <a:xfrm>
                      <a:off x="0" y="0"/>
                      <a:ext cx="5274310" cy="2962910"/>
                    </a:xfrm>
                    <a:prstGeom prst="rect">
                      <a:avLst/>
                    </a:prstGeom>
                  </pic:spPr>
                </pic:pic>
              </a:graphicData>
            </a:graphic>
          </wp:anchor>
        </w:drawing>
      </w:r>
    </w:p>
    <w:p w14:paraId="7513BEA3" w14:textId="1FA06ACA" w:rsidR="004C13C1" w:rsidRDefault="004C13C1" w:rsidP="00624E42"/>
    <w:p w14:paraId="45E935CB" w14:textId="77777777" w:rsidR="004C13C1" w:rsidRDefault="004C13C1" w:rsidP="00624E42">
      <w:pPr>
        <w:rPr>
          <w:rFonts w:hint="eastAsia"/>
        </w:rPr>
      </w:pPr>
    </w:p>
    <w:p w14:paraId="101A4736" w14:textId="77777777" w:rsidR="00624E42" w:rsidRPr="00624E42" w:rsidRDefault="00624E42" w:rsidP="00624E42">
      <w:pPr>
        <w:rPr>
          <w:rFonts w:hint="eastAsia"/>
        </w:rPr>
      </w:pPr>
    </w:p>
    <w:p w14:paraId="50E559EE" w14:textId="3D5C3470" w:rsidR="005461EB" w:rsidRPr="00EC02B9" w:rsidRDefault="005461EB" w:rsidP="00EC02B9">
      <w:pPr>
        <w:pStyle w:val="2"/>
        <w:snapToGrid w:val="0"/>
        <w:spacing w:before="0" w:after="0" w:line="240" w:lineRule="auto"/>
        <w:rPr>
          <w:rFonts w:ascii="Times New Roman" w:hAnsi="Times New Roman" w:cs="Times New Roman"/>
          <w:i/>
          <w:iCs/>
          <w:color w:val="000000" w:themeColor="text1"/>
          <w:sz w:val="20"/>
          <w:szCs w:val="20"/>
        </w:rPr>
      </w:pPr>
      <w:r w:rsidRPr="00EC02B9">
        <w:rPr>
          <w:rFonts w:ascii="Times New Roman" w:hAnsi="Times New Roman" w:cs="Times New Roman"/>
          <w:i/>
          <w:iCs/>
          <w:color w:val="000000" w:themeColor="text1"/>
          <w:sz w:val="20"/>
          <w:szCs w:val="20"/>
        </w:rPr>
        <w:t>6.1 Active Buildings</w:t>
      </w:r>
      <w:bookmarkEnd w:id="4"/>
    </w:p>
    <w:p w14:paraId="09B7DCC0" w14:textId="72D270F2"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Buildings are transitioning from passive consumers to active participants in energy systems. This transformation is enabled by renewable energy sources, smart technologies, and information and communication technologies, allowing buildings to participate in balancing markets and support network operators as service providers.</w:t>
      </w:r>
    </w:p>
    <w:p w14:paraId="6D9C6AB1" w14:textId="77777777" w:rsidR="005461EB" w:rsidRPr="00EC02B9" w:rsidRDefault="005461EB" w:rsidP="00EC02B9">
      <w:pPr>
        <w:pStyle w:val="2"/>
        <w:snapToGrid w:val="0"/>
        <w:spacing w:before="0" w:after="0" w:line="240" w:lineRule="auto"/>
        <w:rPr>
          <w:rFonts w:ascii="Times New Roman" w:hAnsi="Times New Roman" w:cs="Times New Roman"/>
          <w:i/>
          <w:iCs/>
          <w:color w:val="000000" w:themeColor="text1"/>
          <w:sz w:val="20"/>
          <w:szCs w:val="20"/>
        </w:rPr>
      </w:pPr>
      <w:r w:rsidRPr="00EC02B9">
        <w:rPr>
          <w:rFonts w:ascii="Times New Roman" w:hAnsi="Times New Roman" w:cs="Times New Roman"/>
          <w:i/>
          <w:iCs/>
          <w:color w:val="000000" w:themeColor="text1"/>
          <w:sz w:val="20"/>
          <w:szCs w:val="20"/>
        </w:rPr>
        <w:t>6.2 Positive Energy Buildings and Net-Zero Energy Buildings</w:t>
      </w:r>
    </w:p>
    <w:p w14:paraId="24B60A4E" w14:textId="3FFB5B71"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Positive Energy Buildings (PEBs) represent a paradigm shift toward high-performance building-sector infrastructure, focusing on exploiting interactions between individual Net-Zero Energy Buildings and smart grids through energy surplus exchange. This requires rethinking buildings as nodes in intelligent energy infrastructures with distributed renewable energy resources </w:t>
      </w:r>
    </w:p>
    <w:p w14:paraId="76B60B81" w14:textId="77777777" w:rsidR="005461EB" w:rsidRPr="00EC02B9" w:rsidRDefault="005461EB" w:rsidP="00EC02B9">
      <w:pPr>
        <w:pStyle w:val="2"/>
        <w:snapToGrid w:val="0"/>
        <w:spacing w:before="0" w:after="0" w:line="240" w:lineRule="auto"/>
        <w:rPr>
          <w:rFonts w:ascii="Times New Roman" w:hAnsi="Times New Roman" w:cs="Times New Roman"/>
          <w:i/>
          <w:iCs/>
          <w:color w:val="000000" w:themeColor="text1"/>
          <w:sz w:val="20"/>
          <w:szCs w:val="20"/>
        </w:rPr>
      </w:pPr>
      <w:r w:rsidRPr="00EC02B9">
        <w:rPr>
          <w:rFonts w:ascii="Times New Roman" w:hAnsi="Times New Roman" w:cs="Times New Roman"/>
          <w:i/>
          <w:iCs/>
          <w:color w:val="000000" w:themeColor="text1"/>
          <w:sz w:val="20"/>
          <w:szCs w:val="20"/>
        </w:rPr>
        <w:t>6.3 Grid-Integrated Building Control</w:t>
      </w:r>
    </w:p>
    <w:p w14:paraId="40E44468" w14:textId="1DA34BA4"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Collaborative control optimization using game-theoretic frameworks for grid-connected buildings has demonstrated:</w:t>
      </w:r>
    </w:p>
    <w:p w14:paraId="10211D08" w14:textId="77777777" w:rsidR="005461EB" w:rsidRPr="005461EB" w:rsidRDefault="005461EB" w:rsidP="005461EB">
      <w:pPr>
        <w:numPr>
          <w:ilvl w:val="0"/>
          <w:numId w:val="4"/>
        </w:numPr>
        <w:jc w:val="both"/>
        <w:rPr>
          <w:rFonts w:ascii="Times New Roman" w:hAnsi="Times New Roman" w:cs="Times New Roman"/>
          <w:sz w:val="20"/>
          <w:szCs w:val="20"/>
        </w:rPr>
      </w:pPr>
      <w:r w:rsidRPr="005461EB">
        <w:rPr>
          <w:rFonts w:ascii="Times New Roman" w:hAnsi="Times New Roman" w:cs="Times New Roman"/>
          <w:sz w:val="20"/>
          <w:szCs w:val="20"/>
        </w:rPr>
        <w:t>Peak demand reduction</w:t>
      </w:r>
    </w:p>
    <w:p w14:paraId="616367D0" w14:textId="77777777" w:rsidR="005461EB" w:rsidRPr="005461EB" w:rsidRDefault="005461EB" w:rsidP="005461EB">
      <w:pPr>
        <w:numPr>
          <w:ilvl w:val="0"/>
          <w:numId w:val="4"/>
        </w:numPr>
        <w:jc w:val="both"/>
        <w:rPr>
          <w:rFonts w:ascii="Times New Roman" w:hAnsi="Times New Roman" w:cs="Times New Roman"/>
          <w:sz w:val="20"/>
          <w:szCs w:val="20"/>
        </w:rPr>
      </w:pPr>
      <w:r w:rsidRPr="005461EB">
        <w:rPr>
          <w:rFonts w:ascii="Times New Roman" w:hAnsi="Times New Roman" w:cs="Times New Roman"/>
          <w:sz w:val="20"/>
          <w:szCs w:val="20"/>
        </w:rPr>
        <w:t>Improved grid stability</w:t>
      </w:r>
    </w:p>
    <w:p w14:paraId="3D928156" w14:textId="77777777" w:rsidR="005461EB" w:rsidRPr="005461EB" w:rsidRDefault="005461EB" w:rsidP="005461EB">
      <w:pPr>
        <w:numPr>
          <w:ilvl w:val="0"/>
          <w:numId w:val="4"/>
        </w:numPr>
        <w:jc w:val="both"/>
        <w:rPr>
          <w:rFonts w:ascii="Times New Roman" w:hAnsi="Times New Roman" w:cs="Times New Roman"/>
          <w:sz w:val="20"/>
          <w:szCs w:val="20"/>
        </w:rPr>
      </w:pPr>
      <w:r w:rsidRPr="005461EB">
        <w:rPr>
          <w:rFonts w:ascii="Times New Roman" w:hAnsi="Times New Roman" w:cs="Times New Roman"/>
          <w:sz w:val="20"/>
          <w:szCs w:val="20"/>
        </w:rPr>
        <w:t>Increased renewable energy utilization</w:t>
      </w:r>
    </w:p>
    <w:p w14:paraId="387893DD" w14:textId="49A9C02C"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lastRenderedPageBreak/>
        <w:t>Photovoltaic systems integrated with buildings can provide significant ancillary services including frequency regulation and voltage control</w:t>
      </w:r>
    </w:p>
    <w:p w14:paraId="04CD540A" w14:textId="77777777" w:rsidR="005461EB" w:rsidRDefault="005461EB" w:rsidP="00EC02B9">
      <w:pPr>
        <w:pStyle w:val="1"/>
        <w:snapToGrid w:val="0"/>
        <w:spacing w:before="0" w:after="0" w:line="240" w:lineRule="auto"/>
        <w:rPr>
          <w:rFonts w:ascii="Times New Roman" w:hAnsi="Times New Roman" w:cs="Times New Roman"/>
          <w:b/>
          <w:bCs/>
          <w:color w:val="000000" w:themeColor="text1"/>
          <w:sz w:val="24"/>
          <w:szCs w:val="24"/>
        </w:rPr>
      </w:pPr>
      <w:r w:rsidRPr="00EC02B9">
        <w:rPr>
          <w:rFonts w:ascii="Times New Roman" w:hAnsi="Times New Roman" w:cs="Times New Roman"/>
          <w:b/>
          <w:bCs/>
          <w:color w:val="000000" w:themeColor="text1"/>
          <w:sz w:val="24"/>
          <w:szCs w:val="24"/>
        </w:rPr>
        <w:t>7. Integration and Coordination Frameworks</w:t>
      </w:r>
    </w:p>
    <w:p w14:paraId="0B17BEF7" w14:textId="69038F04" w:rsidR="00FF12F1" w:rsidRPr="00FF12F1" w:rsidRDefault="0002275A" w:rsidP="00FF12F1">
      <w:pPr>
        <w:rPr>
          <w:rFonts w:hint="eastAsia"/>
        </w:rPr>
      </w:pPr>
      <w:r w:rsidRPr="0002275A">
        <w:drawing>
          <wp:anchor distT="0" distB="0" distL="114300" distR="114300" simplePos="0" relativeHeight="251669504" behindDoc="0" locked="0" layoutInCell="1" allowOverlap="1" wp14:anchorId="48926C70" wp14:editId="5D66FB30">
            <wp:simplePos x="0" y="0"/>
            <wp:positionH relativeFrom="column">
              <wp:posOffset>58057</wp:posOffset>
            </wp:positionH>
            <wp:positionV relativeFrom="paragraph">
              <wp:posOffset>224518</wp:posOffset>
            </wp:positionV>
            <wp:extent cx="5274310" cy="2962910"/>
            <wp:effectExtent l="0" t="0" r="2540" b="8890"/>
            <wp:wrapTopAndBottom/>
            <wp:docPr id="636770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70584" name=""/>
                    <pic:cNvPicPr/>
                  </pic:nvPicPr>
                  <pic:blipFill>
                    <a:blip r:embed="rId13"/>
                    <a:stretch>
                      <a:fillRect/>
                    </a:stretch>
                  </pic:blipFill>
                  <pic:spPr>
                    <a:xfrm>
                      <a:off x="0" y="0"/>
                      <a:ext cx="5274310" cy="2962910"/>
                    </a:xfrm>
                    <a:prstGeom prst="rect">
                      <a:avLst/>
                    </a:prstGeom>
                  </pic:spPr>
                </pic:pic>
              </a:graphicData>
            </a:graphic>
          </wp:anchor>
        </w:drawing>
      </w:r>
    </w:p>
    <w:p w14:paraId="541DB370" w14:textId="77777777" w:rsidR="005461EB" w:rsidRPr="00EC02B9" w:rsidRDefault="005461EB" w:rsidP="00EC02B9">
      <w:pPr>
        <w:pStyle w:val="2"/>
        <w:snapToGrid w:val="0"/>
        <w:spacing w:before="0" w:after="0" w:line="240" w:lineRule="auto"/>
        <w:rPr>
          <w:rFonts w:ascii="Times New Roman" w:hAnsi="Times New Roman" w:cs="Times New Roman"/>
          <w:i/>
          <w:iCs/>
          <w:color w:val="000000" w:themeColor="text1"/>
          <w:sz w:val="20"/>
          <w:szCs w:val="20"/>
        </w:rPr>
      </w:pPr>
      <w:r w:rsidRPr="00EC02B9">
        <w:rPr>
          <w:rFonts w:ascii="Times New Roman" w:hAnsi="Times New Roman" w:cs="Times New Roman"/>
          <w:i/>
          <w:iCs/>
          <w:color w:val="000000" w:themeColor="text1"/>
          <w:sz w:val="20"/>
          <w:szCs w:val="20"/>
        </w:rPr>
        <w:t>7.1</w:t>
      </w:r>
      <w:bookmarkStart w:id="5" w:name="OLE_LINK17"/>
      <w:r w:rsidRPr="00EC02B9">
        <w:rPr>
          <w:rFonts w:ascii="Times New Roman" w:hAnsi="Times New Roman" w:cs="Times New Roman"/>
          <w:i/>
          <w:iCs/>
          <w:color w:val="000000" w:themeColor="text1"/>
          <w:sz w:val="20"/>
          <w:szCs w:val="20"/>
        </w:rPr>
        <w:t xml:space="preserve"> Coordinated Fast Frequency Response</w:t>
      </w:r>
      <w:bookmarkEnd w:id="5"/>
    </w:p>
    <w:p w14:paraId="1279A52F" w14:textId="4DDDBEE2"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Recent research proposes unified control frameworks enabling electric vehicles, data centers, and battery energy storage systems to provide coordinated fast frequency response. High renewable penetration has reduced system inertia, increasing the criticality of distributed frequency response</w:t>
      </w:r>
    </w:p>
    <w:p w14:paraId="5FC2B937" w14:textId="77777777" w:rsidR="005461EB" w:rsidRPr="00EC02B9" w:rsidRDefault="005461EB" w:rsidP="00EC02B9">
      <w:pPr>
        <w:pStyle w:val="2"/>
        <w:snapToGrid w:val="0"/>
        <w:spacing w:before="0" w:after="0" w:line="240" w:lineRule="auto"/>
        <w:rPr>
          <w:rFonts w:ascii="Times New Roman" w:hAnsi="Times New Roman" w:cs="Times New Roman"/>
          <w:i/>
          <w:iCs/>
          <w:color w:val="000000" w:themeColor="text1"/>
          <w:sz w:val="20"/>
          <w:szCs w:val="20"/>
        </w:rPr>
      </w:pPr>
      <w:r w:rsidRPr="00EC02B9">
        <w:rPr>
          <w:rFonts w:ascii="Times New Roman" w:hAnsi="Times New Roman" w:cs="Times New Roman"/>
          <w:i/>
          <w:iCs/>
          <w:color w:val="000000" w:themeColor="text1"/>
          <w:sz w:val="20"/>
          <w:szCs w:val="20"/>
        </w:rPr>
        <w:t>7.2 Smart Grid Communication Architectures</w:t>
      </w:r>
    </w:p>
    <w:p w14:paraId="4C485536" w14:textId="66952617"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The general architecture of the smart grid requires robust telecommunication infrastructure for addressing reliability, capacity, and security issues. Smart grids enable two-way communication between central controllers and local actuators, enabling rapid response to urgent situations such as sudden load increases.</w:t>
      </w:r>
    </w:p>
    <w:p w14:paraId="0DF9D77B" w14:textId="77777777" w:rsidR="005461EB" w:rsidRPr="00EC02B9" w:rsidRDefault="005461EB" w:rsidP="00EC02B9">
      <w:pPr>
        <w:pStyle w:val="2"/>
        <w:snapToGrid w:val="0"/>
        <w:spacing w:before="0" w:after="0" w:line="240" w:lineRule="auto"/>
        <w:rPr>
          <w:rFonts w:ascii="Times New Roman" w:hAnsi="Times New Roman" w:cs="Times New Roman"/>
          <w:i/>
          <w:iCs/>
          <w:color w:val="000000" w:themeColor="text1"/>
          <w:sz w:val="20"/>
          <w:szCs w:val="20"/>
        </w:rPr>
      </w:pPr>
      <w:r w:rsidRPr="00EC02B9">
        <w:rPr>
          <w:rFonts w:ascii="Times New Roman" w:hAnsi="Times New Roman" w:cs="Times New Roman"/>
          <w:i/>
          <w:iCs/>
          <w:color w:val="000000" w:themeColor="text1"/>
          <w:sz w:val="20"/>
          <w:szCs w:val="20"/>
        </w:rPr>
        <w:t>7.3 Green AI and Energy-Aware Optimization</w:t>
      </w:r>
    </w:p>
    <w:p w14:paraId="44CC3B83" w14:textId="4D89A1C2"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Energy-aware optimization strategies in 5G/6G networks and data centers increasingly rely on AI-driven orchestration and resource management. Future research directions include developing computationally light and efficient AI models that balance energy efficiency with AI performance</w:t>
      </w:r>
    </w:p>
    <w:p w14:paraId="6A13E269" w14:textId="3BE701DD" w:rsidR="005461EB" w:rsidRPr="005461EB" w:rsidRDefault="005461EB" w:rsidP="00EC02B9">
      <w:pPr>
        <w:pStyle w:val="1"/>
        <w:snapToGrid w:val="0"/>
        <w:spacing w:before="0" w:after="0" w:line="240" w:lineRule="auto"/>
        <w:rPr>
          <w:rFonts w:ascii="Times New Roman" w:hAnsi="Times New Roman" w:cs="Times New Roman"/>
          <w:b/>
          <w:bCs/>
          <w:sz w:val="20"/>
          <w:szCs w:val="20"/>
        </w:rPr>
      </w:pPr>
      <w:r w:rsidRPr="00EC02B9">
        <w:rPr>
          <w:rFonts w:ascii="Times New Roman" w:hAnsi="Times New Roman" w:cs="Times New Roman"/>
          <w:b/>
          <w:bCs/>
          <w:color w:val="000000" w:themeColor="text1"/>
          <w:sz w:val="24"/>
          <w:szCs w:val="24"/>
        </w:rPr>
        <w:t xml:space="preserve">8. </w:t>
      </w:r>
      <w:bookmarkStart w:id="6" w:name="OLE_LINK13"/>
      <w:r w:rsidR="00BC69A3" w:rsidRPr="00EC02B9">
        <w:rPr>
          <w:rFonts w:ascii="Times New Roman" w:hAnsi="Times New Roman" w:cs="Times New Roman" w:hint="eastAsia"/>
          <w:b/>
          <w:bCs/>
          <w:color w:val="000000" w:themeColor="text1"/>
          <w:sz w:val="24"/>
          <w:szCs w:val="24"/>
        </w:rPr>
        <w:t xml:space="preserve">Research limitations, </w:t>
      </w:r>
      <w:r w:rsidR="00D72BC3" w:rsidRPr="00EC02B9">
        <w:rPr>
          <w:rFonts w:ascii="Times New Roman" w:hAnsi="Times New Roman" w:cs="Times New Roman" w:hint="eastAsia"/>
          <w:b/>
          <w:bCs/>
          <w:color w:val="000000" w:themeColor="text1"/>
          <w:sz w:val="24"/>
          <w:szCs w:val="24"/>
        </w:rPr>
        <w:t>c</w:t>
      </w:r>
      <w:r w:rsidRPr="00EC02B9">
        <w:rPr>
          <w:rFonts w:ascii="Times New Roman" w:hAnsi="Times New Roman" w:cs="Times New Roman"/>
          <w:b/>
          <w:bCs/>
          <w:color w:val="000000" w:themeColor="text1"/>
          <w:sz w:val="24"/>
          <w:szCs w:val="24"/>
        </w:rPr>
        <w:t>hallenges</w:t>
      </w:r>
      <w:bookmarkEnd w:id="6"/>
      <w:r w:rsidR="00BC69A3" w:rsidRPr="00EC02B9">
        <w:rPr>
          <w:rFonts w:ascii="Times New Roman" w:hAnsi="Times New Roman" w:cs="Times New Roman" w:hint="eastAsia"/>
          <w:b/>
          <w:bCs/>
          <w:color w:val="000000" w:themeColor="text1"/>
          <w:sz w:val="24"/>
          <w:szCs w:val="24"/>
        </w:rPr>
        <w:t xml:space="preserve"> and future works</w:t>
      </w:r>
    </w:p>
    <w:p w14:paraId="17E1BD79" w14:textId="76D22655" w:rsidR="005461EB" w:rsidRPr="00EC02B9" w:rsidRDefault="005461EB" w:rsidP="00EC02B9">
      <w:pPr>
        <w:pStyle w:val="2"/>
        <w:snapToGrid w:val="0"/>
        <w:spacing w:before="0" w:after="0" w:line="240" w:lineRule="auto"/>
        <w:rPr>
          <w:rFonts w:ascii="Times New Roman" w:hAnsi="Times New Roman" w:cs="Times New Roman"/>
          <w:i/>
          <w:iCs/>
          <w:color w:val="000000" w:themeColor="text1"/>
          <w:sz w:val="20"/>
          <w:szCs w:val="20"/>
        </w:rPr>
      </w:pPr>
      <w:r w:rsidRPr="00EC02B9">
        <w:rPr>
          <w:rFonts w:ascii="Times New Roman" w:hAnsi="Times New Roman" w:cs="Times New Roman"/>
          <w:i/>
          <w:iCs/>
          <w:color w:val="000000" w:themeColor="text1"/>
          <w:sz w:val="20"/>
          <w:szCs w:val="20"/>
        </w:rPr>
        <w:t xml:space="preserve">8.1 </w:t>
      </w:r>
      <w:r w:rsidR="00484460" w:rsidRPr="00EC02B9">
        <w:rPr>
          <w:rFonts w:ascii="Times New Roman" w:hAnsi="Times New Roman" w:cs="Times New Roman"/>
          <w:i/>
          <w:iCs/>
          <w:color w:val="000000" w:themeColor="text1"/>
          <w:sz w:val="20"/>
          <w:szCs w:val="20"/>
        </w:rPr>
        <w:t>Research limitations and challenges</w:t>
      </w:r>
    </w:p>
    <w:p w14:paraId="37B7FC76" w14:textId="1C3D6FA1" w:rsidR="005461EB" w:rsidRPr="00EC02B9" w:rsidRDefault="005461EB" w:rsidP="00EC02B9">
      <w:pPr>
        <w:pStyle w:val="2"/>
        <w:snapToGrid w:val="0"/>
        <w:spacing w:before="0" w:after="0" w:line="240" w:lineRule="auto"/>
        <w:rPr>
          <w:rFonts w:ascii="Times New Roman" w:hAnsi="Times New Roman" w:cs="Times New Roman"/>
          <w:i/>
          <w:iCs/>
          <w:color w:val="000000" w:themeColor="text1"/>
          <w:sz w:val="20"/>
          <w:szCs w:val="20"/>
        </w:rPr>
      </w:pPr>
      <w:r w:rsidRPr="00EC02B9">
        <w:rPr>
          <w:rFonts w:ascii="Times New Roman" w:hAnsi="Times New Roman" w:cs="Times New Roman"/>
          <w:i/>
          <w:iCs/>
          <w:color w:val="000000" w:themeColor="text1"/>
          <w:sz w:val="20"/>
          <w:szCs w:val="20"/>
        </w:rPr>
        <w:t xml:space="preserve">8.2 </w:t>
      </w:r>
      <w:r w:rsidR="00484460" w:rsidRPr="00EC02B9">
        <w:rPr>
          <w:rFonts w:ascii="Times New Roman" w:hAnsi="Times New Roman" w:cs="Times New Roman" w:hint="eastAsia"/>
          <w:i/>
          <w:iCs/>
          <w:color w:val="000000" w:themeColor="text1"/>
          <w:sz w:val="20"/>
          <w:szCs w:val="20"/>
        </w:rPr>
        <w:t>F</w:t>
      </w:r>
      <w:r w:rsidR="00484460" w:rsidRPr="00EC02B9">
        <w:rPr>
          <w:rFonts w:ascii="Times New Roman" w:hAnsi="Times New Roman" w:cs="Times New Roman"/>
          <w:i/>
          <w:iCs/>
          <w:color w:val="000000" w:themeColor="text1"/>
          <w:sz w:val="20"/>
          <w:szCs w:val="20"/>
        </w:rPr>
        <w:t>uture works</w:t>
      </w:r>
    </w:p>
    <w:p w14:paraId="609FB58A" w14:textId="2A4FCB36" w:rsidR="005461EB" w:rsidRPr="005461EB" w:rsidRDefault="00EC02B9" w:rsidP="005461EB">
      <w:pPr>
        <w:jc w:val="both"/>
        <w:rPr>
          <w:rFonts w:ascii="Times New Roman" w:hAnsi="Times New Roman" w:cs="Times New Roman"/>
          <w:b/>
          <w:bCs/>
          <w:sz w:val="20"/>
          <w:szCs w:val="20"/>
        </w:rPr>
      </w:pPr>
      <w:r w:rsidRPr="005461EB">
        <w:rPr>
          <w:rFonts w:ascii="Times New Roman" w:hAnsi="Times New Roman" w:cs="Times New Roman"/>
          <w:b/>
          <w:bCs/>
          <w:sz w:val="20"/>
          <w:szCs w:val="20"/>
        </w:rPr>
        <w:t>8.2</w:t>
      </w:r>
      <w:r w:rsidR="005461EB" w:rsidRPr="005461EB">
        <w:rPr>
          <w:rFonts w:ascii="Times New Roman" w:hAnsi="Times New Roman" w:cs="Times New Roman"/>
          <w:b/>
          <w:bCs/>
          <w:sz w:val="20"/>
          <w:szCs w:val="20"/>
        </w:rPr>
        <w:t>.1 Cross-Layer Energy Optimization</w:t>
      </w:r>
    </w:p>
    <w:p w14:paraId="6A046059" w14:textId="6B847A62"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Developing integrated optimization approaches that span application, network, and infrastructure layers is essential for achieving maximum efficiency</w:t>
      </w:r>
    </w:p>
    <w:p w14:paraId="44F121C7" w14:textId="20D20F09" w:rsidR="005461EB" w:rsidRPr="005461EB" w:rsidRDefault="00EC02B9" w:rsidP="005461EB">
      <w:pPr>
        <w:jc w:val="both"/>
        <w:rPr>
          <w:rFonts w:ascii="Times New Roman" w:hAnsi="Times New Roman" w:cs="Times New Roman"/>
          <w:b/>
          <w:bCs/>
          <w:sz w:val="20"/>
          <w:szCs w:val="20"/>
        </w:rPr>
      </w:pPr>
      <w:r w:rsidRPr="005461EB">
        <w:rPr>
          <w:rFonts w:ascii="Times New Roman" w:hAnsi="Times New Roman" w:cs="Times New Roman"/>
          <w:b/>
          <w:bCs/>
          <w:sz w:val="20"/>
          <w:szCs w:val="20"/>
        </w:rPr>
        <w:t>8.2</w:t>
      </w:r>
      <w:r w:rsidR="005461EB" w:rsidRPr="005461EB">
        <w:rPr>
          <w:rFonts w:ascii="Times New Roman" w:hAnsi="Times New Roman" w:cs="Times New Roman"/>
          <w:b/>
          <w:bCs/>
          <w:sz w:val="20"/>
          <w:szCs w:val="20"/>
        </w:rPr>
        <w:t>.2 Standardization and Interoperability</w:t>
      </w:r>
    </w:p>
    <w:p w14:paraId="71A9BB43" w14:textId="4B067974"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 xml:space="preserve">The lack of unified standards for grid-interactive digital assets requires collaborative efforts across </w:t>
      </w:r>
      <w:r w:rsidRPr="005461EB">
        <w:rPr>
          <w:rFonts w:ascii="Times New Roman" w:hAnsi="Times New Roman" w:cs="Times New Roman"/>
          <w:sz w:val="20"/>
          <w:szCs w:val="20"/>
        </w:rPr>
        <w:lastRenderedPageBreak/>
        <w:t>telecommunications, energy, and computing sectors</w:t>
      </w:r>
    </w:p>
    <w:p w14:paraId="1781EFBB" w14:textId="1384CC1A" w:rsidR="005461EB" w:rsidRPr="005461EB" w:rsidRDefault="00EC02B9" w:rsidP="005461EB">
      <w:pPr>
        <w:jc w:val="both"/>
        <w:rPr>
          <w:rFonts w:ascii="Times New Roman" w:hAnsi="Times New Roman" w:cs="Times New Roman"/>
          <w:b/>
          <w:bCs/>
          <w:sz w:val="20"/>
          <w:szCs w:val="20"/>
        </w:rPr>
      </w:pPr>
      <w:r w:rsidRPr="005461EB">
        <w:rPr>
          <w:rFonts w:ascii="Times New Roman" w:hAnsi="Times New Roman" w:cs="Times New Roman"/>
          <w:b/>
          <w:bCs/>
          <w:sz w:val="20"/>
          <w:szCs w:val="20"/>
        </w:rPr>
        <w:t>8.2</w:t>
      </w:r>
      <w:r w:rsidR="005461EB" w:rsidRPr="005461EB">
        <w:rPr>
          <w:rFonts w:ascii="Times New Roman" w:hAnsi="Times New Roman" w:cs="Times New Roman"/>
          <w:b/>
          <w:bCs/>
          <w:sz w:val="20"/>
          <w:szCs w:val="20"/>
        </w:rPr>
        <w:t>.3 Empirical Validation</w:t>
      </w:r>
    </w:p>
    <w:p w14:paraId="6ED68C1B" w14:textId="24DBCF3A"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Research must advance from theoretical and simulation-based studies to testbed-validated implementations in real-world smart grid environments</w:t>
      </w:r>
    </w:p>
    <w:p w14:paraId="37C9EA56" w14:textId="7779C0FB" w:rsidR="005461EB" w:rsidRPr="005461EB" w:rsidRDefault="00EC02B9" w:rsidP="005461EB">
      <w:pPr>
        <w:jc w:val="both"/>
        <w:rPr>
          <w:rFonts w:ascii="Times New Roman" w:hAnsi="Times New Roman" w:cs="Times New Roman"/>
          <w:b/>
          <w:bCs/>
          <w:sz w:val="20"/>
          <w:szCs w:val="20"/>
        </w:rPr>
      </w:pPr>
      <w:r w:rsidRPr="005461EB">
        <w:rPr>
          <w:rFonts w:ascii="Times New Roman" w:hAnsi="Times New Roman" w:cs="Times New Roman"/>
          <w:b/>
          <w:bCs/>
          <w:sz w:val="20"/>
          <w:szCs w:val="20"/>
        </w:rPr>
        <w:t>8.2</w:t>
      </w:r>
      <w:r w:rsidR="005461EB" w:rsidRPr="005461EB">
        <w:rPr>
          <w:rFonts w:ascii="Times New Roman" w:hAnsi="Times New Roman" w:cs="Times New Roman"/>
          <w:b/>
          <w:bCs/>
          <w:sz w:val="20"/>
          <w:szCs w:val="20"/>
        </w:rPr>
        <w:t>.4 Policy and Regulatory Frameworks</w:t>
      </w:r>
    </w:p>
    <w:p w14:paraId="582FA8E7" w14:textId="27FB62A9"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Public policy development in telecommunications and energy sectors must focus on encouraging green technologies and decentralized renewable energy generation.</w:t>
      </w:r>
    </w:p>
    <w:p w14:paraId="376F8095" w14:textId="2E969AB1" w:rsidR="005461EB" w:rsidRPr="00EC02B9" w:rsidRDefault="00755915" w:rsidP="00EC02B9">
      <w:pPr>
        <w:pStyle w:val="1"/>
        <w:snapToGrid w:val="0"/>
        <w:spacing w:before="0" w:after="0" w:line="240" w:lineRule="auto"/>
        <w:rPr>
          <w:rFonts w:ascii="Times New Roman" w:hAnsi="Times New Roman" w:cs="Times New Roman"/>
          <w:b/>
          <w:bCs/>
          <w:color w:val="000000" w:themeColor="text1"/>
          <w:sz w:val="24"/>
          <w:szCs w:val="24"/>
        </w:rPr>
      </w:pPr>
      <w:r w:rsidRPr="00EC02B9">
        <w:rPr>
          <w:rFonts w:ascii="Times New Roman" w:hAnsi="Times New Roman" w:cs="Times New Roman" w:hint="eastAsia"/>
          <w:b/>
          <w:bCs/>
          <w:color w:val="000000" w:themeColor="text1"/>
          <w:sz w:val="24"/>
          <w:szCs w:val="24"/>
        </w:rPr>
        <w:t>9</w:t>
      </w:r>
      <w:r w:rsidR="005461EB" w:rsidRPr="00EC02B9">
        <w:rPr>
          <w:rFonts w:ascii="Times New Roman" w:hAnsi="Times New Roman" w:cs="Times New Roman"/>
          <w:b/>
          <w:bCs/>
          <w:color w:val="000000" w:themeColor="text1"/>
          <w:sz w:val="24"/>
          <w:szCs w:val="24"/>
        </w:rPr>
        <w:t>. Conclusion</w:t>
      </w:r>
      <w:r w:rsidRPr="00EC02B9">
        <w:rPr>
          <w:rFonts w:ascii="Times New Roman" w:hAnsi="Times New Roman" w:cs="Times New Roman" w:hint="eastAsia"/>
          <w:b/>
          <w:bCs/>
          <w:color w:val="000000" w:themeColor="text1"/>
          <w:sz w:val="24"/>
          <w:szCs w:val="24"/>
        </w:rPr>
        <w:t>s</w:t>
      </w:r>
    </w:p>
    <w:p w14:paraId="4BA4A5BA" w14:textId="77777777"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The integration of clean energy-supported data centers, 6G base stations, electric vehicles, and smart buildings as grid-interactive assets represents a transformative opportunity for sustainable energy systems. This review has demonstrated that distributed digital infrastructure, traditionally viewed as grid load, can provide valuable ancillary services including frequency regulation, load shifting, and peak demand management. The synergistic coordination of these assets, enabled by next-generation communication networks and artificial intelligence, offers a pathway toward resilient, decarbonized grid infrastructure.</w:t>
      </w:r>
    </w:p>
    <w:p w14:paraId="0676A2FF" w14:textId="77777777" w:rsidR="005461EB" w:rsidRPr="005461EB" w:rsidRDefault="005461EB" w:rsidP="005461EB">
      <w:pPr>
        <w:jc w:val="both"/>
        <w:rPr>
          <w:rFonts w:ascii="Times New Roman" w:hAnsi="Times New Roman" w:cs="Times New Roman"/>
          <w:sz w:val="20"/>
          <w:szCs w:val="20"/>
        </w:rPr>
      </w:pPr>
      <w:r w:rsidRPr="005461EB">
        <w:rPr>
          <w:rFonts w:ascii="Times New Roman" w:hAnsi="Times New Roman" w:cs="Times New Roman"/>
          <w:sz w:val="20"/>
          <w:szCs w:val="20"/>
        </w:rPr>
        <w:t>Critical to realizing this vision is the continued development of interoperable standards, robust communication infrastructure, and innovative policy frameworks that incentivize participation while maintaining system reliability. As 6G deployment approaches and data center demand continues to grow, the integration of these systems as grid assets will become increasingly essential to achieving global decarbonization goals.</w:t>
      </w:r>
    </w:p>
    <w:p w14:paraId="3E11BA1E" w14:textId="77777777" w:rsidR="005461EB" w:rsidRPr="005461EB" w:rsidRDefault="005461EB" w:rsidP="005461EB">
      <w:pPr>
        <w:jc w:val="both"/>
        <w:rPr>
          <w:rFonts w:ascii="Times New Roman" w:hAnsi="Times New Roman" w:cs="Times New Roman"/>
          <w:sz w:val="20"/>
          <w:szCs w:val="20"/>
        </w:rPr>
      </w:pPr>
    </w:p>
    <w:sectPr w:rsidR="005461EB" w:rsidRPr="005461E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335DC" w14:textId="77777777" w:rsidR="00825FFF" w:rsidRDefault="00825FFF" w:rsidP="004C0EA2">
      <w:pPr>
        <w:spacing w:after="0" w:line="240" w:lineRule="auto"/>
        <w:rPr>
          <w:rFonts w:hint="eastAsia"/>
        </w:rPr>
      </w:pPr>
      <w:r>
        <w:separator/>
      </w:r>
    </w:p>
  </w:endnote>
  <w:endnote w:type="continuationSeparator" w:id="0">
    <w:p w14:paraId="2CA944BC" w14:textId="77777777" w:rsidR="00825FFF" w:rsidRDefault="00825FFF" w:rsidP="004C0EA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4B508" w14:textId="77777777" w:rsidR="00825FFF" w:rsidRDefault="00825FFF" w:rsidP="004C0EA2">
      <w:pPr>
        <w:spacing w:after="0" w:line="240" w:lineRule="auto"/>
        <w:rPr>
          <w:rFonts w:hint="eastAsia"/>
        </w:rPr>
      </w:pPr>
      <w:r>
        <w:separator/>
      </w:r>
    </w:p>
  </w:footnote>
  <w:footnote w:type="continuationSeparator" w:id="0">
    <w:p w14:paraId="23F6400C" w14:textId="77777777" w:rsidR="00825FFF" w:rsidRDefault="00825FFF" w:rsidP="004C0EA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22A6F"/>
    <w:multiLevelType w:val="multilevel"/>
    <w:tmpl w:val="32EC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214CF"/>
    <w:multiLevelType w:val="multilevel"/>
    <w:tmpl w:val="FDA2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754F4"/>
    <w:multiLevelType w:val="multilevel"/>
    <w:tmpl w:val="AF62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764F6C"/>
    <w:multiLevelType w:val="multilevel"/>
    <w:tmpl w:val="52C6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AC2BA8"/>
    <w:multiLevelType w:val="multilevel"/>
    <w:tmpl w:val="0C50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912362">
    <w:abstractNumId w:val="3"/>
  </w:num>
  <w:num w:numId="2" w16cid:durableId="1400788753">
    <w:abstractNumId w:val="0"/>
  </w:num>
  <w:num w:numId="3" w16cid:durableId="828712310">
    <w:abstractNumId w:val="4"/>
  </w:num>
  <w:num w:numId="4" w16cid:durableId="335427447">
    <w:abstractNumId w:val="2"/>
  </w:num>
  <w:num w:numId="5" w16cid:durableId="656417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6E7"/>
    <w:rsid w:val="00001A21"/>
    <w:rsid w:val="000101E6"/>
    <w:rsid w:val="0002275A"/>
    <w:rsid w:val="00061D45"/>
    <w:rsid w:val="000D2D55"/>
    <w:rsid w:val="000F49F4"/>
    <w:rsid w:val="001915ED"/>
    <w:rsid w:val="001E6A33"/>
    <w:rsid w:val="00235E3F"/>
    <w:rsid w:val="00290EB5"/>
    <w:rsid w:val="003A4D69"/>
    <w:rsid w:val="003C5E6A"/>
    <w:rsid w:val="00435F60"/>
    <w:rsid w:val="00477A2C"/>
    <w:rsid w:val="00484460"/>
    <w:rsid w:val="004C0EA2"/>
    <w:rsid w:val="004C13C1"/>
    <w:rsid w:val="005461EB"/>
    <w:rsid w:val="00580B43"/>
    <w:rsid w:val="005C6229"/>
    <w:rsid w:val="005F0854"/>
    <w:rsid w:val="00624E42"/>
    <w:rsid w:val="00666115"/>
    <w:rsid w:val="00755915"/>
    <w:rsid w:val="00825FFF"/>
    <w:rsid w:val="00844101"/>
    <w:rsid w:val="00877F12"/>
    <w:rsid w:val="00937B0F"/>
    <w:rsid w:val="009D37A3"/>
    <w:rsid w:val="00A515E9"/>
    <w:rsid w:val="00A81374"/>
    <w:rsid w:val="00A95CE3"/>
    <w:rsid w:val="00BC69A3"/>
    <w:rsid w:val="00C21985"/>
    <w:rsid w:val="00C570A2"/>
    <w:rsid w:val="00CC227F"/>
    <w:rsid w:val="00D50CEF"/>
    <w:rsid w:val="00D72BC3"/>
    <w:rsid w:val="00DE0077"/>
    <w:rsid w:val="00DE1314"/>
    <w:rsid w:val="00E4024D"/>
    <w:rsid w:val="00EC02B9"/>
    <w:rsid w:val="00ED58FF"/>
    <w:rsid w:val="00F066E7"/>
    <w:rsid w:val="00F1148B"/>
    <w:rsid w:val="00FA0FCD"/>
    <w:rsid w:val="00FF12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D58CEF"/>
  <w15:chartTrackingRefBased/>
  <w15:docId w15:val="{98C94E40-02B3-45D1-83F1-BF70E8B49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066E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F066E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066E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066E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066E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066E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066E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066E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066E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066E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F066E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066E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066E7"/>
    <w:rPr>
      <w:rFonts w:cstheme="majorBidi"/>
      <w:color w:val="2F5496" w:themeColor="accent1" w:themeShade="BF"/>
      <w:sz w:val="28"/>
      <w:szCs w:val="28"/>
    </w:rPr>
  </w:style>
  <w:style w:type="character" w:customStyle="1" w:styleId="50">
    <w:name w:val="标题 5 字符"/>
    <w:basedOn w:val="a0"/>
    <w:link w:val="5"/>
    <w:uiPriority w:val="9"/>
    <w:semiHidden/>
    <w:rsid w:val="00F066E7"/>
    <w:rPr>
      <w:rFonts w:cstheme="majorBidi"/>
      <w:color w:val="2F5496" w:themeColor="accent1" w:themeShade="BF"/>
      <w:sz w:val="24"/>
    </w:rPr>
  </w:style>
  <w:style w:type="character" w:customStyle="1" w:styleId="60">
    <w:name w:val="标题 6 字符"/>
    <w:basedOn w:val="a0"/>
    <w:link w:val="6"/>
    <w:uiPriority w:val="9"/>
    <w:semiHidden/>
    <w:rsid w:val="00F066E7"/>
    <w:rPr>
      <w:rFonts w:cstheme="majorBidi"/>
      <w:b/>
      <w:bCs/>
      <w:color w:val="2F5496" w:themeColor="accent1" w:themeShade="BF"/>
    </w:rPr>
  </w:style>
  <w:style w:type="character" w:customStyle="1" w:styleId="70">
    <w:name w:val="标题 7 字符"/>
    <w:basedOn w:val="a0"/>
    <w:link w:val="7"/>
    <w:uiPriority w:val="9"/>
    <w:semiHidden/>
    <w:rsid w:val="00F066E7"/>
    <w:rPr>
      <w:rFonts w:cstheme="majorBidi"/>
      <w:b/>
      <w:bCs/>
      <w:color w:val="595959" w:themeColor="text1" w:themeTint="A6"/>
    </w:rPr>
  </w:style>
  <w:style w:type="character" w:customStyle="1" w:styleId="80">
    <w:name w:val="标题 8 字符"/>
    <w:basedOn w:val="a0"/>
    <w:link w:val="8"/>
    <w:uiPriority w:val="9"/>
    <w:semiHidden/>
    <w:rsid w:val="00F066E7"/>
    <w:rPr>
      <w:rFonts w:cstheme="majorBidi"/>
      <w:color w:val="595959" w:themeColor="text1" w:themeTint="A6"/>
    </w:rPr>
  </w:style>
  <w:style w:type="character" w:customStyle="1" w:styleId="90">
    <w:name w:val="标题 9 字符"/>
    <w:basedOn w:val="a0"/>
    <w:link w:val="9"/>
    <w:uiPriority w:val="9"/>
    <w:semiHidden/>
    <w:rsid w:val="00F066E7"/>
    <w:rPr>
      <w:rFonts w:eastAsiaTheme="majorEastAsia" w:cstheme="majorBidi"/>
      <w:color w:val="595959" w:themeColor="text1" w:themeTint="A6"/>
    </w:rPr>
  </w:style>
  <w:style w:type="paragraph" w:styleId="a3">
    <w:name w:val="Title"/>
    <w:basedOn w:val="a"/>
    <w:next w:val="a"/>
    <w:link w:val="a4"/>
    <w:uiPriority w:val="10"/>
    <w:qFormat/>
    <w:rsid w:val="00F066E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066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66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066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066E7"/>
    <w:pPr>
      <w:spacing w:before="160"/>
      <w:jc w:val="center"/>
    </w:pPr>
    <w:rPr>
      <w:i/>
      <w:iCs/>
      <w:color w:val="404040" w:themeColor="text1" w:themeTint="BF"/>
    </w:rPr>
  </w:style>
  <w:style w:type="character" w:customStyle="1" w:styleId="a8">
    <w:name w:val="引用 字符"/>
    <w:basedOn w:val="a0"/>
    <w:link w:val="a7"/>
    <w:uiPriority w:val="29"/>
    <w:rsid w:val="00F066E7"/>
    <w:rPr>
      <w:i/>
      <w:iCs/>
      <w:color w:val="404040" w:themeColor="text1" w:themeTint="BF"/>
    </w:rPr>
  </w:style>
  <w:style w:type="paragraph" w:styleId="a9">
    <w:name w:val="List Paragraph"/>
    <w:basedOn w:val="a"/>
    <w:uiPriority w:val="34"/>
    <w:qFormat/>
    <w:rsid w:val="00F066E7"/>
    <w:pPr>
      <w:ind w:left="720"/>
      <w:contextualSpacing/>
    </w:pPr>
  </w:style>
  <w:style w:type="character" w:styleId="aa">
    <w:name w:val="Intense Emphasis"/>
    <w:basedOn w:val="a0"/>
    <w:uiPriority w:val="21"/>
    <w:qFormat/>
    <w:rsid w:val="00F066E7"/>
    <w:rPr>
      <w:i/>
      <w:iCs/>
      <w:color w:val="2F5496" w:themeColor="accent1" w:themeShade="BF"/>
    </w:rPr>
  </w:style>
  <w:style w:type="paragraph" w:styleId="ab">
    <w:name w:val="Intense Quote"/>
    <w:basedOn w:val="a"/>
    <w:next w:val="a"/>
    <w:link w:val="ac"/>
    <w:uiPriority w:val="30"/>
    <w:qFormat/>
    <w:rsid w:val="00F066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066E7"/>
    <w:rPr>
      <w:i/>
      <w:iCs/>
      <w:color w:val="2F5496" w:themeColor="accent1" w:themeShade="BF"/>
    </w:rPr>
  </w:style>
  <w:style w:type="character" w:styleId="ad">
    <w:name w:val="Intense Reference"/>
    <w:basedOn w:val="a0"/>
    <w:uiPriority w:val="32"/>
    <w:qFormat/>
    <w:rsid w:val="00F066E7"/>
    <w:rPr>
      <w:b/>
      <w:bCs/>
      <w:smallCaps/>
      <w:color w:val="2F5496" w:themeColor="accent1" w:themeShade="BF"/>
      <w:spacing w:val="5"/>
    </w:rPr>
  </w:style>
  <w:style w:type="paragraph" w:styleId="ae">
    <w:name w:val="header"/>
    <w:basedOn w:val="a"/>
    <w:link w:val="af"/>
    <w:uiPriority w:val="99"/>
    <w:unhideWhenUsed/>
    <w:rsid w:val="004C0EA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C0EA2"/>
    <w:rPr>
      <w:sz w:val="18"/>
      <w:szCs w:val="18"/>
    </w:rPr>
  </w:style>
  <w:style w:type="paragraph" w:styleId="af0">
    <w:name w:val="footer"/>
    <w:basedOn w:val="a"/>
    <w:link w:val="af1"/>
    <w:uiPriority w:val="99"/>
    <w:unhideWhenUsed/>
    <w:rsid w:val="004C0EA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C0EA2"/>
    <w:rPr>
      <w:sz w:val="18"/>
      <w:szCs w:val="18"/>
    </w:rPr>
  </w:style>
  <w:style w:type="character" w:styleId="af2">
    <w:name w:val="Hyperlink"/>
    <w:basedOn w:val="a0"/>
    <w:uiPriority w:val="99"/>
    <w:unhideWhenUsed/>
    <w:rsid w:val="005461EB"/>
    <w:rPr>
      <w:color w:val="0563C1" w:themeColor="hyperlink"/>
      <w:u w:val="single"/>
    </w:rPr>
  </w:style>
  <w:style w:type="character" w:styleId="af3">
    <w:name w:val="Unresolved Mention"/>
    <w:basedOn w:val="a0"/>
    <w:uiPriority w:val="99"/>
    <w:semiHidden/>
    <w:unhideWhenUsed/>
    <w:rsid w:val="005461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mdpi.com/1424-8220/25/13/4222/pdf?version=175193448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8</Pages>
  <Words>1907</Words>
  <Characters>10872</Characters>
  <Application>Microsoft Office Word</Application>
  <DocSecurity>0</DocSecurity>
  <Lines>90</Lines>
  <Paragraphs>25</Paragraphs>
  <ScaleCrop>false</ScaleCrop>
  <Company/>
  <LinksUpToDate>false</LinksUpToDate>
  <CharactersWithSpaces>12754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Yuekuan ZHOU</dc:creator>
  <cp:keywords/>
  <dc:description/>
  <cp:lastModifiedBy>Yuekuan ZHOU</cp:lastModifiedBy>
  <cp:revision>66</cp:revision>
  <dcterms:created xsi:type="dcterms:W3CDTF">2026-08-25T02:38:00Z</dcterms:created>
  <dcterms:modified xsi:type="dcterms:W3CDTF">2026-08-25T04:02:00Z</dcterms:modified>
</cp:coreProperties>
</file>