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00"/>
        <w:jc w:val="center"/>
      </w:pPr>
      <w:r>
        <w:rPr>
          <w:rFonts w:ascii="Noto Sans CJK SC" w:hAnsi="Noto Sans CJK SC" w:eastAsia="Noto Sans CJK SC" w:cs="Noto Sans CJK SC"/>
          <w:b/>
          <w:color w:val="1F6FEB"/>
          <w:sz w:val="20"/>
        </w:rPr>
        <w:t>NATURE ENERGY · ARTICLE READING GUIDE</w:t>
      </w:r>
    </w:p>
    <w:p>
      <w:pPr>
        <w:spacing w:after="200"/>
        <w:jc w:val="center"/>
      </w:pPr>
      <w:r>
        <w:rPr>
          <w:rFonts w:ascii="Noto Sans CJK SC" w:hAnsi="Noto Sans CJK SC" w:eastAsia="Noto Sans CJK SC" w:cs="Noto Sans CJK SC"/>
          <w:b/>
          <w:color w:val="1F4E79"/>
          <w:sz w:val="56"/>
        </w:rPr>
        <w:t>作为电网互动型资产的</w:t>
        <w:br/>
        <w:t>AI 数据中心</w:t>
      </w:r>
    </w:p>
    <w:p>
      <w:pPr>
        <w:spacing w:after="440"/>
        <w:jc w:val="center"/>
      </w:pPr>
      <w:r>
        <w:rPr>
          <w:rFonts w:ascii="Noto Sans CJK SC" w:hAnsi="Noto Sans CJK SC" w:eastAsia="Noto Sans CJK SC" w:cs="Noto Sans CJK SC"/>
          <w:i/>
          <w:color w:val="667085"/>
          <w:sz w:val="27"/>
        </w:rPr>
        <w:t>AI data centres as grid-interactive assets</w:t>
      </w:r>
    </w:p>
    <w:p>
      <w:pPr>
        <w:spacing w:after="160"/>
        <w:jc w:val="center"/>
      </w:pPr>
      <w:r>
        <w:rPr>
          <w:rFonts w:ascii="Noto Sans CJK SC" w:hAnsi="Noto Sans CJK SC" w:eastAsia="Noto Sans CJK SC" w:cs="Noto Sans CJK SC"/>
          <w:b/>
          <w:color w:val="1F6FEB"/>
          <w:sz w:val="26"/>
        </w:rPr>
        <w:t>逐段中文翻译 · 蓝色通俗解释 · 图表解读 · 批判性评估</w:t>
      </w:r>
    </w:p>
    <w:p>
      <w:pPr>
        <w:spacing w:after="600"/>
        <w:jc w:val="center"/>
      </w:pPr>
      <w:r>
        <w:rPr>
          <w:rFonts w:ascii="Noto Sans CJK SC" w:hAnsi="Noto Sans CJK SC" w:eastAsia="Noto Sans CJK SC" w:cs="Noto Sans CJK SC"/>
          <w:color w:val="667085"/>
          <w:sz w:val="19"/>
        </w:rPr>
        <w:t>Nature Energy 11, 254–261 (2026)  |  DOI: 10.1038/s41560-025-01927-1</w:t>
      </w:r>
    </w:p>
    <w:p>
      <w:pPr>
        <w:pStyle w:val="Layman"/>
        <w:jc w:val="left"/>
        <w:shd w:fill="EFF6FF"/>
        <w:pBdr>
          <w:left w:val="single" w:sz="18" w:space="8" w:color="1F6FEB"/>
        </w:pBdr>
      </w:pPr>
      <w:r>
        <w:rPr>
          <w:rFonts w:ascii="Noto Sans CJK SC" w:hAnsi="Noto Sans CJK SC" w:eastAsia="Noto Sans CJK SC" w:cs="Noto Sans CJK SC"/>
          <w:b/>
          <w:i w:val="0"/>
          <w:color w:val="0070C0"/>
          <w:sz w:val="20"/>
        </w:rPr>
        <w:t>阅读提示：</w:t>
      </w:r>
      <w:r>
        <w:rPr>
          <w:rFonts w:ascii="Noto Sans CJK SC" w:hAnsi="Noto Sans CJK SC" w:eastAsia="Noto Sans CJK SC" w:cs="Noto Sans CJK SC"/>
          <w:b w:val="0"/>
          <w:i w:val="0"/>
          <w:color w:val="0070C0"/>
          <w:sz w:val="20"/>
        </w:rPr>
        <w:t xml:space="preserve"> 黑色文字是忠实中文翻译；蓝色文字是面向非专业读者的解释。文件开头先回答论文真正做了什么、创新在哪里、证据边界是什么；随后给出正文、图表和方法的完整逐段译解。</w:t>
      </w:r>
    </w:p>
    <w:p>
      <w:pPr>
        <w:spacing w:before="760"/>
        <w:jc w:val="center"/>
      </w:pPr>
      <w:r>
        <w:rPr>
          <w:rFonts w:ascii="Noto Sans CJK SC" w:hAnsi="Noto Sans CJK SC" w:eastAsia="Noto Sans CJK SC" w:cs="Noto Sans CJK SC"/>
          <w:color w:val="667085"/>
          <w:sz w:val="18"/>
        </w:rPr>
        <w:t>原论文在线发表：2025 年 12 月 5 日</w:t>
      </w:r>
    </w:p>
    <w:p>
      <w:r>
        <w:br w:type="page"/>
      </w:r>
    </w:p>
    <w:p>
      <w:pPr>
        <w:pStyle w:val="Heading1"/>
      </w:pPr>
      <w:r>
        <w:rPr>
          <w:rFonts w:ascii="Noto Sans CJK SC" w:hAnsi="Noto Sans CJK SC" w:eastAsia="Noto Sans CJK SC" w:cs="Noto Sans CJK SC"/>
          <w:b/>
          <w:i w:val="0"/>
          <w:color w:val="1F4E79"/>
          <w:sz w:val="34"/>
        </w:rPr>
        <w:t>深度导读：先把整篇论文真正讲明白</w:t>
      </w:r>
    </w:p>
    <w:p>
      <w:pPr>
        <w:pStyle w:val="Heading2"/>
      </w:pPr>
      <w:r>
        <w:rPr>
          <w:rFonts w:ascii="Noto Sans CJK SC" w:hAnsi="Noto Sans CJK SC" w:eastAsia="Noto Sans CJK SC" w:cs="Noto Sans CJK SC"/>
          <w:b/>
          <w:i w:val="0"/>
          <w:color w:val="1F4E79"/>
          <w:sz w:val="28"/>
        </w:rPr>
        <w:t>一句话抓住论文</w:t>
      </w:r>
    </w:p>
    <w:p>
      <w:pPr>
        <w:keepLines/>
      </w:pPr>
      <w:r>
        <w:rPr>
          <w:rFonts w:ascii="Noto Sans CJK SC" w:hAnsi="Noto Sans CJK SC" w:eastAsia="Noto Sans CJK SC" w:cs="Noto Sans CJK SC"/>
          <w:b w:val="0"/>
          <w:i w:val="0"/>
          <w:color w:val="1D2733"/>
          <w:sz w:val="20"/>
        </w:rPr>
        <w:t>这篇论文做的事情可以压缩成一句话：</w:t>
      </w:r>
      <w:r>
        <w:rPr>
          <w:rFonts w:ascii="Noto Sans CJK SC" w:hAnsi="Noto Sans CJK SC" w:eastAsia="Noto Sans CJK SC" w:cs="Noto Sans CJK SC"/>
          <w:b/>
          <w:i w:val="0"/>
          <w:color w:val="1D2733"/>
          <w:sz w:val="20"/>
        </w:rPr>
        <w:t>作者先按照“任务最多允许变慢多少”给 AI 作业分级，再用 GPU 限功率、暂停作业和减少 GPU 分配三种手段，在真实 256-GPU 集群上把高峰期功率降低 25% 并维持 3 小时，同时让所有作业仍处在预先约定的 SLA 范围内。</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它不是让 AI 数据中心突然变成发电厂，而是让数据中心在电网最缺电的几个小时里临时“少吃一点电”。一些不着急的训练任务可以慢一点或暂停，实时聊天等严格任务则保持不动。电网因此得到削峰空间，AI 任务则在之后继续完成。</w:t>
      </w:r>
    </w:p>
    <w:p>
      <w:pPr>
        <w:pStyle w:val="Heading2"/>
      </w:pPr>
      <w:r>
        <w:rPr>
          <w:rFonts w:ascii="Noto Sans CJK SC" w:hAnsi="Noto Sans CJK SC" w:eastAsia="Noto Sans CJK SC" w:cs="Noto Sans CJK SC"/>
          <w:b/>
          <w:i w:val="0"/>
          <w:color w:val="1F4E79"/>
          <w:sz w:val="28"/>
        </w:rPr>
        <w:t>论文的完整逻辑链</w:t>
      </w:r>
    </w:p>
    <w:p>
      <w:pPr>
        <w:spacing w:after="80" w:line="307" w:lineRule="auto"/>
        <w:ind w:left="547" w:hanging="259"/>
        <w:numPr>
          <w:ilvl w:val="0"/>
          <w:numId w:val="10"/>
        </w:numPr>
      </w:pPr>
      <w:r>
        <w:rPr>
          <w:rFonts w:ascii="Noto Sans CJK SC" w:hAnsi="Noto Sans CJK SC" w:eastAsia="Noto Sans CJK SC" w:cs="Noto Sans CJK SC"/>
          <w:b/>
          <w:i w:val="0"/>
          <w:color w:val="1D2733"/>
          <w:sz w:val="20"/>
        </w:rPr>
        <w:t>现实矛盾：</w:t>
      </w:r>
      <w:r>
        <w:rPr>
          <w:rFonts w:ascii="Noto Sans CJK SC" w:hAnsi="Noto Sans CJK SC" w:eastAsia="Noto Sans CJK SC" w:cs="Noto Sans CJK SC"/>
          <w:b w:val="0"/>
          <w:i w:val="0"/>
          <w:color w:val="1D2733"/>
          <w:sz w:val="20"/>
        </w:rPr>
        <w:t>AI 数据中心越来越多，但电网按“它可能一直满功率运行”来规划，导致并网容量紧张、扩建昂贵、项目排队。</w:t>
      </w:r>
    </w:p>
    <w:p>
      <w:pPr>
        <w:spacing w:after="80" w:line="307" w:lineRule="auto"/>
        <w:ind w:left="547" w:hanging="259"/>
        <w:numPr>
          <w:ilvl w:val="0"/>
          <w:numId w:val="10"/>
        </w:numPr>
      </w:pPr>
      <w:r>
        <w:rPr>
          <w:rFonts w:ascii="Noto Sans CJK SC" w:hAnsi="Noto Sans CJK SC" w:eastAsia="Noto Sans CJK SC" w:cs="Noto Sans CJK SC"/>
          <w:b/>
          <w:i w:val="0"/>
          <w:color w:val="1D2733"/>
          <w:sz w:val="20"/>
        </w:rPr>
        <w:t>关键观察：</w:t>
      </w:r>
      <w:r>
        <w:rPr>
          <w:rFonts w:ascii="Noto Sans CJK SC" w:hAnsi="Noto Sans CJK SC" w:eastAsia="Noto Sans CJK SC" w:cs="Noto Sans CJK SC"/>
          <w:b w:val="0"/>
          <w:i w:val="0"/>
          <w:color w:val="1D2733"/>
          <w:sz w:val="20"/>
        </w:rPr>
        <w:t>不同 AI 作业的紧迫程度差异很大。在线推理几乎不能变慢，持续数天的训练却可以在少数时段减速。</w:t>
      </w:r>
    </w:p>
    <w:p>
      <w:pPr>
        <w:spacing w:after="80" w:line="307" w:lineRule="auto"/>
        <w:ind w:left="547" w:hanging="259"/>
        <w:numPr>
          <w:ilvl w:val="0"/>
          <w:numId w:val="10"/>
        </w:numPr>
      </w:pPr>
      <w:r>
        <w:rPr>
          <w:rFonts w:ascii="Noto Sans CJK SC" w:hAnsi="Noto Sans CJK SC" w:eastAsia="Noto Sans CJK SC" w:cs="Noto Sans CJK SC"/>
          <w:b/>
          <w:i w:val="0"/>
          <w:color w:val="1D2733"/>
          <w:sz w:val="20"/>
        </w:rPr>
        <w:t>制度化表达：</w:t>
      </w:r>
      <w:r>
        <w:rPr>
          <w:rFonts w:ascii="Noto Sans CJK SC" w:hAnsi="Noto Sans CJK SC" w:eastAsia="Noto Sans CJK SC" w:cs="Noto Sans CJK SC"/>
          <w:b w:val="0"/>
          <w:i w:val="0"/>
          <w:color w:val="1D2733"/>
          <w:sz w:val="20"/>
        </w:rPr>
        <w:t>作者把这种差异写成 Flex 0–3 四档 SLA，而不是笼统地说“任务具有灵活性”。</w:t>
      </w:r>
    </w:p>
    <w:p>
      <w:pPr>
        <w:spacing w:after="80" w:line="307" w:lineRule="auto"/>
        <w:ind w:left="547" w:hanging="259"/>
        <w:numPr>
          <w:ilvl w:val="0"/>
          <w:numId w:val="10"/>
        </w:numPr>
      </w:pPr>
      <w:r>
        <w:rPr>
          <w:rFonts w:ascii="Noto Sans CJK SC" w:hAnsi="Noto Sans CJK SC" w:eastAsia="Noto Sans CJK SC" w:cs="Noto Sans CJK SC"/>
          <w:b/>
          <w:i w:val="0"/>
          <w:color w:val="1D2733"/>
          <w:sz w:val="20"/>
        </w:rPr>
        <w:t>控制方法：</w:t>
      </w:r>
      <w:r>
        <w:rPr>
          <w:rFonts w:ascii="Noto Sans CJK SC" w:hAnsi="Noto Sans CJK SC" w:eastAsia="Noto Sans CJK SC" w:cs="Noto Sans CJK SC"/>
          <w:b w:val="0"/>
          <w:i w:val="0"/>
          <w:color w:val="1D2733"/>
          <w:sz w:val="20"/>
        </w:rPr>
        <w:t>平台接收电网信号、集群遥测和作业标签，用仿真器预测不同控制组合的功率与性能后果，再选择 GPU 限功率、作业暂停或 GPU 重新分配。</w:t>
      </w:r>
    </w:p>
    <w:p>
      <w:pPr>
        <w:spacing w:after="80" w:line="307" w:lineRule="auto"/>
        <w:ind w:left="547" w:hanging="259"/>
        <w:numPr>
          <w:ilvl w:val="0"/>
          <w:numId w:val="10"/>
        </w:numPr>
      </w:pPr>
      <w:r>
        <w:rPr>
          <w:rFonts w:ascii="Noto Sans CJK SC" w:hAnsi="Noto Sans CJK SC" w:eastAsia="Noto Sans CJK SC" w:cs="Noto Sans CJK SC"/>
          <w:b/>
          <w:i w:val="0"/>
          <w:color w:val="1D2733"/>
          <w:sz w:val="20"/>
        </w:rPr>
        <w:t>真实验证：</w:t>
      </w:r>
      <w:r>
        <w:rPr>
          <w:rFonts w:ascii="Noto Sans CJK SC" w:hAnsi="Noto Sans CJK SC" w:eastAsia="Noto Sans CJK SC" w:cs="Noto Sans CJK SC"/>
          <w:b w:val="0"/>
          <w:i w:val="0"/>
          <w:color w:val="1D2733"/>
          <w:sz w:val="20"/>
        </w:rPr>
        <w:t>在凤凰城的 256 块 A100 GPU 集群上，平台响应 APS 和 SRP 的真实峰值时段，并重演 CAISO 的历史紧急事件。</w:t>
      </w:r>
    </w:p>
    <w:p>
      <w:pPr>
        <w:spacing w:after="80" w:line="307" w:lineRule="auto"/>
        <w:ind w:left="547" w:hanging="259"/>
        <w:numPr>
          <w:ilvl w:val="0"/>
          <w:numId w:val="10"/>
        </w:numPr>
      </w:pPr>
      <w:r>
        <w:rPr>
          <w:rFonts w:ascii="Noto Sans CJK SC" w:hAnsi="Noto Sans CJK SC" w:eastAsia="Noto Sans CJK SC" w:cs="Noto Sans CJK SC"/>
          <w:b/>
          <w:i w:val="0"/>
          <w:color w:val="1D2733"/>
          <w:sz w:val="20"/>
        </w:rPr>
        <w:t>核心结果：</w:t>
      </w:r>
      <w:r>
        <w:rPr>
          <w:rFonts w:ascii="Noto Sans CJK SC" w:hAnsi="Noto Sans CJK SC" w:eastAsia="Noto Sans CJK SC" w:cs="Noto Sans CJK SC"/>
          <w:b w:val="0"/>
          <w:i w:val="0"/>
          <w:color w:val="1D2733"/>
          <w:sz w:val="20"/>
        </w:rPr>
        <w:t>典型事件实现 25% 的功率削减并持续 3 小时；共执行 33 次实验、涉及 212 个作业；所有实验满足设定的功率目标和作业 SLA；仿真器功率预测的归一化 RMSE 为 4.52%。</w:t>
      </w:r>
    </w:p>
    <w:p>
      <w:pPr>
        <w:spacing w:after="80" w:line="307" w:lineRule="auto"/>
        <w:ind w:left="547" w:hanging="259"/>
        <w:numPr>
          <w:ilvl w:val="0"/>
          <w:numId w:val="10"/>
        </w:numPr>
      </w:pPr>
      <w:r>
        <w:rPr>
          <w:rFonts w:ascii="Noto Sans CJK SC" w:hAnsi="Noto Sans CJK SC" w:eastAsia="Noto Sans CJK SC" w:cs="Noto Sans CJK SC"/>
          <w:b/>
          <w:i w:val="0"/>
          <w:color w:val="1D2733"/>
          <w:sz w:val="20"/>
        </w:rPr>
        <w:t>上升到电网意义：</w:t>
      </w:r>
      <w:r>
        <w:rPr>
          <w:rFonts w:ascii="Noto Sans CJK SC" w:hAnsi="Noto Sans CJK SC" w:eastAsia="Noto Sans CJK SC" w:cs="Noto Sans CJK SC"/>
          <w:b w:val="0"/>
          <w:i w:val="0"/>
          <w:color w:val="1D2733"/>
          <w:sz w:val="20"/>
        </w:rPr>
        <w:t>作者据此主张，AI 数据中心可以从“固定的大负荷”转变为“可调节的大负荷”，从而帮助削峰、加快并网，并在未来参与更广泛的电力市场服务。</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这篇文章的故事并不复杂：先承认 AI 必须耗电，再从任务时间上找弹性；把弹性写进 SLA；最后用软件把这种弹性变成电网能看见、能测量、能按指令调用的功率变化。它的价值主要来自把“想法—软件—真实云集群—真实电网需求”完整连了起来。</w:t>
      </w:r>
    </w:p>
    <w:p>
      <w:pPr>
        <w:pStyle w:val="Heading2"/>
      </w:pPr>
      <w:r>
        <w:rPr>
          <w:rFonts w:ascii="Noto Sans CJK SC" w:hAnsi="Noto Sans CJK SC" w:eastAsia="Noto Sans CJK SC" w:cs="Noto Sans CJK SC"/>
          <w:b/>
          <w:i w:val="0"/>
          <w:color w:val="1F4E79"/>
          <w:sz w:val="28"/>
        </w:rPr>
        <w:t>最容易误解的三件事</w:t>
      </w:r>
    </w:p>
    <w:p>
      <w:pPr>
        <w:pStyle w:val="Heading3"/>
      </w:pPr>
      <w:r>
        <w:rPr>
          <w:rFonts w:ascii="Noto Sans CJK SC" w:hAnsi="Noto Sans CJK SC" w:eastAsia="Noto Sans CJK SC" w:cs="Noto Sans CJK SC"/>
          <w:b/>
          <w:i w:val="0"/>
          <w:color w:val="1F4E79"/>
          <w:sz w:val="23"/>
        </w:rPr>
        <w:t>1. 功率降低 25%，不等于总电能一定减少 25%</w:t>
      </w:r>
    </w:p>
    <w:p>
      <w:pPr>
        <w:keepLines/>
      </w:pPr>
      <w:r>
        <w:rPr>
          <w:rFonts w:ascii="Noto Sans CJK SC" w:hAnsi="Noto Sans CJK SC" w:eastAsia="Noto Sans CJK SC" w:cs="Noto Sans CJK SC"/>
          <w:b w:val="0"/>
          <w:i w:val="0"/>
          <w:color w:val="1D2733"/>
          <w:sz w:val="20"/>
        </w:rPr>
        <w:t>功率是某一时刻“用电有多快”，单位是 kW；电能是一定时间内累计用了多少电，单位是 kWh，二者关系为：</w:t>
      </w:r>
    </w:p>
    <w:p>
      <w:pPr>
        <w:keepLines/>
        <w:ind w:firstLine="0"/>
      </w:pPr>
      <w:r>
        <w:rPr>
          <w:rFonts w:ascii="Noto Sans CJK SC" w:hAnsi="Noto Sans CJK SC" w:eastAsia="Noto Sans CJK SC" w:cs="Noto Sans CJK SC"/>
          <w:b/>
          <w:i w:val="0"/>
          <w:color w:val="1D2733"/>
          <w:sz w:val="20"/>
        </w:rPr>
        <w:t>电能 = 功率随时间的积分，即 E = ∫P(t)dt。</w:t>
      </w:r>
    </w:p>
    <w:p>
      <w:pPr>
        <w:keepLines/>
      </w:pPr>
      <w:r>
        <w:rPr>
          <w:rFonts w:ascii="Noto Sans CJK SC" w:hAnsi="Noto Sans CJK SC" w:eastAsia="Noto Sans CJK SC" w:cs="Noto Sans CJK SC"/>
          <w:b w:val="0"/>
          <w:i w:val="0"/>
          <w:color w:val="1D2733"/>
          <w:sz w:val="20"/>
        </w:rPr>
        <w:t>如果一个任务只是暂停 3 小时，随后又把相同计算补做回来，那么高峰期的功率确实下降了，但全程总电能未必同比例下降。论文在 SRP 代表性实验中另外估算出约 5% 的预期能量降低；这才是文中与“总电能”较接近的数字，而且只是一个案例中的代理估计，并非所有实验的统一结论。</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把洗衣机从晚上 7 点改到凌晨 1 点，晚上 7 点的家庭功率下降了，但衣服最终仍然要洗，总电量未必少很多。本文最可靠的结论是“能把用电避开电网高峰”，不是“AI 计算从此节电四分之一”。</w:t>
      </w:r>
    </w:p>
    <w:p>
      <w:pPr>
        <w:pStyle w:val="Heading3"/>
      </w:pPr>
      <w:r>
        <w:rPr>
          <w:rFonts w:ascii="Noto Sans CJK SC" w:hAnsi="Noto Sans CJK SC" w:eastAsia="Noto Sans CJK SC" w:cs="Noto Sans CJK SC"/>
          <w:b/>
          <w:i w:val="0"/>
          <w:color w:val="1F4E79"/>
          <w:sz w:val="23"/>
        </w:rPr>
        <w:t>2. “没有 SLA 违约”，不等于任务完全没有变慢</w:t>
      </w:r>
    </w:p>
    <w:p>
      <w:pPr>
        <w:keepLines/>
      </w:pPr>
      <w:r>
        <w:rPr>
          <w:rFonts w:ascii="Noto Sans CJK SC" w:hAnsi="Noto Sans CJK SC" w:eastAsia="Noto Sans CJK SC" w:cs="Noto Sans CJK SC"/>
          <w:b w:val="0"/>
          <w:i w:val="0"/>
          <w:color w:val="1D2733"/>
          <w:sz w:val="20"/>
        </w:rPr>
        <w:t>Flex 1、Flex 2 和 Flex 3 分别允许平均吞吐量最多下降 10%、25% 和 50%。因此，“零 SLA 违约”表示所有作业都没有慢过各自允许的下限，而不是所有任务都维持 100% 性能。真正不能变慢的 Flex 0 作业才保持严格保护。</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如果合同事先约定某个后台训练任务在几小时内慢 25% 也可以，那么它真的慢了 20% 仍然算“履约”。作者证明的是软件能把损失控制在约定边界内，而不是做到“既少用电又完全零代价”。</w:t>
      </w:r>
    </w:p>
    <w:p>
      <w:pPr>
        <w:pStyle w:val="Heading3"/>
      </w:pPr>
      <w:r>
        <w:rPr>
          <w:rFonts w:ascii="Noto Sans CJK SC" w:hAnsi="Noto Sans CJK SC" w:eastAsia="Noto Sans CJK SC" w:cs="Noto Sans CJK SC"/>
          <w:b/>
          <w:i w:val="0"/>
          <w:color w:val="1F4E79"/>
          <w:sz w:val="23"/>
        </w:rPr>
        <w:t>3. 100 GW 不是这次实验测出来的</w:t>
      </w:r>
    </w:p>
    <w:p>
      <w:pPr>
        <w:keepLines/>
      </w:pPr>
      <w:r>
        <w:rPr>
          <w:rFonts w:ascii="Noto Sans CJK SC" w:hAnsi="Noto Sans CJK SC" w:eastAsia="Noto Sans CJK SC" w:cs="Noto Sans CJK SC"/>
          <w:b w:val="0"/>
          <w:i w:val="0"/>
          <w:color w:val="1D2733"/>
          <w:sz w:val="20"/>
        </w:rPr>
        <w:t>论文提到的“美国可能释放接近 100 GW 数据中心接入容量”，来自所引用的外部电力系统研究，其前提是大型负荷只需在全年约 0.5% 的时间内接受削减。本论文的现场证据是一套约百千瓦量级的 256-GPU 集群；它说明控制机制在真实硬件上可行，但不能单独验证全国 100 GW 的系统级估计。</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这篇论文验证的是“小规模真实样机能工作”；100 GW 则是另一个研究根据全美电网模型推算的“如果大范围推广，可能有多大作用”。两者能互相支撑，但不是同一个证据。</w:t>
      </w:r>
    </w:p>
    <w:p>
      <w:pPr>
        <w:pStyle w:val="Heading2"/>
      </w:pPr>
      <w:r>
        <w:rPr>
          <w:rFonts w:ascii="Noto Sans CJK SC" w:hAnsi="Noto Sans CJK SC" w:eastAsia="Noto Sans CJK SC" w:cs="Noto Sans CJK SC"/>
          <w:b/>
          <w:i w:val="0"/>
          <w:color w:val="1F4E79"/>
          <w:sz w:val="28"/>
        </w:rPr>
        <w:t>方法到底高级在哪里</w:t>
      </w:r>
    </w:p>
    <w:p>
      <w:pPr>
        <w:keepLines/>
      </w:pPr>
      <w:r>
        <w:rPr>
          <w:rFonts w:ascii="Noto Sans CJK SC" w:hAnsi="Noto Sans CJK SC" w:eastAsia="Noto Sans CJK SC" w:cs="Noto Sans CJK SC"/>
          <w:b w:val="0"/>
          <w:i w:val="0"/>
          <w:color w:val="1D2733"/>
          <w:sz w:val="20"/>
        </w:rPr>
        <w:t xml:space="preserve">从算法角度看，论文没有提出复杂的新型深度学习模型。三种控制手段——DVFS 限功率、暂停作业、调整 GPU 数量——都不是首次出现；两种策略也只是容易理解的 </w:t>
      </w:r>
      <w:r>
        <w:rPr>
          <w:rFonts w:ascii="Noto Sans CJK SC" w:hAnsi="Noto Sans CJK SC" w:eastAsia="Noto Sans CJK SC" w:cs="Noto Sans CJK SC"/>
          <w:b/>
          <w:i w:val="0"/>
          <w:color w:val="1D2733"/>
          <w:sz w:val="20"/>
        </w:rPr>
        <w:t>Greedy（优先动最灵活的任务）</w:t>
      </w:r>
      <w:r>
        <w:rPr>
          <w:rFonts w:ascii="Noto Sans CJK SC" w:hAnsi="Noto Sans CJK SC" w:eastAsia="Noto Sans CJK SC" w:cs="Noto Sans CJK SC"/>
          <w:b w:val="0"/>
          <w:i w:val="0"/>
          <w:color w:val="1D2733"/>
          <w:sz w:val="20"/>
        </w:rPr>
        <w:t xml:space="preserve"> 与 </w:t>
      </w:r>
      <w:r>
        <w:rPr>
          <w:rFonts w:ascii="Noto Sans CJK SC" w:hAnsi="Noto Sans CJK SC" w:eastAsia="Noto Sans CJK SC" w:cs="Noto Sans CJK SC"/>
          <w:b/>
          <w:i w:val="0"/>
          <w:color w:val="1D2733"/>
          <w:sz w:val="20"/>
        </w:rPr>
        <w:t>Fair（把性能影响较均衡地分摊）</w:t>
      </w:r>
      <w:r>
        <w:rPr>
          <w:rFonts w:ascii="Noto Sans CJK SC" w:hAnsi="Noto Sans CJK SC" w:eastAsia="Noto Sans CJK SC" w:cs="Noto Sans CJK SC"/>
          <w:b w:val="0"/>
          <w:i w:val="0"/>
          <w:color w:val="1D2733"/>
          <w:sz w:val="20"/>
        </w:rPr>
        <w:t>。仿真器依据事先测得的各类作业功率—性能曲线作预测，论文没有把其模型结构描述为一个特别新颖的机器学习算法。</w:t>
      </w:r>
    </w:p>
    <w:p>
      <w:pPr>
        <w:keepLines/>
      </w:pPr>
      <w:r>
        <w:rPr>
          <w:rFonts w:ascii="Noto Sans CJK SC" w:hAnsi="Noto Sans CJK SC" w:eastAsia="Noto Sans CJK SC" w:cs="Noto Sans CJK SC"/>
          <w:b w:val="0"/>
          <w:i w:val="0"/>
          <w:color w:val="1D2733"/>
          <w:sz w:val="20"/>
        </w:rPr>
        <w:t>真正的创新主要在三个层面：</w:t>
      </w:r>
    </w:p>
    <w:p>
      <w:pPr>
        <w:pStyle w:val="ListBullet"/>
        <w:ind w:hanging="259"/>
      </w:pPr>
      <w:r>
        <w:rPr>
          <w:rFonts w:ascii="Noto Sans CJK SC" w:hAnsi="Noto Sans CJK SC" w:eastAsia="Noto Sans CJK SC" w:cs="Noto Sans CJK SC"/>
          <w:b/>
          <w:i w:val="0"/>
          <w:color w:val="1D2733"/>
          <w:sz w:val="20"/>
        </w:rPr>
        <w:t>系统整合：</w:t>
      </w:r>
      <w:r>
        <w:rPr>
          <w:rFonts w:ascii="Noto Sans CJK SC" w:hAnsi="Noto Sans CJK SC" w:eastAsia="Noto Sans CJK SC" w:cs="Noto Sans CJK SC"/>
          <w:b w:val="0"/>
          <w:i w:val="0"/>
          <w:color w:val="1D2733"/>
          <w:sz w:val="20"/>
        </w:rPr>
        <w:t>把电网信号、作业 SLA、集群遥测、功率—性能预测和执行控制接成闭环。</w:t>
      </w:r>
    </w:p>
    <w:p>
      <w:pPr>
        <w:pStyle w:val="ListBullet"/>
        <w:ind w:hanging="259"/>
      </w:pPr>
      <w:r>
        <w:rPr>
          <w:rFonts w:ascii="Noto Sans CJK SC" w:hAnsi="Noto Sans CJK SC" w:eastAsia="Noto Sans CJK SC" w:cs="Noto Sans CJK SC"/>
          <w:b/>
          <w:i w:val="0"/>
          <w:color w:val="1D2733"/>
          <w:sz w:val="20"/>
        </w:rPr>
        <w:t>SLA 约束下的精细控制：</w:t>
      </w:r>
      <w:r>
        <w:rPr>
          <w:rFonts w:ascii="Noto Sans CJK SC" w:hAnsi="Noto Sans CJK SC" w:eastAsia="Noto Sans CJK SC" w:cs="Noto Sans CJK SC"/>
          <w:b w:val="0"/>
          <w:i w:val="0"/>
          <w:color w:val="1D2733"/>
          <w:sz w:val="20"/>
        </w:rPr>
        <w:t>不是整座集群“一刀切”，而是逐作业决定能动谁、动多少。</w:t>
      </w:r>
    </w:p>
    <w:p>
      <w:pPr>
        <w:pStyle w:val="ListBullet"/>
        <w:ind w:hanging="259"/>
      </w:pPr>
      <w:r>
        <w:rPr>
          <w:rFonts w:ascii="Noto Sans CJK SC" w:hAnsi="Noto Sans CJK SC" w:eastAsia="Noto Sans CJK SC" w:cs="Noto Sans CJK SC"/>
          <w:b/>
          <w:i w:val="0"/>
          <w:color w:val="1D2733"/>
          <w:sz w:val="20"/>
        </w:rPr>
        <w:t>生产环境现场证明：</w:t>
      </w:r>
      <w:r>
        <w:rPr>
          <w:rFonts w:ascii="Noto Sans CJK SC" w:hAnsi="Noto Sans CJK SC" w:eastAsia="Noto Sans CJK SC" w:cs="Noto Sans CJK SC"/>
          <w:b w:val="0"/>
          <w:i w:val="0"/>
          <w:color w:val="1D2733"/>
          <w:sz w:val="20"/>
        </w:rPr>
        <w:t>在产业合作方共同搭建的真实 256-GPU 云集群上持续执行，而不是只做离线仿真。</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它的“难”主要不是发明一个很玄的公式，而是把许多已有部件接成一个可靠系统，并让电力公司、云平台、GPU 厂商和任务管理工具在真实环境中协同工作。Nature Energy 看重的是这个系统第一次把一个重要能源设想做成了可信的现场证据。</w:t>
      </w:r>
    </w:p>
    <w:p>
      <w:pPr>
        <w:pStyle w:val="Heading2"/>
      </w:pPr>
      <w:r>
        <w:rPr>
          <w:rFonts w:ascii="Noto Sans CJK SC" w:hAnsi="Noto Sans CJK SC" w:eastAsia="Noto Sans CJK SC" w:cs="Noto Sans CJK SC"/>
          <w:b/>
          <w:i w:val="0"/>
          <w:color w:val="1F4E79"/>
          <w:sz w:val="28"/>
        </w:rPr>
        <w:t>证据有多强：可以相信什么</w:t>
      </w:r>
    </w:p>
    <w:p>
      <w:pPr>
        <w:pStyle w:val="ListBullet"/>
        <w:ind w:hanging="259"/>
      </w:pPr>
      <w:r>
        <w:rPr>
          <w:rFonts w:ascii="Noto Sans CJK SC" w:hAnsi="Noto Sans CJK SC" w:eastAsia="Noto Sans CJK SC" w:cs="Noto Sans CJK SC"/>
          <w:b/>
          <w:i w:val="0"/>
          <w:color w:val="1D2733"/>
          <w:sz w:val="20"/>
        </w:rPr>
        <w:t>可以较有把握地相信：</w:t>
      </w:r>
      <w:r>
        <w:rPr>
          <w:rFonts w:ascii="Noto Sans CJK SC" w:hAnsi="Noto Sans CJK SC" w:eastAsia="Noto Sans CJK SC" w:cs="Noto Sans CJK SC"/>
          <w:b w:val="0"/>
          <w:i w:val="0"/>
          <w:color w:val="1D2733"/>
          <w:sz w:val="20"/>
        </w:rPr>
        <w:t>在这套 256-A100 集群、这些训练/微调/推理组合及预先定义的 Flex SLA 下，软件可以让 GPU 集群功率按目标下降，并在多小时内稳定维持；三类控制手段确实能够组合使用；仿真器对已表征作业的功率预测与实测较接近。</w:t>
      </w:r>
    </w:p>
    <w:p>
      <w:pPr>
        <w:pStyle w:val="ListBullet"/>
        <w:ind w:hanging="259"/>
      </w:pPr>
      <w:r>
        <w:rPr>
          <w:rFonts w:ascii="Noto Sans CJK SC" w:hAnsi="Noto Sans CJK SC" w:eastAsia="Noto Sans CJK SC" w:cs="Noto Sans CJK SC"/>
          <w:b/>
          <w:i w:val="0"/>
          <w:color w:val="1D2733"/>
          <w:sz w:val="20"/>
        </w:rPr>
        <w:t>可以视为有力但仍需扩大验证：</w:t>
      </w:r>
      <w:r>
        <w:rPr>
          <w:rFonts w:ascii="Noto Sans CJK SC" w:hAnsi="Noto Sans CJK SC" w:eastAsia="Noto Sans CJK SC" w:cs="Noto Sans CJK SC"/>
          <w:b w:val="0"/>
          <w:i w:val="0"/>
          <w:color w:val="1D2733"/>
          <w:sz w:val="20"/>
        </w:rPr>
        <w:t>相同思路可推广到更多 GPU 集群、更多园区和更多电网需求响应项目。</w:t>
      </w:r>
    </w:p>
    <w:p>
      <w:pPr>
        <w:pStyle w:val="ListBullet"/>
        <w:ind w:hanging="259"/>
      </w:pPr>
      <w:r>
        <w:rPr>
          <w:rFonts w:ascii="Noto Sans CJK SC" w:hAnsi="Noto Sans CJK SC" w:eastAsia="Noto Sans CJK SC" w:cs="Noto Sans CJK SC"/>
          <w:b/>
          <w:i w:val="0"/>
          <w:color w:val="1D2733"/>
          <w:sz w:val="20"/>
        </w:rPr>
        <w:t>暂时不能由本文独立证明：</w:t>
      </w:r>
      <w:r>
        <w:rPr>
          <w:rFonts w:ascii="Noto Sans CJK SC" w:hAnsi="Noto Sans CJK SC" w:eastAsia="Noto Sans CJK SC" w:cs="Noto Sans CJK SC"/>
          <w:b w:val="0"/>
          <w:i w:val="0"/>
          <w:color w:val="1D2733"/>
          <w:sz w:val="20"/>
        </w:rPr>
        <w:t>整座超大规模数据中心都能同比例降功率；全国可新增 100 GW 接入容量；商业上一定盈利；用户一定愿意选择可减速 SLA；全年总能耗或碳排放一定大幅下降。</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论文最硬的证据位于“集群控制”这一层。往上推到“整座数据中心”“区域电网”“全国并网容量”和“经济收益”时，中间还隔着制冷、网络、备用电源、真实客户行为、市场规则和多站点协同等多层问题。</w:t>
      </w:r>
    </w:p>
    <w:p>
      <w:pPr>
        <w:pStyle w:val="Heading2"/>
      </w:pPr>
      <w:r>
        <w:rPr>
          <w:rFonts w:ascii="Noto Sans CJK SC" w:hAnsi="Noto Sans CJK SC" w:eastAsia="Noto Sans CJK SC" w:cs="Noto Sans CJK SC"/>
          <w:b/>
          <w:i w:val="0"/>
          <w:color w:val="1F4E79"/>
          <w:sz w:val="28"/>
        </w:rPr>
        <w:t>主要优点</w:t>
      </w:r>
    </w:p>
    <w:p>
      <w:pPr>
        <w:pStyle w:val="ListBullet"/>
        <w:ind w:hanging="259"/>
      </w:pPr>
      <w:r>
        <w:rPr>
          <w:rFonts w:ascii="Noto Sans CJK SC" w:hAnsi="Noto Sans CJK SC" w:eastAsia="Noto Sans CJK SC" w:cs="Noto Sans CJK SC"/>
          <w:b/>
          <w:i w:val="0"/>
          <w:color w:val="1D2733"/>
          <w:sz w:val="20"/>
        </w:rPr>
        <w:t>真实现场而非纸上模拟。</w:t>
      </w:r>
      <w:r>
        <w:rPr>
          <w:rFonts w:ascii="Noto Sans CJK SC" w:hAnsi="Noto Sans CJK SC" w:eastAsia="Noto Sans CJK SC" w:cs="Noto Sans CJK SC"/>
          <w:b w:val="0"/>
          <w:i w:val="0"/>
          <w:color w:val="1D2733"/>
          <w:sz w:val="20"/>
        </w:rPr>
        <w:t>两次事件与 APS、SRP 的实际峰值时段对齐，并按电力企业提出的 25%、3 小时和 15 分钟爬坡要求执行。</w:t>
      </w:r>
    </w:p>
    <w:p>
      <w:pPr>
        <w:pStyle w:val="ListBullet"/>
        <w:ind w:hanging="259"/>
      </w:pPr>
      <w:r>
        <w:rPr>
          <w:rFonts w:ascii="Noto Sans CJK SC" w:hAnsi="Noto Sans CJK SC" w:eastAsia="Noto Sans CJK SC" w:cs="Noto Sans CJK SC"/>
          <w:b/>
          <w:i w:val="0"/>
          <w:color w:val="1D2733"/>
          <w:sz w:val="20"/>
        </w:rPr>
        <w:t>同时保护电网目标和计算目标。</w:t>
      </w:r>
      <w:r>
        <w:rPr>
          <w:rFonts w:ascii="Noto Sans CJK SC" w:hAnsi="Noto Sans CJK SC" w:eastAsia="Noto Sans CJK SC" w:cs="Noto Sans CJK SC"/>
          <w:b w:val="0"/>
          <w:i w:val="0"/>
          <w:color w:val="1D2733"/>
          <w:sz w:val="20"/>
        </w:rPr>
        <w:t>论文不只展示功率曲线，也检查每个灵活性等级的吞吐量下限。</w:t>
      </w:r>
    </w:p>
    <w:p>
      <w:pPr>
        <w:pStyle w:val="ListBullet"/>
        <w:ind w:hanging="259"/>
      </w:pPr>
      <w:r>
        <w:rPr>
          <w:rFonts w:ascii="Noto Sans CJK SC" w:hAnsi="Noto Sans CJK SC" w:eastAsia="Noto Sans CJK SC" w:cs="Noto Sans CJK SC"/>
          <w:b/>
          <w:i w:val="0"/>
          <w:color w:val="1D2733"/>
          <w:sz w:val="20"/>
        </w:rPr>
        <w:t>覆盖多类 AI 工作负载。</w:t>
      </w:r>
      <w:r>
        <w:rPr>
          <w:rFonts w:ascii="Noto Sans CJK SC" w:hAnsi="Noto Sans CJK SC" w:eastAsia="Noto Sans CJK SC" w:cs="Noto Sans CJK SC"/>
          <w:b w:val="0"/>
          <w:i w:val="0"/>
          <w:color w:val="1D2733"/>
          <w:sz w:val="20"/>
        </w:rPr>
        <w:t>训练、微调、实时推理与可延迟推理被混合运行，避免只测最容易控制的一种任务。</w:t>
      </w:r>
    </w:p>
    <w:p>
      <w:pPr>
        <w:pStyle w:val="ListBullet"/>
        <w:ind w:hanging="259"/>
      </w:pPr>
      <w:r>
        <w:rPr>
          <w:rFonts w:ascii="Noto Sans CJK SC" w:hAnsi="Noto Sans CJK SC" w:eastAsia="Noto Sans CJK SC" w:cs="Noto Sans CJK SC"/>
          <w:b/>
          <w:i w:val="0"/>
          <w:color w:val="1D2733"/>
          <w:sz w:val="20"/>
        </w:rPr>
        <w:t>控制组合具有工程可实施性。</w:t>
      </w:r>
      <w:r>
        <w:rPr>
          <w:rFonts w:ascii="Noto Sans CJK SC" w:hAnsi="Noto Sans CJK SC" w:eastAsia="Noto Sans CJK SC" w:cs="Noto Sans CJK SC"/>
          <w:b w:val="0"/>
          <w:i w:val="0"/>
          <w:color w:val="1D2733"/>
          <w:sz w:val="20"/>
        </w:rPr>
        <w:t>功率上限、检查点、暂停和资源重分配都能嵌入现有云/HPC 软件栈。</w:t>
      </w:r>
    </w:p>
    <w:p>
      <w:pPr>
        <w:pStyle w:val="ListBullet"/>
        <w:ind w:hanging="259"/>
      </w:pPr>
      <w:r>
        <w:rPr>
          <w:rFonts w:ascii="Noto Sans CJK SC" w:hAnsi="Noto Sans CJK SC" w:eastAsia="Noto Sans CJK SC" w:cs="Noto Sans CJK SC"/>
          <w:b/>
          <w:i w:val="0"/>
          <w:color w:val="1D2733"/>
          <w:sz w:val="20"/>
        </w:rPr>
        <w:t>数据与部分实现材料公开。</w:t>
      </w:r>
      <w:r>
        <w:rPr>
          <w:rFonts w:ascii="Noto Sans CJK SC" w:hAnsi="Noto Sans CJK SC" w:eastAsia="Noto Sans CJK SC" w:cs="Noto Sans CJK SC"/>
          <w:b w:val="0"/>
          <w:i w:val="0"/>
          <w:color w:val="1D2733"/>
          <w:sz w:val="20"/>
        </w:rPr>
        <w:t>作者提供图 2–6 的相关时序和 DVFS 数据、执行功率控制的代码/容器，以及算法伪代码，方便核查部分结果。</w:t>
      </w:r>
    </w:p>
    <w:p>
      <w:pPr>
        <w:pStyle w:val="Heading2"/>
      </w:pPr>
      <w:r>
        <w:rPr>
          <w:rFonts w:ascii="Noto Sans CJK SC" w:hAnsi="Noto Sans CJK SC" w:eastAsia="Noto Sans CJK SC" w:cs="Noto Sans CJK SC"/>
          <w:b/>
          <w:i w:val="0"/>
          <w:color w:val="1F4E79"/>
          <w:sz w:val="28"/>
        </w:rPr>
        <w:t>关键局限与审稿时应追问的问题</w:t>
      </w:r>
    </w:p>
    <w:p>
      <w:pPr>
        <w:spacing w:after="80" w:line="307" w:lineRule="auto"/>
        <w:ind w:left="547" w:hanging="259"/>
        <w:numPr>
          <w:ilvl w:val="0"/>
          <w:numId w:val="11"/>
        </w:numPr>
      </w:pPr>
      <w:r>
        <w:rPr>
          <w:rFonts w:ascii="Noto Sans CJK SC" w:hAnsi="Noto Sans CJK SC" w:eastAsia="Noto Sans CJK SC" w:cs="Noto Sans CJK SC"/>
          <w:b/>
          <w:i w:val="0"/>
          <w:color w:val="1D2733"/>
          <w:sz w:val="20"/>
        </w:rPr>
        <w:t>规模边界：</w:t>
      </w:r>
      <w:r>
        <w:rPr>
          <w:rFonts w:ascii="Noto Sans CJK SC" w:hAnsi="Noto Sans CJK SC" w:eastAsia="Noto Sans CJK SC" w:cs="Noto Sans CJK SC"/>
          <w:b w:val="0"/>
          <w:i w:val="0"/>
          <w:color w:val="1D2733"/>
          <w:sz w:val="20"/>
        </w:rPr>
        <w:t>实验对象是 256 块 A100 GPU，图中的基准功率约为 90–100 kW。超大规模数据中心通常达到数十至数百 MW，跨越多个集群和设施系统，控制复杂度并非简单按比例放大。</w:t>
      </w:r>
    </w:p>
    <w:p>
      <w:pPr>
        <w:spacing w:after="80" w:line="307" w:lineRule="auto"/>
        <w:ind w:left="547" w:hanging="259"/>
        <w:numPr>
          <w:ilvl w:val="0"/>
          <w:numId w:val="11"/>
        </w:numPr>
      </w:pPr>
      <w:r>
        <w:rPr>
          <w:rFonts w:ascii="Noto Sans CJK SC" w:hAnsi="Noto Sans CJK SC" w:eastAsia="Noto Sans CJK SC" w:cs="Noto Sans CJK SC"/>
          <w:b/>
          <w:i w:val="0"/>
          <w:color w:val="1D2733"/>
          <w:sz w:val="20"/>
        </w:rPr>
        <w:t>测量边界：</w:t>
      </w:r>
      <w:r>
        <w:rPr>
          <w:rFonts w:ascii="Noto Sans CJK SC" w:hAnsi="Noto Sans CJK SC" w:eastAsia="Noto Sans CJK SC" w:cs="Noto Sans CJK SC"/>
          <w:b w:val="0"/>
          <w:i w:val="0"/>
          <w:color w:val="1D2733"/>
          <w:sz w:val="20"/>
        </w:rPr>
        <w:t>方法部分说明功率主要通过 NVIDIA-SMI 测量 GPU；论文没有给出整座设施包括 CPU、网络、存储、制冷、UPS 和配电损耗的完整功率响应。因此，不能把 25% 的 GPU 集群削减直接当作整座数据中心 25% 的削减。</w:t>
      </w:r>
    </w:p>
    <w:p>
      <w:pPr>
        <w:spacing w:after="80" w:line="307" w:lineRule="auto"/>
        <w:ind w:left="547" w:hanging="259"/>
        <w:numPr>
          <w:ilvl w:val="0"/>
          <w:numId w:val="11"/>
        </w:numPr>
      </w:pPr>
      <w:r>
        <w:rPr>
          <w:rFonts w:ascii="Noto Sans CJK SC" w:hAnsi="Noto Sans CJK SC" w:eastAsia="Noto Sans CJK SC" w:cs="Noto Sans CJK SC"/>
          <w:b/>
          <w:i w:val="0"/>
          <w:color w:val="1D2733"/>
          <w:sz w:val="20"/>
        </w:rPr>
        <w:t>工作负载代表性：</w:t>
      </w:r>
      <w:r>
        <w:rPr>
          <w:rFonts w:ascii="Noto Sans CJK SC" w:hAnsi="Noto Sans CJK SC" w:eastAsia="Noto Sans CJK SC" w:cs="Noto Sans CJK SC"/>
          <w:b w:val="0"/>
          <w:i w:val="0"/>
          <w:color w:val="1D2733"/>
          <w:sz w:val="20"/>
        </w:rPr>
        <w:t>实验使用 MPT、LLaMA 8B、C4、Dolly 和 P3 等选定任务。更大的模型、通信密集型训练、多租户突发推理和不同 GPU 世代是否具有相同曲线，尚未验证。</w:t>
      </w:r>
    </w:p>
    <w:p>
      <w:pPr>
        <w:spacing w:after="80" w:line="307" w:lineRule="auto"/>
        <w:ind w:left="547" w:hanging="259"/>
        <w:numPr>
          <w:ilvl w:val="0"/>
          <w:numId w:val="11"/>
        </w:numPr>
      </w:pPr>
      <w:r>
        <w:rPr>
          <w:rFonts w:ascii="Noto Sans CJK SC" w:hAnsi="Noto Sans CJK SC" w:eastAsia="Noto Sans CJK SC" w:cs="Noto Sans CJK SC"/>
          <w:b/>
          <w:i w:val="0"/>
          <w:color w:val="1D2733"/>
          <w:sz w:val="20"/>
        </w:rPr>
        <w:t>SLA 标签来自人为设定：</w:t>
      </w:r>
      <w:r>
        <w:rPr>
          <w:rFonts w:ascii="Noto Sans CJK SC" w:hAnsi="Noto Sans CJK SC" w:eastAsia="Noto Sans CJK SC" w:cs="Noto Sans CJK SC"/>
          <w:b w:val="0"/>
          <w:i w:val="0"/>
          <w:color w:val="1D2733"/>
          <w:sz w:val="20"/>
        </w:rPr>
        <w:t>Flex 等级由产业伙伴依据典型预期确定，并不是由大量真实客户合同或用户选择行为统计得到。“所有任务均满足 SLA”是在这套实验标签下成立。</w:t>
      </w:r>
    </w:p>
    <w:p>
      <w:pPr>
        <w:spacing w:after="80" w:line="307" w:lineRule="auto"/>
        <w:ind w:left="547" w:hanging="259"/>
        <w:numPr>
          <w:ilvl w:val="0"/>
          <w:numId w:val="11"/>
        </w:numPr>
      </w:pPr>
      <w:r>
        <w:rPr>
          <w:rFonts w:ascii="Noto Sans CJK SC" w:hAnsi="Noto Sans CJK SC" w:eastAsia="Noto Sans CJK SC" w:cs="Noto Sans CJK SC"/>
          <w:b/>
          <w:i w:val="0"/>
          <w:color w:val="1D2733"/>
          <w:sz w:val="20"/>
        </w:rPr>
        <w:t>仿真器依赖事前表征：</w:t>
      </w:r>
      <w:r>
        <w:rPr>
          <w:rFonts w:ascii="Noto Sans CJK SC" w:hAnsi="Noto Sans CJK SC" w:eastAsia="Noto Sans CJK SC" w:cs="Noto Sans CJK SC"/>
          <w:b w:val="0"/>
          <w:i w:val="0"/>
          <w:color w:val="1D2733"/>
          <w:sz w:val="20"/>
        </w:rPr>
        <w:t>平台在事件前已经测量各作业的功率—性能关系。面对从未见过、无法预跑的外部客户任务，预测精度可能下降；论文也承认这是后续研究问题。</w:t>
      </w:r>
    </w:p>
    <w:p>
      <w:pPr>
        <w:spacing w:after="80" w:line="307" w:lineRule="auto"/>
        <w:ind w:left="547" w:hanging="259"/>
        <w:numPr>
          <w:ilvl w:val="0"/>
          <w:numId w:val="11"/>
        </w:numPr>
      </w:pPr>
      <w:r>
        <w:rPr>
          <w:rFonts w:ascii="Noto Sans CJK SC" w:hAnsi="Noto Sans CJK SC" w:eastAsia="Noto Sans CJK SC" w:cs="Noto Sans CJK SC"/>
          <w:b/>
          <w:i w:val="0"/>
          <w:color w:val="1D2733"/>
          <w:sz w:val="20"/>
        </w:rPr>
        <w:t>误差报告仍较简略：</w:t>
      </w:r>
      <w:r>
        <w:rPr>
          <w:rFonts w:ascii="Noto Sans CJK SC" w:hAnsi="Noto Sans CJK SC" w:eastAsia="Noto Sans CJK SC" w:cs="Noto Sans CJK SC"/>
          <w:b w:val="0"/>
          <w:i w:val="0"/>
          <w:color w:val="1D2733"/>
          <w:sz w:val="20"/>
        </w:rPr>
        <w:t>4.52% 是跨控制区间的归一化功率 RMSE，但论文没有充分展示不同策略、不同负载组合下的误差分布、最坏情形和置信区间。</w:t>
      </w:r>
    </w:p>
    <w:p>
      <w:pPr>
        <w:spacing w:after="80" w:line="307" w:lineRule="auto"/>
        <w:ind w:left="547" w:hanging="259"/>
        <w:numPr>
          <w:ilvl w:val="0"/>
          <w:numId w:val="11"/>
        </w:numPr>
      </w:pPr>
      <w:r>
        <w:rPr>
          <w:rFonts w:ascii="Noto Sans CJK SC" w:hAnsi="Noto Sans CJK SC" w:eastAsia="Noto Sans CJK SC" w:cs="Noto Sans CJK SC"/>
          <w:b/>
          <w:i w:val="0"/>
          <w:color w:val="1D2733"/>
          <w:sz w:val="20"/>
        </w:rPr>
        <w:t>能量与反弹尚未做完整长期核算：</w:t>
      </w:r>
      <w:r>
        <w:rPr>
          <w:rFonts w:ascii="Noto Sans CJK SC" w:hAnsi="Noto Sans CJK SC" w:eastAsia="Noto Sans CJK SC" w:cs="Noto Sans CJK SC"/>
          <w:b w:val="0"/>
          <w:i w:val="0"/>
          <w:color w:val="1D2733"/>
          <w:sz w:val="20"/>
        </w:rPr>
        <w:t>平台避免事件结束瞬间出现“snap back”，但延迟计算最终仍可能在稍后执行。论文只在一个 SRP 案例中给出约 5% 的预期能量降低估计，缺少跨完整作业生命周期和长时间运营的直接计量。</w:t>
      </w:r>
    </w:p>
    <w:p>
      <w:pPr>
        <w:spacing w:after="80" w:line="307" w:lineRule="auto"/>
        <w:ind w:left="547" w:hanging="259"/>
        <w:numPr>
          <w:ilvl w:val="0"/>
          <w:numId w:val="11"/>
        </w:numPr>
      </w:pPr>
      <w:r>
        <w:rPr>
          <w:rFonts w:ascii="Noto Sans CJK SC" w:hAnsi="Noto Sans CJK SC" w:eastAsia="Noto Sans CJK SC" w:cs="Noto Sans CJK SC"/>
          <w:b/>
          <w:i w:val="0"/>
          <w:color w:val="1D2733"/>
          <w:sz w:val="20"/>
        </w:rPr>
        <w:t>缺少经济结果：</w:t>
      </w:r>
      <w:r>
        <w:rPr>
          <w:rFonts w:ascii="Noto Sans CJK SC" w:hAnsi="Noto Sans CJK SC" w:eastAsia="Noto Sans CJK SC" w:cs="Noto Sans CJK SC"/>
          <w:b w:val="0"/>
          <w:i w:val="0"/>
          <w:color w:val="1D2733"/>
          <w:sz w:val="20"/>
        </w:rPr>
        <w:t>论文讨论更快并网、低电价和需求响应补偿，却没有计算软件部署成本、客户补偿、机会成本、市场收入或回收期。</w:t>
      </w:r>
    </w:p>
    <w:p>
      <w:pPr>
        <w:spacing w:after="80" w:line="307" w:lineRule="auto"/>
        <w:ind w:left="547" w:hanging="259"/>
        <w:numPr>
          <w:ilvl w:val="0"/>
          <w:numId w:val="11"/>
        </w:numPr>
      </w:pPr>
      <w:r>
        <w:rPr>
          <w:rFonts w:ascii="Noto Sans CJK SC" w:hAnsi="Noto Sans CJK SC" w:eastAsia="Noto Sans CJK SC" w:cs="Noto Sans CJK SC"/>
          <w:b/>
          <w:i w:val="0"/>
          <w:color w:val="1D2733"/>
          <w:sz w:val="20"/>
        </w:rPr>
        <w:t>系统服务范围有限：</w:t>
      </w:r>
      <w:r>
        <w:rPr>
          <w:rFonts w:ascii="Noto Sans CJK SC" w:hAnsi="Noto Sans CJK SC" w:eastAsia="Noto Sans CJK SC" w:cs="Noto Sans CJK SC"/>
          <w:b w:val="0"/>
          <w:i w:val="0"/>
          <w:color w:val="1D2733"/>
          <w:sz w:val="20"/>
        </w:rPr>
        <w:t>现场示范主要针对数小时的削峰。频率调节等服务要求秒级甚至更快、持续双向跟踪，本文尚未证明能够满足。</w:t>
      </w:r>
    </w:p>
    <w:p>
      <w:pPr>
        <w:spacing w:after="80" w:line="307" w:lineRule="auto"/>
        <w:ind w:left="547" w:hanging="259"/>
        <w:numPr>
          <w:ilvl w:val="0"/>
          <w:numId w:val="11"/>
        </w:numPr>
      </w:pPr>
      <w:r>
        <w:rPr>
          <w:rFonts w:ascii="Noto Sans CJK SC" w:hAnsi="Noto Sans CJK SC" w:eastAsia="Noto Sans CJK SC" w:cs="Noto Sans CJK SC"/>
          <w:b/>
          <w:i w:val="0"/>
          <w:color w:val="1D2733"/>
          <w:sz w:val="20"/>
        </w:rPr>
        <w:t>可复现性是部分的：</w:t>
      </w:r>
      <w:r>
        <w:rPr>
          <w:rFonts w:ascii="Noto Sans CJK SC" w:hAnsi="Noto Sans CJK SC" w:eastAsia="Noto Sans CJK SC" w:cs="Noto Sans CJK SC"/>
          <w:b w:val="0"/>
          <w:i w:val="0"/>
          <w:color w:val="1D2733"/>
          <w:sz w:val="20"/>
        </w:rPr>
        <w:t>公开材料支持检查图表数据和执行基本功率控制，但论文所述完整生产级编排平台、仿真器训练细节与全部商业基础设施并未完整公开。</w:t>
      </w:r>
    </w:p>
    <w:p>
      <w:pPr>
        <w:spacing w:after="80" w:line="307" w:lineRule="auto"/>
        <w:ind w:left="547" w:hanging="259"/>
        <w:numPr>
          <w:ilvl w:val="0"/>
          <w:numId w:val="11"/>
        </w:numPr>
      </w:pPr>
      <w:r>
        <w:rPr>
          <w:rFonts w:ascii="Noto Sans CJK SC" w:hAnsi="Noto Sans CJK SC" w:eastAsia="Noto Sans CJK SC" w:cs="Noto Sans CJK SC"/>
          <w:b/>
          <w:i w:val="0"/>
          <w:color w:val="1D2733"/>
          <w:sz w:val="20"/>
        </w:rPr>
        <w:t>利益冲突需要透明解读：</w:t>
      </w:r>
      <w:r>
        <w:rPr>
          <w:rFonts w:ascii="Noto Sans CJK SC" w:hAnsi="Noto Sans CJK SC" w:eastAsia="Noto Sans CJK SC" w:cs="Noto Sans CJK SC"/>
          <w:b w:val="0"/>
          <w:i w:val="0"/>
          <w:color w:val="1D2733"/>
          <w:sz w:val="20"/>
        </w:rPr>
        <w:t>多位作者来自 Emerald AI、Oracle、NVIDIA、SRP 和 EPRI；部分作者持有公司股票或期权，Emerald AI 作者另有相关专利申请。论文已主动披露这些信息，它们不等于结果无效，但使独立、多站点复现更重要。</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这是一篇很强的工程示范论文，但仍不是“已经解决所有数据中心—电网问题”的终局证据。最关键的下一步，是从一套 GPU 集群扩展到完整设施和多个园区，用真实商业作业长期运行，并把功率、总电能、碳排放、客户损失和电力市场收入一起算清楚。</w:t>
      </w:r>
    </w:p>
    <w:p>
      <w:pPr>
        <w:pStyle w:val="Heading2"/>
      </w:pPr>
      <w:r>
        <w:rPr>
          <w:rFonts w:ascii="Noto Sans CJK SC" w:hAnsi="Noto Sans CJK SC" w:eastAsia="Noto Sans CJK SC" w:cs="Noto Sans CJK SC"/>
          <w:b/>
          <w:i w:val="0"/>
          <w:color w:val="1F4E79"/>
          <w:sz w:val="28"/>
        </w:rPr>
        <w:t>为什么它能发表在 Nature Energy</w:t>
      </w:r>
    </w:p>
    <w:p>
      <w:pPr>
        <w:keepLines/>
      </w:pPr>
      <w:r>
        <w:rPr>
          <w:rFonts w:ascii="Noto Sans CJK SC" w:hAnsi="Noto Sans CJK SC" w:eastAsia="Noto Sans CJK SC" w:cs="Noto Sans CJK SC"/>
          <w:b w:val="0"/>
          <w:i w:val="0"/>
          <w:color w:val="1D2733"/>
          <w:sz w:val="20"/>
        </w:rPr>
        <w:t>它的高影响力并不主要来自算法复杂，而来自以下组合：</w:t>
      </w:r>
    </w:p>
    <w:p>
      <w:pPr>
        <w:pStyle w:val="ListBullet"/>
        <w:ind w:hanging="259"/>
      </w:pPr>
      <w:r>
        <w:rPr>
          <w:rFonts w:ascii="Noto Sans CJK SC" w:hAnsi="Noto Sans CJK SC" w:eastAsia="Noto Sans CJK SC" w:cs="Noto Sans CJK SC"/>
          <w:b w:val="0"/>
          <w:i w:val="0"/>
          <w:color w:val="1D2733"/>
          <w:sz w:val="20"/>
        </w:rPr>
        <w:t>问题极其及时：AI 用电增长和数据中心并网已成为全球能源系统的现实瓶颈；</w:t>
      </w:r>
    </w:p>
    <w:p>
      <w:pPr>
        <w:pStyle w:val="ListBullet"/>
        <w:ind w:hanging="259"/>
      </w:pPr>
      <w:r>
        <w:rPr>
          <w:rFonts w:ascii="Noto Sans CJK SC" w:hAnsi="Noto Sans CJK SC" w:eastAsia="Noto Sans CJK SC" w:cs="Noto Sans CJK SC"/>
          <w:b w:val="0"/>
          <w:i w:val="0"/>
          <w:color w:val="1D2733"/>
          <w:sz w:val="20"/>
        </w:rPr>
        <w:t>给出清晰、可传播的核心结果：</w:t>
      </w:r>
      <w:r>
        <w:rPr>
          <w:rFonts w:ascii="Noto Sans CJK SC" w:hAnsi="Noto Sans CJK SC" w:eastAsia="Noto Sans CJK SC" w:cs="Noto Sans CJK SC"/>
          <w:b/>
          <w:i w:val="0"/>
          <w:color w:val="1D2733"/>
          <w:sz w:val="20"/>
        </w:rPr>
        <w:t>25%—3 小时—无 SLA 违约</w:t>
      </w:r>
      <w:r>
        <w:rPr>
          <w:rFonts w:ascii="Noto Sans CJK SC" w:hAnsi="Noto Sans CJK SC" w:eastAsia="Noto Sans CJK SC" w:cs="Noto Sans CJK SC"/>
          <w:b w:val="0"/>
          <w:i w:val="0"/>
          <w:color w:val="1D2733"/>
          <w:sz w:val="20"/>
        </w:rPr>
        <w:t>；</w:t>
      </w:r>
    </w:p>
    <w:p>
      <w:pPr>
        <w:pStyle w:val="ListBullet"/>
        <w:ind w:hanging="259"/>
      </w:pPr>
      <w:r>
        <w:rPr>
          <w:rFonts w:ascii="Noto Sans CJK SC" w:hAnsi="Noto Sans CJK SC" w:eastAsia="Noto Sans CJK SC" w:cs="Noto Sans CJK SC"/>
          <w:b w:val="0"/>
          <w:i w:val="0"/>
          <w:color w:val="1D2733"/>
          <w:sz w:val="20"/>
        </w:rPr>
        <w:t>使用真实生产级硬件和真实电网峰值信号，而非只做概念仿真；</w:t>
      </w:r>
    </w:p>
    <w:p>
      <w:pPr>
        <w:pStyle w:val="ListBullet"/>
        <w:ind w:hanging="259"/>
      </w:pPr>
      <w:r>
        <w:rPr>
          <w:rFonts w:ascii="Noto Sans CJK SC" w:hAnsi="Noto Sans CJK SC" w:eastAsia="Noto Sans CJK SC" w:cs="Noto Sans CJK SC"/>
          <w:b w:val="0"/>
          <w:i w:val="0"/>
          <w:color w:val="1D2733"/>
          <w:sz w:val="20"/>
        </w:rPr>
        <w:t>由云基础设施、GPU、数据中心和电力行业多方共同参与，增强工程可信度；</w:t>
      </w:r>
    </w:p>
    <w:p>
      <w:pPr>
        <w:pStyle w:val="ListBullet"/>
        <w:ind w:hanging="259"/>
      </w:pPr>
      <w:r>
        <w:rPr>
          <w:rFonts w:ascii="Noto Sans CJK SC" w:hAnsi="Noto Sans CJK SC" w:eastAsia="Noto Sans CJK SC" w:cs="Noto Sans CJK SC"/>
          <w:b w:val="0"/>
          <w:i w:val="0"/>
          <w:color w:val="1D2733"/>
          <w:sz w:val="20"/>
        </w:rPr>
        <w:t>结果能够直接连接技术、并网规划、市场激励和监管政策。</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高影响论文不一定要有最复杂的算法。若一个方法解决的是足够重要的问题，并首次在真实系统中给出简洁、可信、可量化的证据，其影响力可能高于只在基准数据集上把算法指标提高一点的研究。</w:t>
      </w:r>
    </w:p>
    <w:p>
      <w:pPr>
        <w:pStyle w:val="Heading2"/>
      </w:pPr>
      <w:r>
        <w:rPr>
          <w:rFonts w:ascii="Noto Sans CJK SC" w:hAnsi="Noto Sans CJK SC" w:eastAsia="Noto Sans CJK SC" w:cs="Noto Sans CJK SC"/>
          <w:b/>
          <w:i w:val="0"/>
          <w:color w:val="1F4E79"/>
          <w:sz w:val="28"/>
        </w:rPr>
        <w:t>对“数据中心—6G 基站”综述最有价值的用法</w:t>
      </w:r>
    </w:p>
    <w:p>
      <w:pPr>
        <w:keepLines/>
      </w:pPr>
      <w:r>
        <w:rPr>
          <w:rFonts w:ascii="Noto Sans CJK SC" w:hAnsi="Noto Sans CJK SC" w:eastAsia="Noto Sans CJK SC" w:cs="Noto Sans CJK SC"/>
          <w:b w:val="0"/>
          <w:i w:val="0"/>
          <w:color w:val="1D2733"/>
          <w:sz w:val="20"/>
        </w:rPr>
        <w:t>这篇论文最适合作为“</w:t>
      </w:r>
      <w:r>
        <w:rPr>
          <w:rFonts w:ascii="Noto Sans CJK SC" w:hAnsi="Noto Sans CJK SC" w:eastAsia="Noto Sans CJK SC" w:cs="Noto Sans CJK SC"/>
          <w:b/>
          <w:i w:val="0"/>
          <w:color w:val="1D2733"/>
          <w:sz w:val="20"/>
        </w:rPr>
        <w:t>计算/通信负荷也可以成为电网灵活性资源</w:t>
      </w:r>
      <w:r>
        <w:rPr>
          <w:rFonts w:ascii="Noto Sans CJK SC" w:hAnsi="Noto Sans CJK SC" w:eastAsia="Noto Sans CJK SC" w:cs="Noto Sans CJK SC"/>
          <w:b w:val="0"/>
          <w:i w:val="0"/>
          <w:color w:val="1D2733"/>
          <w:sz w:val="20"/>
        </w:rPr>
        <w:t>”的关键实例，而不是作为一般数据中心节能论文来引用。可以从它抽出一个可迁移框架：</w:t>
      </w:r>
    </w:p>
    <w:tbl>
      <w:tblPr>
        <w:tblStyle w:val="TableGrid"/>
        <w:tblW w:type="dxa" w:w="9360"/>
        <w:jc w:val="center"/>
        <w:tblLayout w:type="fixed"/>
        <w:tblLook w:firstColumn="1" w:firstRow="1" w:lastColumn="0" w:lastRow="0" w:noHBand="0" w:noVBand="1" w:val="04A0"/>
        <w:tblInd w:w="120" w:type="dxa"/>
      </w:tblPr>
      <w:tblGrid>
        <w:gridCol w:w="3300"/>
        <w:gridCol w:w="6060"/>
      </w:tblGrid>
      <w:tr>
        <w:trPr>
          <w:tblHeader w:val="true"/>
          <w:cantSplit/>
        </w:trPr>
        <w:tc>
          <w:tcPr>
            <w:tcW w:type="dxa" w:w="3300"/>
            <w:tcMar>
              <w:top w:w="80" w:type="dxa"/>
              <w:start w:w="120" w:type="dxa"/>
              <w:bottom w:w="80" w:type="dxa"/>
              <w:end w:w="120" w:type="dxa"/>
            </w:tcMar>
            <w:vAlign w:val="center"/>
            <w:shd w:fill="1F4E79"/>
          </w:tcPr>
          <w:p>
            <w:pPr>
              <w:spacing w:before="0" w:after="20" w:line="269" w:lineRule="auto"/>
              <w:ind w:firstLine="0"/>
              <w:jc w:val="center"/>
            </w:pPr>
            <w:r>
              <w:rPr>
                <w:rFonts w:ascii="Noto Sans CJK SC" w:hAnsi="Noto Sans CJK SC" w:eastAsia="Noto Sans CJK SC" w:cs="Noto Sans CJK SC"/>
                <w:b/>
                <w:i w:val="0"/>
                <w:color w:val="FFFFFF"/>
                <w:sz w:val="17"/>
              </w:rPr>
              <w:t>数据中心中的做法</w:t>
            </w:r>
          </w:p>
        </w:tc>
        <w:tc>
          <w:tcPr>
            <w:tcW w:type="dxa" w:w="6060"/>
            <w:tcMar>
              <w:top w:w="80" w:type="dxa"/>
              <w:start w:w="120" w:type="dxa"/>
              <w:bottom w:w="80" w:type="dxa"/>
              <w:end w:w="120" w:type="dxa"/>
            </w:tcMar>
            <w:vAlign w:val="center"/>
            <w:shd w:fill="1F4E79"/>
          </w:tcPr>
          <w:p>
            <w:pPr>
              <w:spacing w:before="0" w:after="20" w:line="269" w:lineRule="auto"/>
              <w:ind w:firstLine="0"/>
              <w:jc w:val="left"/>
            </w:pPr>
            <w:r>
              <w:rPr>
                <w:rFonts w:ascii="Noto Sans CJK SC" w:hAnsi="Noto Sans CJK SC" w:eastAsia="Noto Sans CJK SC" w:cs="Noto Sans CJK SC"/>
                <w:b/>
                <w:i w:val="0"/>
                <w:color w:val="FFFFFF"/>
                <w:sz w:val="17"/>
              </w:rPr>
              <w:t>对 6G/边缘基站的对应启示</w:t>
            </w:r>
          </w:p>
        </w:tc>
      </w:tr>
      <w:tr>
        <w:tc>
          <w:tcPr>
            <w:tcW w:type="dxa" w:w="3300"/>
            <w:tcMar>
              <w:top w:w="80" w:type="dxa"/>
              <w:start w:w="120" w:type="dxa"/>
              <w:bottom w:w="80" w:type="dxa"/>
              <w:end w:w="120" w:type="dxa"/>
            </w:tcMar>
            <w:vAlign w:val="center"/>
          </w:tcPr>
          <w:p>
            <w:pPr>
              <w:spacing w:before="0" w:after="20" w:line="269" w:lineRule="auto"/>
              <w:ind w:firstLine="0"/>
              <w:jc w:val="center"/>
            </w:pPr>
            <w:r>
              <w:rPr>
                <w:rFonts w:ascii="Noto Sans CJK SC" w:hAnsi="Noto Sans CJK SC" w:eastAsia="Noto Sans CJK SC" w:cs="Noto Sans CJK SC"/>
                <w:b w:val="0"/>
                <w:i w:val="0"/>
                <w:color w:val="1D2733"/>
                <w:sz w:val="17"/>
              </w:rPr>
              <w:t>按 Flex 0–3 给 AI 作业划分时间灵活性</w:t>
            </w:r>
          </w:p>
        </w:tc>
        <w:tc>
          <w:tcPr>
            <w:tcW w:type="dxa" w:w="6060"/>
            <w:tcMar>
              <w:top w:w="80" w:type="dxa"/>
              <w:start w:w="120" w:type="dxa"/>
              <w:bottom w:w="80" w:type="dxa"/>
              <w:end w:w="120" w:type="dxa"/>
            </w:tcMar>
            <w:vAlign w:val="center"/>
          </w:tcPr>
          <w:p>
            <w:pPr>
              <w:spacing w:before="0" w:after="20" w:line="269" w:lineRule="auto"/>
              <w:ind w:firstLine="0"/>
              <w:jc w:val="left"/>
            </w:pPr>
            <w:r>
              <w:rPr>
                <w:rFonts w:ascii="Noto Sans CJK SC" w:hAnsi="Noto Sans CJK SC" w:eastAsia="Noto Sans CJK SC" w:cs="Noto Sans CJK SC"/>
                <w:b w:val="0"/>
                <w:i w:val="0"/>
                <w:color w:val="1D2733"/>
                <w:sz w:val="17"/>
              </w:rPr>
              <w:t>按业务切片与时延要求区分 URLLC、实时通信、后台计算和可延迟流量</w:t>
            </w:r>
          </w:p>
        </w:tc>
      </w:tr>
      <w:tr>
        <w:tc>
          <w:tcPr>
            <w:tcW w:type="dxa" w:w="3300"/>
            <w:tcMar>
              <w:top w:w="80" w:type="dxa"/>
              <w:start w:w="120" w:type="dxa"/>
              <w:bottom w:w="80" w:type="dxa"/>
              <w:end w:w="120" w:type="dxa"/>
            </w:tcMar>
            <w:vAlign w:val="center"/>
            <w:shd w:fill="F7F9FC"/>
          </w:tcPr>
          <w:p>
            <w:pPr>
              <w:spacing w:before="0" w:after="20" w:line="269" w:lineRule="auto"/>
              <w:ind w:firstLine="0"/>
              <w:jc w:val="center"/>
            </w:pPr>
            <w:r>
              <w:rPr>
                <w:rFonts w:ascii="Noto Sans CJK SC" w:hAnsi="Noto Sans CJK SC" w:eastAsia="Noto Sans CJK SC" w:cs="Noto Sans CJK SC"/>
                <w:b w:val="0"/>
                <w:i w:val="0"/>
                <w:color w:val="1D2733"/>
                <w:sz w:val="17"/>
              </w:rPr>
              <w:t>GPU DVFS、暂停作业、减少 GPU 分配</w:t>
            </w:r>
          </w:p>
        </w:tc>
        <w:tc>
          <w:tcPr>
            <w:tcW w:type="dxa" w:w="6060"/>
            <w:tcMar>
              <w:top w:w="80" w:type="dxa"/>
              <w:start w:w="120" w:type="dxa"/>
              <w:bottom w:w="80" w:type="dxa"/>
              <w:end w:w="120" w:type="dxa"/>
            </w:tcMar>
            <w:vAlign w:val="center"/>
            <w:shd w:fill="F7F9FC"/>
          </w:tcPr>
          <w:p>
            <w:pPr>
              <w:spacing w:before="0" w:after="20" w:line="269" w:lineRule="auto"/>
              <w:ind w:firstLine="0"/>
              <w:jc w:val="left"/>
            </w:pPr>
            <w:r>
              <w:rPr>
                <w:rFonts w:ascii="Noto Sans CJK SC" w:hAnsi="Noto Sans CJK SC" w:eastAsia="Noto Sans CJK SC" w:cs="Noto Sans CJK SC"/>
                <w:b w:val="0"/>
                <w:i w:val="0"/>
                <w:color w:val="1D2733"/>
                <w:sz w:val="17"/>
              </w:rPr>
              <w:t>基站功率控制、载波/射频链路休眠、边缘计算 DVFS、任务卸载与迁移</w:t>
            </w:r>
          </w:p>
        </w:tc>
      </w:tr>
      <w:tr>
        <w:tc>
          <w:tcPr>
            <w:tcW w:type="dxa" w:w="3300"/>
            <w:tcMar>
              <w:top w:w="80" w:type="dxa"/>
              <w:start w:w="120" w:type="dxa"/>
              <w:bottom w:w="80" w:type="dxa"/>
              <w:end w:w="120" w:type="dxa"/>
            </w:tcMar>
            <w:vAlign w:val="center"/>
          </w:tcPr>
          <w:p>
            <w:pPr>
              <w:spacing w:before="0" w:after="20" w:line="269" w:lineRule="auto"/>
              <w:ind w:firstLine="0"/>
              <w:jc w:val="center"/>
            </w:pPr>
            <w:r>
              <w:rPr>
                <w:rFonts w:ascii="Noto Sans CJK SC" w:hAnsi="Noto Sans CJK SC" w:eastAsia="Noto Sans CJK SC" w:cs="Noto Sans CJK SC"/>
                <w:b w:val="0"/>
                <w:i w:val="0"/>
                <w:color w:val="1D2733"/>
                <w:sz w:val="17"/>
              </w:rPr>
              <w:t>在 SLA/QoS 约束下满足电网功率目标</w:t>
            </w:r>
          </w:p>
        </w:tc>
        <w:tc>
          <w:tcPr>
            <w:tcW w:type="dxa" w:w="6060"/>
            <w:tcMar>
              <w:top w:w="80" w:type="dxa"/>
              <w:start w:w="120" w:type="dxa"/>
              <w:bottom w:w="80" w:type="dxa"/>
              <w:end w:w="120" w:type="dxa"/>
            </w:tcMar>
            <w:vAlign w:val="center"/>
          </w:tcPr>
          <w:p>
            <w:pPr>
              <w:spacing w:before="0" w:after="20" w:line="269" w:lineRule="auto"/>
              <w:ind w:firstLine="0"/>
              <w:jc w:val="left"/>
            </w:pPr>
            <w:r>
              <w:rPr>
                <w:rFonts w:ascii="Noto Sans CJK SC" w:hAnsi="Noto Sans CJK SC" w:eastAsia="Noto Sans CJK SC" w:cs="Noto Sans CJK SC"/>
                <w:b w:val="0"/>
                <w:i w:val="0"/>
                <w:color w:val="1D2733"/>
                <w:sz w:val="17"/>
              </w:rPr>
              <w:t>在覆盖率、时延、可靠性和吞吐量约束下提供需求响应</w:t>
            </w:r>
          </w:p>
        </w:tc>
      </w:tr>
      <w:tr>
        <w:tc>
          <w:tcPr>
            <w:tcW w:type="dxa" w:w="3300"/>
            <w:tcMar>
              <w:top w:w="80" w:type="dxa"/>
              <w:start w:w="120" w:type="dxa"/>
              <w:bottom w:w="80" w:type="dxa"/>
              <w:end w:w="120" w:type="dxa"/>
            </w:tcMar>
            <w:vAlign w:val="center"/>
            <w:shd w:fill="F7F9FC"/>
          </w:tcPr>
          <w:p>
            <w:pPr>
              <w:spacing w:before="0" w:after="20" w:line="269" w:lineRule="auto"/>
              <w:ind w:firstLine="0"/>
              <w:jc w:val="center"/>
            </w:pPr>
            <w:r>
              <w:rPr>
                <w:rFonts w:ascii="Noto Sans CJK SC" w:hAnsi="Noto Sans CJK SC" w:eastAsia="Noto Sans CJK SC" w:cs="Noto Sans CJK SC"/>
                <w:b w:val="0"/>
                <w:i w:val="0"/>
                <w:color w:val="1D2733"/>
                <w:sz w:val="17"/>
              </w:rPr>
              <w:t>集中式集群编排器</w:t>
            </w:r>
          </w:p>
        </w:tc>
        <w:tc>
          <w:tcPr>
            <w:tcW w:type="dxa" w:w="6060"/>
            <w:tcMar>
              <w:top w:w="80" w:type="dxa"/>
              <w:start w:w="120" w:type="dxa"/>
              <w:bottom w:w="80" w:type="dxa"/>
              <w:end w:w="120" w:type="dxa"/>
            </w:tcMar>
            <w:vAlign w:val="center"/>
            <w:shd w:fill="F7F9FC"/>
          </w:tcPr>
          <w:p>
            <w:pPr>
              <w:spacing w:before="0" w:after="20" w:line="269" w:lineRule="auto"/>
              <w:ind w:firstLine="0"/>
              <w:jc w:val="left"/>
            </w:pPr>
            <w:r>
              <w:rPr>
                <w:rFonts w:ascii="Noto Sans CJK SC" w:hAnsi="Noto Sans CJK SC" w:eastAsia="Noto Sans CJK SC" w:cs="Noto Sans CJK SC"/>
                <w:b w:val="0"/>
                <w:i w:val="0"/>
                <w:color w:val="1D2733"/>
                <w:sz w:val="17"/>
              </w:rPr>
              <w:t>多基站、边缘节点与数据中心的分层/分布式协同编排</w:t>
            </w:r>
          </w:p>
        </w:tc>
      </w:tr>
      <w:tr>
        <w:tc>
          <w:tcPr>
            <w:tcW w:type="dxa" w:w="3300"/>
            <w:tcMar>
              <w:top w:w="80" w:type="dxa"/>
              <w:start w:w="120" w:type="dxa"/>
              <w:bottom w:w="80" w:type="dxa"/>
              <w:end w:w="120" w:type="dxa"/>
            </w:tcMar>
            <w:vAlign w:val="center"/>
          </w:tcPr>
          <w:p>
            <w:pPr>
              <w:spacing w:before="0" w:after="20" w:line="269" w:lineRule="auto"/>
              <w:ind w:firstLine="0"/>
              <w:jc w:val="center"/>
            </w:pPr>
            <w:r>
              <w:rPr>
                <w:rFonts w:ascii="Noto Sans CJK SC" w:hAnsi="Noto Sans CJK SC" w:eastAsia="Noto Sans CJK SC" w:cs="Noto Sans CJK SC"/>
                <w:b w:val="0"/>
                <w:i w:val="0"/>
                <w:color w:val="1D2733"/>
                <w:sz w:val="17"/>
              </w:rPr>
              <w:t>避免事件后功率反弹</w:t>
            </w:r>
          </w:p>
        </w:tc>
        <w:tc>
          <w:tcPr>
            <w:tcW w:type="dxa" w:w="6060"/>
            <w:tcMar>
              <w:top w:w="80" w:type="dxa"/>
              <w:start w:w="120" w:type="dxa"/>
              <w:bottom w:w="80" w:type="dxa"/>
              <w:end w:w="120" w:type="dxa"/>
            </w:tcMar>
            <w:vAlign w:val="center"/>
          </w:tcPr>
          <w:p>
            <w:pPr>
              <w:spacing w:before="0" w:after="20" w:line="269" w:lineRule="auto"/>
              <w:ind w:firstLine="0"/>
              <w:jc w:val="left"/>
            </w:pPr>
            <w:r>
              <w:rPr>
                <w:rFonts w:ascii="Noto Sans CJK SC" w:hAnsi="Noto Sans CJK SC" w:eastAsia="Noto Sans CJK SC" w:cs="Noto Sans CJK SC"/>
                <w:b w:val="0"/>
                <w:i w:val="0"/>
                <w:color w:val="1D2733"/>
                <w:sz w:val="17"/>
              </w:rPr>
              <w:t>避免业务积压后集中恢复造成新的网络和电力峰值</w:t>
            </w:r>
          </w:p>
        </w:tc>
      </w:tr>
    </w:tbl>
    <w:p>
      <w:pPr>
        <w:spacing w:after="40"/>
      </w:pPr>
    </w:p>
    <w:p>
      <w:pPr>
        <w:keepLines/>
      </w:pPr>
      <w:r>
        <w:rPr>
          <w:rFonts w:ascii="Noto Sans CJK SC" w:hAnsi="Noto Sans CJK SC" w:eastAsia="Noto Sans CJK SC" w:cs="Noto Sans CJK SC"/>
          <w:b w:val="0"/>
          <w:i w:val="0"/>
          <w:color w:val="1D2733"/>
          <w:sz w:val="20"/>
        </w:rPr>
        <w:t>但不能直接把结论照搬到基站：数据中心任务主要是计算进度问题，而基站必须持续保证无线覆盖、连接可靠性和移动用户体验；基站数量多、空间分散、负荷随移动流量变化。因此，6G 场景还需要加入通信网络状态、地理协同和更严格的实时 QoS 约束。</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这篇论文可以给综述提供一个很好的“母框架”：先判断哪些数字任务可以延后，再用软件把这种时间弹性卖给电网。对于 6G，思路相同，但不能直接关掉正在提供关键覆盖的基站；必须把通信可靠性放进控制约束里。</w:t>
      </w:r>
    </w:p>
    <w:p>
      <w:pPr>
        <w:pStyle w:val="Heading2"/>
      </w:pPr>
      <w:r>
        <w:rPr>
          <w:rFonts w:ascii="Noto Sans CJK SC" w:hAnsi="Noto Sans CJK SC" w:eastAsia="Noto Sans CJK SC" w:cs="Noto Sans CJK SC"/>
          <w:b/>
          <w:i w:val="0"/>
          <w:color w:val="1F4E79"/>
          <w:sz w:val="28"/>
        </w:rPr>
        <w:t>阅读下面逐段译文时，请始终记住</w:t>
      </w:r>
    </w:p>
    <w:p>
      <w:pPr>
        <w:keepLines/>
        <w:ind w:firstLine="0"/>
      </w:pPr>
      <w:r>
        <w:rPr>
          <w:rFonts w:ascii="Noto Sans CJK SC" w:hAnsi="Noto Sans CJK SC" w:eastAsia="Noto Sans CJK SC" w:cs="Noto Sans CJK SC"/>
          <w:b/>
          <w:i w:val="0"/>
          <w:color w:val="1D2733"/>
          <w:sz w:val="20"/>
        </w:rPr>
        <w:t>这篇论文的核心贡献是“把 AI 作业的时间灵活性转化为可验证的电网削峰能力”，而不是提出一种让同样 AI 计算在任何情况下都少耗 25% 电能的新算法。</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如果只记住“AI 数据中心能省电 25%”，就读偏了；如果记住“软件可以在不突破不同任务性能合同的前提下，把一部分计算从电网高峰挪开”，就抓住了全文。</w:t>
      </w:r>
    </w:p>
    <w:p>
      <w:pPr>
        <w:pStyle w:val="Heading1"/>
      </w:pPr>
      <w:r>
        <w:rPr>
          <w:rFonts w:ascii="Noto Sans CJK SC" w:hAnsi="Noto Sans CJK SC" w:eastAsia="Noto Sans CJK SC" w:cs="Noto Sans CJK SC"/>
          <w:b/>
          <w:i w:val="0"/>
          <w:color w:val="1F4E79"/>
          <w:sz w:val="34"/>
        </w:rPr>
        <w:t>关键术语速查</w:t>
      </w:r>
    </w:p>
    <w:tbl>
      <w:tblPr>
        <w:tblStyle w:val="TableGrid"/>
        <w:tblW w:type="dxa" w:w="9360"/>
        <w:jc w:val="center"/>
        <w:tblLayout w:type="fixed"/>
        <w:tblLook w:firstColumn="1" w:firstRow="1" w:lastColumn="0" w:lastRow="0" w:noHBand="0" w:noVBand="1" w:val="04A0"/>
        <w:tblInd w:w="120" w:type="dxa"/>
      </w:tblPr>
      <w:tblGrid>
        <w:gridCol w:w="2100"/>
        <w:gridCol w:w="3100"/>
        <w:gridCol w:w="4160"/>
      </w:tblGrid>
      <w:tr>
        <w:trPr>
          <w:tblHeader w:val="true"/>
          <w:cantSplit/>
        </w:trPr>
        <w:tc>
          <w:tcPr>
            <w:tcW w:type="dxa" w:w="2100"/>
            <w:tcMar>
              <w:top w:w="80" w:type="dxa"/>
              <w:start w:w="120" w:type="dxa"/>
              <w:bottom w:w="80" w:type="dxa"/>
              <w:end w:w="120" w:type="dxa"/>
            </w:tcMar>
            <w:vAlign w:val="center"/>
            <w:shd w:fill="1F4E79"/>
          </w:tcPr>
          <w:p>
            <w:pPr>
              <w:spacing w:before="0" w:after="20" w:line="269" w:lineRule="auto"/>
              <w:ind w:firstLine="0"/>
              <w:jc w:val="center"/>
            </w:pPr>
            <w:r>
              <w:rPr>
                <w:rFonts w:ascii="Noto Sans CJK SC" w:hAnsi="Noto Sans CJK SC" w:eastAsia="Noto Sans CJK SC" w:cs="Noto Sans CJK SC"/>
                <w:b/>
                <w:i w:val="0"/>
                <w:color w:val="FFFFFF"/>
                <w:sz w:val="17"/>
              </w:rPr>
              <w:t>术语</w:t>
            </w:r>
          </w:p>
        </w:tc>
        <w:tc>
          <w:tcPr>
            <w:tcW w:type="dxa" w:w="3100"/>
            <w:tcMar>
              <w:top w:w="80" w:type="dxa"/>
              <w:start w:w="120" w:type="dxa"/>
              <w:bottom w:w="80" w:type="dxa"/>
              <w:end w:w="120" w:type="dxa"/>
            </w:tcMar>
            <w:vAlign w:val="center"/>
            <w:shd w:fill="1F4E79"/>
          </w:tcPr>
          <w:p>
            <w:pPr>
              <w:spacing w:before="0" w:after="20" w:line="269" w:lineRule="auto"/>
              <w:ind w:firstLine="0"/>
              <w:jc w:val="left"/>
            </w:pPr>
            <w:r>
              <w:rPr>
                <w:rFonts w:ascii="Noto Sans CJK SC" w:hAnsi="Noto Sans CJK SC" w:eastAsia="Noto Sans CJK SC" w:cs="Noto Sans CJK SC"/>
                <w:b/>
                <w:i w:val="0"/>
                <w:color w:val="FFFFFF"/>
                <w:sz w:val="17"/>
              </w:rPr>
              <w:t>准确含义</w:t>
            </w:r>
          </w:p>
        </w:tc>
        <w:tc>
          <w:tcPr>
            <w:tcW w:type="dxa" w:w="4160"/>
            <w:tcMar>
              <w:top w:w="80" w:type="dxa"/>
              <w:start w:w="120" w:type="dxa"/>
              <w:bottom w:w="80" w:type="dxa"/>
              <w:end w:w="120" w:type="dxa"/>
            </w:tcMar>
            <w:vAlign w:val="center"/>
            <w:shd w:fill="1F4E79"/>
          </w:tcPr>
          <w:p>
            <w:pPr>
              <w:spacing w:before="0" w:after="20" w:line="269" w:lineRule="auto"/>
              <w:ind w:firstLine="0"/>
              <w:jc w:val="left"/>
            </w:pPr>
            <w:r>
              <w:rPr>
                <w:rFonts w:ascii="Noto Sans CJK SC" w:hAnsi="Noto Sans CJK SC" w:eastAsia="Noto Sans CJK SC" w:cs="Noto Sans CJK SC"/>
                <w:b/>
                <w:i w:val="0"/>
                <w:color w:val="FFFFFF"/>
                <w:sz w:val="17"/>
              </w:rPr>
              <w:t>最直观的理解</w:t>
            </w:r>
          </w:p>
        </w:tc>
      </w:tr>
      <w:tr>
        <w:tc>
          <w:tcPr>
            <w:tcW w:type="dxa" w:w="2100"/>
            <w:tcMar>
              <w:top w:w="80" w:type="dxa"/>
              <w:start w:w="120" w:type="dxa"/>
              <w:bottom w:w="80" w:type="dxa"/>
              <w:end w:w="120" w:type="dxa"/>
            </w:tcMar>
            <w:vAlign w:val="center"/>
          </w:tcPr>
          <w:p>
            <w:pPr>
              <w:spacing w:before="0" w:after="20" w:line="269" w:lineRule="auto"/>
              <w:ind w:firstLine="0"/>
              <w:jc w:val="center"/>
            </w:pPr>
            <w:r>
              <w:rPr>
                <w:rFonts w:ascii="Noto Sans CJK SC" w:hAnsi="Noto Sans CJK SC" w:eastAsia="Noto Sans CJK SC" w:cs="Noto Sans CJK SC"/>
                <w:b w:val="0"/>
                <w:i w:val="0"/>
                <w:color w:val="1D2733"/>
                <w:sz w:val="17"/>
              </w:rPr>
              <w:t>Grid-interactive asset（电网互动型资产）</w:t>
            </w:r>
          </w:p>
        </w:tc>
        <w:tc>
          <w:tcPr>
            <w:tcW w:type="dxa" w:w="3100"/>
            <w:tcMar>
              <w:top w:w="80" w:type="dxa"/>
              <w:start w:w="120" w:type="dxa"/>
              <w:bottom w:w="80" w:type="dxa"/>
              <w:end w:w="120" w:type="dxa"/>
            </w:tcMar>
            <w:vAlign w:val="center"/>
          </w:tcPr>
          <w:p>
            <w:pPr>
              <w:spacing w:before="0" w:after="20" w:line="269" w:lineRule="auto"/>
              <w:ind w:firstLine="0"/>
              <w:jc w:val="left"/>
            </w:pPr>
            <w:r>
              <w:rPr>
                <w:rFonts w:ascii="Noto Sans CJK SC" w:hAnsi="Noto Sans CJK SC" w:eastAsia="Noto Sans CJK SC" w:cs="Noto Sans CJK SC"/>
                <w:b w:val="0"/>
                <w:i w:val="0"/>
                <w:color w:val="1D2733"/>
                <w:sz w:val="17"/>
              </w:rPr>
              <w:t>能按照电网需求主动调整负荷的用电资源</w:t>
            </w:r>
          </w:p>
        </w:tc>
        <w:tc>
          <w:tcPr>
            <w:tcW w:type="dxa" w:w="4160"/>
            <w:tcMar>
              <w:top w:w="80" w:type="dxa"/>
              <w:start w:w="120" w:type="dxa"/>
              <w:bottom w:w="80" w:type="dxa"/>
              <w:end w:w="120" w:type="dxa"/>
            </w:tcMar>
            <w:vAlign w:val="center"/>
          </w:tcPr>
          <w:p>
            <w:pPr>
              <w:spacing w:before="0" w:after="20" w:line="269" w:lineRule="auto"/>
              <w:ind w:firstLine="0"/>
              <w:jc w:val="left"/>
            </w:pPr>
            <w:r>
              <w:rPr>
                <w:rFonts w:ascii="Noto Sans CJK SC" w:hAnsi="Noto Sans CJK SC" w:eastAsia="Noto Sans CJK SC" w:cs="Noto Sans CJK SC"/>
                <w:b w:val="0"/>
                <w:i w:val="0"/>
                <w:color w:val="1D2733"/>
                <w:sz w:val="17"/>
              </w:rPr>
              <w:t>不发电，但能在关键时刻少用电</w:t>
            </w:r>
          </w:p>
        </w:tc>
      </w:tr>
      <w:tr>
        <w:tc>
          <w:tcPr>
            <w:tcW w:type="dxa" w:w="2100"/>
            <w:tcMar>
              <w:top w:w="80" w:type="dxa"/>
              <w:start w:w="120" w:type="dxa"/>
              <w:bottom w:w="80" w:type="dxa"/>
              <w:end w:w="120" w:type="dxa"/>
            </w:tcMar>
            <w:vAlign w:val="center"/>
            <w:shd w:fill="F7F9FC"/>
          </w:tcPr>
          <w:p>
            <w:pPr>
              <w:spacing w:before="0" w:after="20" w:line="269" w:lineRule="auto"/>
              <w:ind w:firstLine="0"/>
              <w:jc w:val="center"/>
            </w:pPr>
            <w:r>
              <w:rPr>
                <w:rFonts w:ascii="Noto Sans CJK SC" w:hAnsi="Noto Sans CJK SC" w:eastAsia="Noto Sans CJK SC" w:cs="Noto Sans CJK SC"/>
                <w:b w:val="0"/>
                <w:i w:val="0"/>
                <w:color w:val="1D2733"/>
                <w:sz w:val="17"/>
              </w:rPr>
              <w:t>Demand response（需求响应）</w:t>
            </w:r>
          </w:p>
        </w:tc>
        <w:tc>
          <w:tcPr>
            <w:tcW w:type="dxa" w:w="3100"/>
            <w:tcMar>
              <w:top w:w="80" w:type="dxa"/>
              <w:start w:w="120" w:type="dxa"/>
              <w:bottom w:w="80" w:type="dxa"/>
              <w:end w:w="120" w:type="dxa"/>
            </w:tcMar>
            <w:vAlign w:val="center"/>
            <w:shd w:fill="F7F9FC"/>
          </w:tcPr>
          <w:p>
            <w:pPr>
              <w:spacing w:before="0" w:after="20" w:line="269" w:lineRule="auto"/>
              <w:ind w:firstLine="0"/>
              <w:jc w:val="left"/>
            </w:pPr>
            <w:r>
              <w:rPr>
                <w:rFonts w:ascii="Noto Sans CJK SC" w:hAnsi="Noto Sans CJK SC" w:eastAsia="Noto Sans CJK SC" w:cs="Noto Sans CJK SC"/>
                <w:b w:val="0"/>
                <w:i w:val="0"/>
                <w:color w:val="1D2733"/>
                <w:sz w:val="17"/>
              </w:rPr>
              <w:t>用户根据电网信号临时改变用电</w:t>
            </w:r>
          </w:p>
        </w:tc>
        <w:tc>
          <w:tcPr>
            <w:tcW w:type="dxa" w:w="4160"/>
            <w:tcMar>
              <w:top w:w="80" w:type="dxa"/>
              <w:start w:w="120" w:type="dxa"/>
              <w:bottom w:w="80" w:type="dxa"/>
              <w:end w:w="120" w:type="dxa"/>
            </w:tcMar>
            <w:vAlign w:val="center"/>
            <w:shd w:fill="F7F9FC"/>
          </w:tcPr>
          <w:p>
            <w:pPr>
              <w:spacing w:before="0" w:after="20" w:line="269" w:lineRule="auto"/>
              <w:ind w:firstLine="0"/>
              <w:jc w:val="left"/>
            </w:pPr>
            <w:r>
              <w:rPr>
                <w:rFonts w:ascii="Noto Sans CJK SC" w:hAnsi="Noto Sans CJK SC" w:eastAsia="Noto Sans CJK SC" w:cs="Noto Sans CJK SC"/>
                <w:b w:val="0"/>
                <w:i w:val="0"/>
                <w:color w:val="1D2733"/>
                <w:sz w:val="17"/>
              </w:rPr>
              <w:t>电网高峰时“让电”</w:t>
            </w:r>
          </w:p>
        </w:tc>
      </w:tr>
      <w:tr>
        <w:tc>
          <w:tcPr>
            <w:tcW w:type="dxa" w:w="2100"/>
            <w:tcMar>
              <w:top w:w="80" w:type="dxa"/>
              <w:start w:w="120" w:type="dxa"/>
              <w:bottom w:w="80" w:type="dxa"/>
              <w:end w:w="120" w:type="dxa"/>
            </w:tcMar>
            <w:vAlign w:val="center"/>
          </w:tcPr>
          <w:p>
            <w:pPr>
              <w:spacing w:before="0" w:after="20" w:line="269" w:lineRule="auto"/>
              <w:ind w:firstLine="0"/>
              <w:jc w:val="center"/>
            </w:pPr>
            <w:r>
              <w:rPr>
                <w:rFonts w:ascii="Noto Sans CJK SC" w:hAnsi="Noto Sans CJK SC" w:eastAsia="Noto Sans CJK SC" w:cs="Noto Sans CJK SC"/>
                <w:b w:val="0"/>
                <w:i w:val="0"/>
                <w:color w:val="1D2733"/>
                <w:sz w:val="17"/>
              </w:rPr>
              <w:t>SLA（服务级别协议）</w:t>
            </w:r>
          </w:p>
        </w:tc>
        <w:tc>
          <w:tcPr>
            <w:tcW w:type="dxa" w:w="3100"/>
            <w:tcMar>
              <w:top w:w="80" w:type="dxa"/>
              <w:start w:w="120" w:type="dxa"/>
              <w:bottom w:w="80" w:type="dxa"/>
              <w:end w:w="120" w:type="dxa"/>
            </w:tcMar>
            <w:vAlign w:val="center"/>
          </w:tcPr>
          <w:p>
            <w:pPr>
              <w:spacing w:before="0" w:after="20" w:line="269" w:lineRule="auto"/>
              <w:ind w:firstLine="0"/>
              <w:jc w:val="left"/>
            </w:pPr>
            <w:r>
              <w:rPr>
                <w:rFonts w:ascii="Noto Sans CJK SC" w:hAnsi="Noto Sans CJK SC" w:eastAsia="Noto Sans CJK SC" w:cs="Noto Sans CJK SC"/>
                <w:b w:val="0"/>
                <w:i w:val="0"/>
                <w:color w:val="1D2733"/>
                <w:sz w:val="17"/>
              </w:rPr>
              <w:t>对完成时间、吞吐量或可用性等作出的合同式承诺</w:t>
            </w:r>
          </w:p>
        </w:tc>
        <w:tc>
          <w:tcPr>
            <w:tcW w:type="dxa" w:w="4160"/>
            <w:tcMar>
              <w:top w:w="80" w:type="dxa"/>
              <w:start w:w="120" w:type="dxa"/>
              <w:bottom w:w="80" w:type="dxa"/>
              <w:end w:w="120" w:type="dxa"/>
            </w:tcMar>
            <w:vAlign w:val="center"/>
          </w:tcPr>
          <w:p>
            <w:pPr>
              <w:spacing w:before="0" w:after="20" w:line="269" w:lineRule="auto"/>
              <w:ind w:firstLine="0"/>
              <w:jc w:val="left"/>
            </w:pPr>
            <w:r>
              <w:rPr>
                <w:rFonts w:ascii="Noto Sans CJK SC" w:hAnsi="Noto Sans CJK SC" w:eastAsia="Noto Sans CJK SC" w:cs="Noto Sans CJK SC"/>
                <w:b w:val="0"/>
                <w:i w:val="0"/>
                <w:color w:val="1D2733"/>
                <w:sz w:val="17"/>
              </w:rPr>
              <w:t>任务最多允许慢多少</w:t>
            </w:r>
          </w:p>
        </w:tc>
      </w:tr>
      <w:tr>
        <w:tc>
          <w:tcPr>
            <w:tcW w:type="dxa" w:w="2100"/>
            <w:tcMar>
              <w:top w:w="80" w:type="dxa"/>
              <w:start w:w="120" w:type="dxa"/>
              <w:bottom w:w="80" w:type="dxa"/>
              <w:end w:w="120" w:type="dxa"/>
            </w:tcMar>
            <w:vAlign w:val="center"/>
            <w:shd w:fill="F7F9FC"/>
          </w:tcPr>
          <w:p>
            <w:pPr>
              <w:spacing w:before="0" w:after="20" w:line="269" w:lineRule="auto"/>
              <w:ind w:firstLine="0"/>
              <w:jc w:val="center"/>
            </w:pPr>
            <w:r>
              <w:rPr>
                <w:rFonts w:ascii="Noto Sans CJK SC" w:hAnsi="Noto Sans CJK SC" w:eastAsia="Noto Sans CJK SC" w:cs="Noto Sans CJK SC"/>
                <w:b w:val="0"/>
                <w:i w:val="0"/>
                <w:color w:val="1D2733"/>
                <w:sz w:val="17"/>
              </w:rPr>
              <w:t>QoS（服务质量）</w:t>
            </w:r>
          </w:p>
        </w:tc>
        <w:tc>
          <w:tcPr>
            <w:tcW w:type="dxa" w:w="3100"/>
            <w:tcMar>
              <w:top w:w="80" w:type="dxa"/>
              <w:start w:w="120" w:type="dxa"/>
              <w:bottom w:w="80" w:type="dxa"/>
              <w:end w:w="120" w:type="dxa"/>
            </w:tcMar>
            <w:vAlign w:val="center"/>
            <w:shd w:fill="F7F9FC"/>
          </w:tcPr>
          <w:p>
            <w:pPr>
              <w:spacing w:before="0" w:after="20" w:line="269" w:lineRule="auto"/>
              <w:ind w:firstLine="0"/>
              <w:jc w:val="left"/>
            </w:pPr>
            <w:r>
              <w:rPr>
                <w:rFonts w:ascii="Noto Sans CJK SC" w:hAnsi="Noto Sans CJK SC" w:eastAsia="Noto Sans CJK SC" w:cs="Noto Sans CJK SC"/>
                <w:b w:val="0"/>
                <w:i w:val="0"/>
                <w:color w:val="1D2733"/>
                <w:sz w:val="17"/>
              </w:rPr>
              <w:t>用户实际获得的性能水平</w:t>
            </w:r>
          </w:p>
        </w:tc>
        <w:tc>
          <w:tcPr>
            <w:tcW w:type="dxa" w:w="4160"/>
            <w:tcMar>
              <w:top w:w="80" w:type="dxa"/>
              <w:start w:w="120" w:type="dxa"/>
              <w:bottom w:w="80" w:type="dxa"/>
              <w:end w:w="120" w:type="dxa"/>
            </w:tcMar>
            <w:vAlign w:val="center"/>
            <w:shd w:fill="F7F9FC"/>
          </w:tcPr>
          <w:p>
            <w:pPr>
              <w:spacing w:before="0" w:after="20" w:line="269" w:lineRule="auto"/>
              <w:ind w:firstLine="0"/>
              <w:jc w:val="left"/>
            </w:pPr>
            <w:r>
              <w:rPr>
                <w:rFonts w:ascii="Noto Sans CJK SC" w:hAnsi="Noto Sans CJK SC" w:eastAsia="Noto Sans CJK SC" w:cs="Noto Sans CJK SC"/>
                <w:b w:val="0"/>
                <w:i w:val="0"/>
                <w:color w:val="1D2733"/>
                <w:sz w:val="17"/>
              </w:rPr>
              <w:t>任务有没有慢过承诺下限</w:t>
            </w:r>
          </w:p>
        </w:tc>
      </w:tr>
      <w:tr>
        <w:tc>
          <w:tcPr>
            <w:tcW w:type="dxa" w:w="2100"/>
            <w:tcMar>
              <w:top w:w="80" w:type="dxa"/>
              <w:start w:w="120" w:type="dxa"/>
              <w:bottom w:w="80" w:type="dxa"/>
              <w:end w:w="120" w:type="dxa"/>
            </w:tcMar>
            <w:vAlign w:val="center"/>
          </w:tcPr>
          <w:p>
            <w:pPr>
              <w:spacing w:before="0" w:after="20" w:line="269" w:lineRule="auto"/>
              <w:ind w:firstLine="0"/>
              <w:jc w:val="center"/>
            </w:pPr>
            <w:r>
              <w:rPr>
                <w:rFonts w:ascii="Noto Sans CJK SC" w:hAnsi="Noto Sans CJK SC" w:eastAsia="Noto Sans CJK SC" w:cs="Noto Sans CJK SC"/>
                <w:b w:val="0"/>
                <w:i w:val="0"/>
                <w:color w:val="1D2733"/>
                <w:sz w:val="17"/>
              </w:rPr>
              <w:t>Power capping（功率封顶）</w:t>
            </w:r>
          </w:p>
        </w:tc>
        <w:tc>
          <w:tcPr>
            <w:tcW w:type="dxa" w:w="3100"/>
            <w:tcMar>
              <w:top w:w="80" w:type="dxa"/>
              <w:start w:w="120" w:type="dxa"/>
              <w:bottom w:w="80" w:type="dxa"/>
              <w:end w:w="120" w:type="dxa"/>
            </w:tcMar>
            <w:vAlign w:val="center"/>
          </w:tcPr>
          <w:p>
            <w:pPr>
              <w:spacing w:before="0" w:after="20" w:line="269" w:lineRule="auto"/>
              <w:ind w:firstLine="0"/>
              <w:jc w:val="left"/>
            </w:pPr>
            <w:r>
              <w:rPr>
                <w:rFonts w:ascii="Noto Sans CJK SC" w:hAnsi="Noto Sans CJK SC" w:eastAsia="Noto Sans CJK SC" w:cs="Noto Sans CJK SC"/>
                <w:b w:val="0"/>
                <w:i w:val="0"/>
                <w:color w:val="1D2733"/>
                <w:sz w:val="17"/>
              </w:rPr>
              <w:t>给 GPU 设置最大功率</w:t>
            </w:r>
          </w:p>
        </w:tc>
        <w:tc>
          <w:tcPr>
            <w:tcW w:type="dxa" w:w="4160"/>
            <w:tcMar>
              <w:top w:w="80" w:type="dxa"/>
              <w:start w:w="120" w:type="dxa"/>
              <w:bottom w:w="80" w:type="dxa"/>
              <w:end w:w="120" w:type="dxa"/>
            </w:tcMar>
            <w:vAlign w:val="center"/>
          </w:tcPr>
          <w:p>
            <w:pPr>
              <w:spacing w:before="0" w:after="20" w:line="269" w:lineRule="auto"/>
              <w:ind w:firstLine="0"/>
              <w:jc w:val="left"/>
            </w:pPr>
            <w:r>
              <w:rPr>
                <w:rFonts w:ascii="Noto Sans CJK SC" w:hAnsi="Noto Sans CJK SC" w:eastAsia="Noto Sans CJK SC" w:cs="Noto Sans CJK SC"/>
                <w:b w:val="0"/>
                <w:i w:val="0"/>
                <w:color w:val="1D2733"/>
                <w:sz w:val="17"/>
              </w:rPr>
              <w:t>限定每块 GPU 最多吃多少瓦</w:t>
            </w:r>
          </w:p>
        </w:tc>
      </w:tr>
      <w:tr>
        <w:tc>
          <w:tcPr>
            <w:tcW w:type="dxa" w:w="2100"/>
            <w:tcMar>
              <w:top w:w="80" w:type="dxa"/>
              <w:start w:w="120" w:type="dxa"/>
              <w:bottom w:w="80" w:type="dxa"/>
              <w:end w:w="120" w:type="dxa"/>
            </w:tcMar>
            <w:vAlign w:val="center"/>
            <w:shd w:fill="F7F9FC"/>
          </w:tcPr>
          <w:p>
            <w:pPr>
              <w:spacing w:before="0" w:after="20" w:line="269" w:lineRule="auto"/>
              <w:ind w:firstLine="0"/>
              <w:jc w:val="center"/>
            </w:pPr>
            <w:r>
              <w:rPr>
                <w:rFonts w:ascii="Noto Sans CJK SC" w:hAnsi="Noto Sans CJK SC" w:eastAsia="Noto Sans CJK SC" w:cs="Noto Sans CJK SC"/>
                <w:b w:val="0"/>
                <w:i w:val="0"/>
                <w:color w:val="1D2733"/>
                <w:sz w:val="17"/>
              </w:rPr>
              <w:t>DVFS（动态电压频率调节）</w:t>
            </w:r>
          </w:p>
        </w:tc>
        <w:tc>
          <w:tcPr>
            <w:tcW w:type="dxa" w:w="3100"/>
            <w:tcMar>
              <w:top w:w="80" w:type="dxa"/>
              <w:start w:w="120" w:type="dxa"/>
              <w:bottom w:w="80" w:type="dxa"/>
              <w:end w:w="120" w:type="dxa"/>
            </w:tcMar>
            <w:vAlign w:val="center"/>
            <w:shd w:fill="F7F9FC"/>
          </w:tcPr>
          <w:p>
            <w:pPr>
              <w:spacing w:before="0" w:after="20" w:line="269" w:lineRule="auto"/>
              <w:ind w:firstLine="0"/>
              <w:jc w:val="left"/>
            </w:pPr>
            <w:r>
              <w:rPr>
                <w:rFonts w:ascii="Noto Sans CJK SC" w:hAnsi="Noto Sans CJK SC" w:eastAsia="Noto Sans CJK SC" w:cs="Noto Sans CJK SC"/>
                <w:b w:val="0"/>
                <w:i w:val="0"/>
                <w:color w:val="1D2733"/>
                <w:sz w:val="17"/>
              </w:rPr>
              <w:t>调低电压/频率以减少功率</w:t>
            </w:r>
          </w:p>
        </w:tc>
        <w:tc>
          <w:tcPr>
            <w:tcW w:type="dxa" w:w="4160"/>
            <w:tcMar>
              <w:top w:w="80" w:type="dxa"/>
              <w:start w:w="120" w:type="dxa"/>
              <w:bottom w:w="80" w:type="dxa"/>
              <w:end w:w="120" w:type="dxa"/>
            </w:tcMar>
            <w:vAlign w:val="center"/>
            <w:shd w:fill="F7F9FC"/>
          </w:tcPr>
          <w:p>
            <w:pPr>
              <w:spacing w:before="0" w:after="20" w:line="269" w:lineRule="auto"/>
              <w:ind w:firstLine="0"/>
              <w:jc w:val="left"/>
            </w:pPr>
            <w:r>
              <w:rPr>
                <w:rFonts w:ascii="Noto Sans CJK SC" w:hAnsi="Noto Sans CJK SC" w:eastAsia="Noto Sans CJK SC" w:cs="Noto Sans CJK SC"/>
                <w:b w:val="0"/>
                <w:i w:val="0"/>
                <w:color w:val="1D2733"/>
                <w:sz w:val="17"/>
              </w:rPr>
              <w:t>让 GPU 降速省功率</w:t>
            </w:r>
          </w:p>
        </w:tc>
      </w:tr>
      <w:tr>
        <w:tc>
          <w:tcPr>
            <w:tcW w:type="dxa" w:w="2100"/>
            <w:tcMar>
              <w:top w:w="80" w:type="dxa"/>
              <w:start w:w="120" w:type="dxa"/>
              <w:bottom w:w="80" w:type="dxa"/>
              <w:end w:w="120" w:type="dxa"/>
            </w:tcMar>
            <w:vAlign w:val="center"/>
          </w:tcPr>
          <w:p>
            <w:pPr>
              <w:spacing w:before="0" w:after="20" w:line="269" w:lineRule="auto"/>
              <w:ind w:firstLine="0"/>
              <w:jc w:val="center"/>
            </w:pPr>
            <w:r>
              <w:rPr>
                <w:rFonts w:ascii="Noto Sans CJK SC" w:hAnsi="Noto Sans CJK SC" w:eastAsia="Noto Sans CJK SC" w:cs="Noto Sans CJK SC"/>
                <w:b w:val="0"/>
                <w:i w:val="0"/>
                <w:color w:val="1D2733"/>
                <w:sz w:val="17"/>
              </w:rPr>
              <w:t>Job pausing（作业暂停）</w:t>
            </w:r>
          </w:p>
        </w:tc>
        <w:tc>
          <w:tcPr>
            <w:tcW w:type="dxa" w:w="3100"/>
            <w:tcMar>
              <w:top w:w="80" w:type="dxa"/>
              <w:start w:w="120" w:type="dxa"/>
              <w:bottom w:w="80" w:type="dxa"/>
              <w:end w:w="120" w:type="dxa"/>
            </w:tcMar>
            <w:vAlign w:val="center"/>
          </w:tcPr>
          <w:p>
            <w:pPr>
              <w:spacing w:before="0" w:after="20" w:line="269" w:lineRule="auto"/>
              <w:ind w:firstLine="0"/>
              <w:jc w:val="left"/>
            </w:pPr>
            <w:r>
              <w:rPr>
                <w:rFonts w:ascii="Noto Sans CJK SC" w:hAnsi="Noto Sans CJK SC" w:eastAsia="Noto Sans CJK SC" w:cs="Noto Sans CJK SC"/>
                <w:b w:val="0"/>
                <w:i w:val="0"/>
                <w:color w:val="1D2733"/>
                <w:sz w:val="17"/>
              </w:rPr>
              <w:t>保存进度后临时停止任务</w:t>
            </w:r>
          </w:p>
        </w:tc>
        <w:tc>
          <w:tcPr>
            <w:tcW w:type="dxa" w:w="4160"/>
            <w:tcMar>
              <w:top w:w="80" w:type="dxa"/>
              <w:start w:w="120" w:type="dxa"/>
              <w:bottom w:w="80" w:type="dxa"/>
              <w:end w:w="120" w:type="dxa"/>
            </w:tcMar>
            <w:vAlign w:val="center"/>
          </w:tcPr>
          <w:p>
            <w:pPr>
              <w:spacing w:before="0" w:after="20" w:line="269" w:lineRule="auto"/>
              <w:ind w:firstLine="0"/>
              <w:jc w:val="left"/>
            </w:pPr>
            <w:r>
              <w:rPr>
                <w:rFonts w:ascii="Noto Sans CJK SC" w:hAnsi="Noto Sans CJK SC" w:eastAsia="Noto Sans CJK SC" w:cs="Noto Sans CJK SC"/>
                <w:b w:val="0"/>
                <w:i w:val="0"/>
                <w:color w:val="1D2733"/>
                <w:sz w:val="17"/>
              </w:rPr>
              <w:t>先按暂停，稍后接着算</w:t>
            </w:r>
          </w:p>
        </w:tc>
      </w:tr>
      <w:tr>
        <w:tc>
          <w:tcPr>
            <w:tcW w:type="dxa" w:w="2100"/>
            <w:tcMar>
              <w:top w:w="80" w:type="dxa"/>
              <w:start w:w="120" w:type="dxa"/>
              <w:bottom w:w="80" w:type="dxa"/>
              <w:end w:w="120" w:type="dxa"/>
            </w:tcMar>
            <w:vAlign w:val="center"/>
            <w:shd w:fill="F7F9FC"/>
          </w:tcPr>
          <w:p>
            <w:pPr>
              <w:spacing w:before="0" w:after="20" w:line="269" w:lineRule="auto"/>
              <w:ind w:firstLine="0"/>
              <w:jc w:val="center"/>
            </w:pPr>
            <w:r>
              <w:rPr>
                <w:rFonts w:ascii="Noto Sans CJK SC" w:hAnsi="Noto Sans CJK SC" w:eastAsia="Noto Sans CJK SC" w:cs="Noto Sans CJK SC"/>
                <w:b w:val="0"/>
                <w:i w:val="0"/>
                <w:color w:val="1D2733"/>
                <w:sz w:val="17"/>
              </w:rPr>
              <w:t>Resource reallocation（资源重新分配）</w:t>
            </w:r>
          </w:p>
        </w:tc>
        <w:tc>
          <w:tcPr>
            <w:tcW w:type="dxa" w:w="3100"/>
            <w:tcMar>
              <w:top w:w="80" w:type="dxa"/>
              <w:start w:w="120" w:type="dxa"/>
              <w:bottom w:w="80" w:type="dxa"/>
              <w:end w:w="120" w:type="dxa"/>
            </w:tcMar>
            <w:vAlign w:val="center"/>
            <w:shd w:fill="F7F9FC"/>
          </w:tcPr>
          <w:p>
            <w:pPr>
              <w:spacing w:before="0" w:after="20" w:line="269" w:lineRule="auto"/>
              <w:ind w:firstLine="0"/>
              <w:jc w:val="left"/>
            </w:pPr>
            <w:r>
              <w:rPr>
                <w:rFonts w:ascii="Noto Sans CJK SC" w:hAnsi="Noto Sans CJK SC" w:eastAsia="Noto Sans CJK SC" w:cs="Noto Sans CJK SC"/>
                <w:b w:val="0"/>
                <w:i w:val="0"/>
                <w:color w:val="1D2733"/>
                <w:sz w:val="17"/>
              </w:rPr>
              <w:t>改变某任务占用的 GPU 数量</w:t>
            </w:r>
          </w:p>
        </w:tc>
        <w:tc>
          <w:tcPr>
            <w:tcW w:type="dxa" w:w="4160"/>
            <w:tcMar>
              <w:top w:w="80" w:type="dxa"/>
              <w:start w:w="120" w:type="dxa"/>
              <w:bottom w:w="80" w:type="dxa"/>
              <w:end w:w="120" w:type="dxa"/>
            </w:tcMar>
            <w:vAlign w:val="center"/>
            <w:shd w:fill="F7F9FC"/>
          </w:tcPr>
          <w:p>
            <w:pPr>
              <w:spacing w:before="0" w:after="20" w:line="269" w:lineRule="auto"/>
              <w:ind w:firstLine="0"/>
              <w:jc w:val="left"/>
            </w:pPr>
            <w:r>
              <w:rPr>
                <w:rFonts w:ascii="Noto Sans CJK SC" w:hAnsi="Noto Sans CJK SC" w:eastAsia="Noto Sans CJK SC" w:cs="Noto Sans CJK SC"/>
                <w:b w:val="0"/>
                <w:i w:val="0"/>
                <w:color w:val="1D2733"/>
                <w:sz w:val="17"/>
              </w:rPr>
              <w:t>给不紧急任务少分几块 GPU</w:t>
            </w:r>
          </w:p>
        </w:tc>
      </w:tr>
      <w:tr>
        <w:tc>
          <w:tcPr>
            <w:tcW w:type="dxa" w:w="2100"/>
            <w:tcMar>
              <w:top w:w="80" w:type="dxa"/>
              <w:start w:w="120" w:type="dxa"/>
              <w:bottom w:w="80" w:type="dxa"/>
              <w:end w:w="120" w:type="dxa"/>
            </w:tcMar>
            <w:vAlign w:val="center"/>
          </w:tcPr>
          <w:p>
            <w:pPr>
              <w:spacing w:before="0" w:after="20" w:line="269" w:lineRule="auto"/>
              <w:ind w:firstLine="0"/>
              <w:jc w:val="center"/>
            </w:pPr>
            <w:r>
              <w:rPr>
                <w:rFonts w:ascii="Noto Sans CJK SC" w:hAnsi="Noto Sans CJK SC" w:eastAsia="Noto Sans CJK SC" w:cs="Noto Sans CJK SC"/>
                <w:b w:val="0"/>
                <w:i w:val="0"/>
                <w:color w:val="1D2733"/>
                <w:sz w:val="17"/>
              </w:rPr>
              <w:t>Checkpoint（检查点）</w:t>
            </w:r>
          </w:p>
        </w:tc>
        <w:tc>
          <w:tcPr>
            <w:tcW w:type="dxa" w:w="3100"/>
            <w:tcMar>
              <w:top w:w="80" w:type="dxa"/>
              <w:start w:w="120" w:type="dxa"/>
              <w:bottom w:w="80" w:type="dxa"/>
              <w:end w:w="120" w:type="dxa"/>
            </w:tcMar>
            <w:vAlign w:val="center"/>
          </w:tcPr>
          <w:p>
            <w:pPr>
              <w:spacing w:before="0" w:after="20" w:line="269" w:lineRule="auto"/>
              <w:ind w:firstLine="0"/>
              <w:jc w:val="left"/>
            </w:pPr>
            <w:r>
              <w:rPr>
                <w:rFonts w:ascii="Noto Sans CJK SC" w:hAnsi="Noto Sans CJK SC" w:eastAsia="Noto Sans CJK SC" w:cs="Noto Sans CJK SC"/>
                <w:b w:val="0"/>
                <w:i w:val="0"/>
                <w:color w:val="1D2733"/>
                <w:sz w:val="17"/>
              </w:rPr>
              <w:t>保存训练状态以便恢复</w:t>
            </w:r>
          </w:p>
        </w:tc>
        <w:tc>
          <w:tcPr>
            <w:tcW w:type="dxa" w:w="4160"/>
            <w:tcMar>
              <w:top w:w="80" w:type="dxa"/>
              <w:start w:w="120" w:type="dxa"/>
              <w:bottom w:w="80" w:type="dxa"/>
              <w:end w:w="120" w:type="dxa"/>
            </w:tcMar>
            <w:vAlign w:val="center"/>
          </w:tcPr>
          <w:p>
            <w:pPr>
              <w:spacing w:before="0" w:after="20" w:line="269" w:lineRule="auto"/>
              <w:ind w:firstLine="0"/>
              <w:jc w:val="left"/>
            </w:pPr>
            <w:r>
              <w:rPr>
                <w:rFonts w:ascii="Noto Sans CJK SC" w:hAnsi="Noto Sans CJK SC" w:eastAsia="Noto Sans CJK SC" w:cs="Noto Sans CJK SC"/>
                <w:b w:val="0"/>
                <w:i w:val="0"/>
                <w:color w:val="1D2733"/>
                <w:sz w:val="17"/>
              </w:rPr>
              <w:t>给长任务“存档”</w:t>
            </w:r>
          </w:p>
        </w:tc>
      </w:tr>
      <w:tr>
        <w:tc>
          <w:tcPr>
            <w:tcW w:type="dxa" w:w="2100"/>
            <w:tcMar>
              <w:top w:w="80" w:type="dxa"/>
              <w:start w:w="120" w:type="dxa"/>
              <w:bottom w:w="80" w:type="dxa"/>
              <w:end w:w="120" w:type="dxa"/>
            </w:tcMar>
            <w:vAlign w:val="center"/>
            <w:shd w:fill="F7F9FC"/>
          </w:tcPr>
          <w:p>
            <w:pPr>
              <w:spacing w:before="0" w:after="20" w:line="269" w:lineRule="auto"/>
              <w:ind w:firstLine="0"/>
              <w:jc w:val="center"/>
            </w:pPr>
            <w:r>
              <w:rPr>
                <w:rFonts w:ascii="Noto Sans CJK SC" w:hAnsi="Noto Sans CJK SC" w:eastAsia="Noto Sans CJK SC" w:cs="Noto Sans CJK SC"/>
                <w:b w:val="0"/>
                <w:i w:val="0"/>
                <w:color w:val="1D2733"/>
                <w:sz w:val="17"/>
              </w:rPr>
              <w:t>Curtailment（负荷削减）</w:t>
            </w:r>
          </w:p>
        </w:tc>
        <w:tc>
          <w:tcPr>
            <w:tcW w:type="dxa" w:w="3100"/>
            <w:tcMar>
              <w:top w:w="80" w:type="dxa"/>
              <w:start w:w="120" w:type="dxa"/>
              <w:bottom w:w="80" w:type="dxa"/>
              <w:end w:w="120" w:type="dxa"/>
            </w:tcMar>
            <w:vAlign w:val="center"/>
            <w:shd w:fill="F7F9FC"/>
          </w:tcPr>
          <w:p>
            <w:pPr>
              <w:spacing w:before="0" w:after="20" w:line="269" w:lineRule="auto"/>
              <w:ind w:firstLine="0"/>
              <w:jc w:val="left"/>
            </w:pPr>
            <w:r>
              <w:rPr>
                <w:rFonts w:ascii="Noto Sans CJK SC" w:hAnsi="Noto Sans CJK SC" w:eastAsia="Noto Sans CJK SC" w:cs="Noto Sans CJK SC"/>
                <w:b w:val="0"/>
                <w:i w:val="0"/>
                <w:color w:val="1D2733"/>
                <w:sz w:val="17"/>
              </w:rPr>
              <w:t>在指定时段把功率降到目标值</w:t>
            </w:r>
          </w:p>
        </w:tc>
        <w:tc>
          <w:tcPr>
            <w:tcW w:type="dxa" w:w="4160"/>
            <w:tcMar>
              <w:top w:w="80" w:type="dxa"/>
              <w:start w:w="120" w:type="dxa"/>
              <w:bottom w:w="80" w:type="dxa"/>
              <w:end w:w="120" w:type="dxa"/>
            </w:tcMar>
            <w:vAlign w:val="center"/>
            <w:shd w:fill="F7F9FC"/>
          </w:tcPr>
          <w:p>
            <w:pPr>
              <w:spacing w:before="0" w:after="20" w:line="269" w:lineRule="auto"/>
              <w:ind w:firstLine="0"/>
              <w:jc w:val="left"/>
            </w:pPr>
            <w:r>
              <w:rPr>
                <w:rFonts w:ascii="Noto Sans CJK SC" w:hAnsi="Noto Sans CJK SC" w:eastAsia="Noto Sans CJK SC" w:cs="Noto Sans CJK SC"/>
                <w:b w:val="0"/>
                <w:i w:val="0"/>
                <w:color w:val="1D2733"/>
                <w:sz w:val="17"/>
              </w:rPr>
              <w:t>高峰期临时少用电</w:t>
            </w:r>
          </w:p>
        </w:tc>
      </w:tr>
      <w:tr>
        <w:tc>
          <w:tcPr>
            <w:tcW w:type="dxa" w:w="2100"/>
            <w:tcMar>
              <w:top w:w="80" w:type="dxa"/>
              <w:start w:w="120" w:type="dxa"/>
              <w:bottom w:w="80" w:type="dxa"/>
              <w:end w:w="120" w:type="dxa"/>
            </w:tcMar>
            <w:vAlign w:val="center"/>
          </w:tcPr>
          <w:p>
            <w:pPr>
              <w:spacing w:before="0" w:after="20" w:line="269" w:lineRule="auto"/>
              <w:ind w:firstLine="0"/>
              <w:jc w:val="center"/>
            </w:pPr>
            <w:r>
              <w:rPr>
                <w:rFonts w:ascii="Noto Sans CJK SC" w:hAnsi="Noto Sans CJK SC" w:eastAsia="Noto Sans CJK SC" w:cs="Noto Sans CJK SC"/>
                <w:b w:val="0"/>
                <w:i w:val="0"/>
                <w:color w:val="1D2733"/>
                <w:sz w:val="17"/>
              </w:rPr>
              <w:t>Baseline（基线）</w:t>
            </w:r>
          </w:p>
        </w:tc>
        <w:tc>
          <w:tcPr>
            <w:tcW w:type="dxa" w:w="3100"/>
            <w:tcMar>
              <w:top w:w="80" w:type="dxa"/>
              <w:start w:w="120" w:type="dxa"/>
              <w:bottom w:w="80" w:type="dxa"/>
              <w:end w:w="120" w:type="dxa"/>
            </w:tcMar>
            <w:vAlign w:val="center"/>
          </w:tcPr>
          <w:p>
            <w:pPr>
              <w:spacing w:before="0" w:after="20" w:line="269" w:lineRule="auto"/>
              <w:ind w:firstLine="0"/>
              <w:jc w:val="left"/>
            </w:pPr>
            <w:r>
              <w:rPr>
                <w:rFonts w:ascii="Noto Sans CJK SC" w:hAnsi="Noto Sans CJK SC" w:eastAsia="Noto Sans CJK SC" w:cs="Noto Sans CJK SC"/>
                <w:b w:val="0"/>
                <w:i w:val="0"/>
                <w:color w:val="1D2733"/>
                <w:sz w:val="17"/>
              </w:rPr>
              <w:t>未采取控制时的参照功率</w:t>
            </w:r>
          </w:p>
        </w:tc>
        <w:tc>
          <w:tcPr>
            <w:tcW w:type="dxa" w:w="4160"/>
            <w:tcMar>
              <w:top w:w="80" w:type="dxa"/>
              <w:start w:w="120" w:type="dxa"/>
              <w:bottom w:w="80" w:type="dxa"/>
              <w:end w:w="120" w:type="dxa"/>
            </w:tcMar>
            <w:vAlign w:val="center"/>
          </w:tcPr>
          <w:p>
            <w:pPr>
              <w:spacing w:before="0" w:after="20" w:line="269" w:lineRule="auto"/>
              <w:ind w:firstLine="0"/>
              <w:jc w:val="left"/>
            </w:pPr>
            <w:r>
              <w:rPr>
                <w:rFonts w:ascii="Noto Sans CJK SC" w:hAnsi="Noto Sans CJK SC" w:eastAsia="Noto Sans CJK SC" w:cs="Noto Sans CJK SC"/>
                <w:b w:val="0"/>
                <w:i w:val="0"/>
                <w:color w:val="1D2733"/>
                <w:sz w:val="17"/>
              </w:rPr>
              <w:t>“本来会用多少电”的比较标准</w:t>
            </w:r>
          </w:p>
        </w:tc>
      </w:tr>
      <w:tr>
        <w:tc>
          <w:tcPr>
            <w:tcW w:type="dxa" w:w="2100"/>
            <w:tcMar>
              <w:top w:w="80" w:type="dxa"/>
              <w:start w:w="120" w:type="dxa"/>
              <w:bottom w:w="80" w:type="dxa"/>
              <w:end w:w="120" w:type="dxa"/>
            </w:tcMar>
            <w:vAlign w:val="center"/>
            <w:shd w:fill="F7F9FC"/>
          </w:tcPr>
          <w:p>
            <w:pPr>
              <w:spacing w:before="0" w:after="20" w:line="269" w:lineRule="auto"/>
              <w:ind w:firstLine="0"/>
              <w:jc w:val="center"/>
            </w:pPr>
            <w:r>
              <w:rPr>
                <w:rFonts w:ascii="Noto Sans CJK SC" w:hAnsi="Noto Sans CJK SC" w:eastAsia="Noto Sans CJK SC" w:cs="Noto Sans CJK SC"/>
                <w:b w:val="0"/>
                <w:i w:val="0"/>
                <w:color w:val="1D2733"/>
                <w:sz w:val="17"/>
              </w:rPr>
              <w:t>Snap back（功率反弹）</w:t>
            </w:r>
          </w:p>
        </w:tc>
        <w:tc>
          <w:tcPr>
            <w:tcW w:type="dxa" w:w="3100"/>
            <w:tcMar>
              <w:top w:w="80" w:type="dxa"/>
              <w:start w:w="120" w:type="dxa"/>
              <w:bottom w:w="80" w:type="dxa"/>
              <w:end w:w="120" w:type="dxa"/>
            </w:tcMar>
            <w:vAlign w:val="center"/>
            <w:shd w:fill="F7F9FC"/>
          </w:tcPr>
          <w:p>
            <w:pPr>
              <w:spacing w:before="0" w:after="20" w:line="269" w:lineRule="auto"/>
              <w:ind w:firstLine="0"/>
              <w:jc w:val="left"/>
            </w:pPr>
            <w:r>
              <w:rPr>
                <w:rFonts w:ascii="Noto Sans CJK SC" w:hAnsi="Noto Sans CJK SC" w:eastAsia="Noto Sans CJK SC" w:cs="Noto Sans CJK SC"/>
                <w:b w:val="0"/>
                <w:i w:val="0"/>
                <w:color w:val="1D2733"/>
                <w:sz w:val="17"/>
              </w:rPr>
              <w:t>事件结束后积压任务同时恢复造成新峰值</w:t>
            </w:r>
          </w:p>
        </w:tc>
        <w:tc>
          <w:tcPr>
            <w:tcW w:type="dxa" w:w="4160"/>
            <w:tcMar>
              <w:top w:w="80" w:type="dxa"/>
              <w:start w:w="120" w:type="dxa"/>
              <w:bottom w:w="80" w:type="dxa"/>
              <w:end w:w="120" w:type="dxa"/>
            </w:tcMar>
            <w:vAlign w:val="center"/>
            <w:shd w:fill="F7F9FC"/>
          </w:tcPr>
          <w:p>
            <w:pPr>
              <w:spacing w:before="0" w:after="20" w:line="269" w:lineRule="auto"/>
              <w:ind w:firstLine="0"/>
              <w:jc w:val="left"/>
            </w:pPr>
            <w:r>
              <w:rPr>
                <w:rFonts w:ascii="Noto Sans CJK SC" w:hAnsi="Noto Sans CJK SC" w:eastAsia="Noto Sans CJK SC" w:cs="Noto Sans CJK SC"/>
                <w:b w:val="0"/>
                <w:i w:val="0"/>
                <w:color w:val="1D2733"/>
                <w:sz w:val="17"/>
              </w:rPr>
              <w:t>让完电后突然报复性用电</w:t>
            </w:r>
          </w:p>
        </w:tc>
      </w:tr>
      <w:tr>
        <w:tc>
          <w:tcPr>
            <w:tcW w:type="dxa" w:w="2100"/>
            <w:tcMar>
              <w:top w:w="80" w:type="dxa"/>
              <w:start w:w="120" w:type="dxa"/>
              <w:bottom w:w="80" w:type="dxa"/>
              <w:end w:w="120" w:type="dxa"/>
            </w:tcMar>
            <w:vAlign w:val="center"/>
          </w:tcPr>
          <w:p>
            <w:pPr>
              <w:spacing w:before="0" w:after="20" w:line="269" w:lineRule="auto"/>
              <w:ind w:firstLine="0"/>
              <w:jc w:val="center"/>
            </w:pPr>
            <w:r>
              <w:rPr>
                <w:rFonts w:ascii="Noto Sans CJK SC" w:hAnsi="Noto Sans CJK SC" w:eastAsia="Noto Sans CJK SC" w:cs="Noto Sans CJK SC"/>
                <w:b w:val="0"/>
                <w:i w:val="0"/>
                <w:color w:val="1D2733"/>
                <w:sz w:val="17"/>
              </w:rPr>
              <w:t>Throughput（吞吐量）</w:t>
            </w:r>
          </w:p>
        </w:tc>
        <w:tc>
          <w:tcPr>
            <w:tcW w:type="dxa" w:w="3100"/>
            <w:tcMar>
              <w:top w:w="80" w:type="dxa"/>
              <w:start w:w="120" w:type="dxa"/>
              <w:bottom w:w="80" w:type="dxa"/>
              <w:end w:w="120" w:type="dxa"/>
            </w:tcMar>
            <w:vAlign w:val="center"/>
          </w:tcPr>
          <w:p>
            <w:pPr>
              <w:spacing w:before="0" w:after="20" w:line="269" w:lineRule="auto"/>
              <w:ind w:firstLine="0"/>
              <w:jc w:val="left"/>
            </w:pPr>
            <w:r>
              <w:rPr>
                <w:rFonts w:ascii="Noto Sans CJK SC" w:hAnsi="Noto Sans CJK SC" w:eastAsia="Noto Sans CJK SC" w:cs="Noto Sans CJK SC"/>
                <w:b w:val="0"/>
                <w:i w:val="0"/>
                <w:color w:val="1D2733"/>
                <w:sz w:val="17"/>
              </w:rPr>
              <w:t>单位时间完成的计算量</w:t>
            </w:r>
          </w:p>
        </w:tc>
        <w:tc>
          <w:tcPr>
            <w:tcW w:type="dxa" w:w="4160"/>
            <w:tcMar>
              <w:top w:w="80" w:type="dxa"/>
              <w:start w:w="120" w:type="dxa"/>
              <w:bottom w:w="80" w:type="dxa"/>
              <w:end w:w="120" w:type="dxa"/>
            </w:tcMar>
            <w:vAlign w:val="center"/>
          </w:tcPr>
          <w:p>
            <w:pPr>
              <w:spacing w:before="0" w:after="20" w:line="269" w:lineRule="auto"/>
              <w:ind w:firstLine="0"/>
              <w:jc w:val="left"/>
            </w:pPr>
            <w:r>
              <w:rPr>
                <w:rFonts w:ascii="Noto Sans CJK SC" w:hAnsi="Noto Sans CJK SC" w:eastAsia="Noto Sans CJK SC" w:cs="Noto Sans CJK SC"/>
                <w:b w:val="0"/>
                <w:i w:val="0"/>
                <w:color w:val="1D2733"/>
                <w:sz w:val="17"/>
              </w:rPr>
              <w:t>任务运行速度</w:t>
            </w:r>
          </w:p>
        </w:tc>
      </w:tr>
      <w:tr>
        <w:tc>
          <w:tcPr>
            <w:tcW w:type="dxa" w:w="2100"/>
            <w:tcMar>
              <w:top w:w="80" w:type="dxa"/>
              <w:start w:w="120" w:type="dxa"/>
              <w:bottom w:w="80" w:type="dxa"/>
              <w:end w:w="120" w:type="dxa"/>
            </w:tcMar>
            <w:vAlign w:val="center"/>
            <w:shd w:fill="F7F9FC"/>
          </w:tcPr>
          <w:p>
            <w:pPr>
              <w:spacing w:before="0" w:after="20" w:line="269" w:lineRule="auto"/>
              <w:ind w:firstLine="0"/>
              <w:jc w:val="center"/>
            </w:pPr>
            <w:r>
              <w:rPr>
                <w:rFonts w:ascii="Noto Sans CJK SC" w:hAnsi="Noto Sans CJK SC" w:eastAsia="Noto Sans CJK SC" w:cs="Noto Sans CJK SC"/>
                <w:b w:val="0"/>
                <w:i w:val="0"/>
                <w:color w:val="1D2733"/>
                <w:sz w:val="17"/>
              </w:rPr>
              <w:t>RMSE（均方根误差）</w:t>
            </w:r>
          </w:p>
        </w:tc>
        <w:tc>
          <w:tcPr>
            <w:tcW w:type="dxa" w:w="3100"/>
            <w:tcMar>
              <w:top w:w="80" w:type="dxa"/>
              <w:start w:w="120" w:type="dxa"/>
              <w:bottom w:w="80" w:type="dxa"/>
              <w:end w:w="120" w:type="dxa"/>
            </w:tcMar>
            <w:vAlign w:val="center"/>
            <w:shd w:fill="F7F9FC"/>
          </w:tcPr>
          <w:p>
            <w:pPr>
              <w:spacing w:before="0" w:after="20" w:line="269" w:lineRule="auto"/>
              <w:ind w:firstLine="0"/>
              <w:jc w:val="left"/>
            </w:pPr>
            <w:r>
              <w:rPr>
                <w:rFonts w:ascii="Noto Sans CJK SC" w:hAnsi="Noto Sans CJK SC" w:eastAsia="Noto Sans CJK SC" w:cs="Noto Sans CJK SC"/>
                <w:b w:val="0"/>
                <w:i w:val="0"/>
                <w:color w:val="1D2733"/>
                <w:sz w:val="17"/>
              </w:rPr>
              <w:t>汇总预测值与实测值偏差的指标</w:t>
            </w:r>
          </w:p>
        </w:tc>
        <w:tc>
          <w:tcPr>
            <w:tcW w:type="dxa" w:w="4160"/>
            <w:tcMar>
              <w:top w:w="80" w:type="dxa"/>
              <w:start w:w="120" w:type="dxa"/>
              <w:bottom w:w="80" w:type="dxa"/>
              <w:end w:w="120" w:type="dxa"/>
            </w:tcMar>
            <w:vAlign w:val="center"/>
            <w:shd w:fill="F7F9FC"/>
          </w:tcPr>
          <w:p>
            <w:pPr>
              <w:spacing w:before="0" w:after="20" w:line="269" w:lineRule="auto"/>
              <w:ind w:firstLine="0"/>
              <w:jc w:val="left"/>
            </w:pPr>
            <w:r>
              <w:rPr>
                <w:rFonts w:ascii="Noto Sans CJK SC" w:hAnsi="Noto Sans CJK SC" w:eastAsia="Noto Sans CJK SC" w:cs="Noto Sans CJK SC"/>
                <w:b w:val="0"/>
                <w:i w:val="0"/>
                <w:color w:val="1D2733"/>
                <w:sz w:val="17"/>
              </w:rPr>
              <w:t>模拟器平均偏得多不多，但不是准确率</w:t>
            </w:r>
          </w:p>
        </w:tc>
      </w:tr>
    </w:tbl>
    <w:p>
      <w:pPr>
        <w:spacing w:after="40"/>
      </w:pP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全文最关键的两个词是“灵活性”和“SLA”。前者表示任务可以在时间上让出多少空间，后者给这种让步划出不能越过的边界。平台的任务就是在这条边界内，把可让出的计算功率变成电网可调用的削峰能力。</w:t>
      </w:r>
    </w:p>
    <w:p>
      <w:pPr>
        <w:pStyle w:val="Heading1"/>
      </w:pPr>
      <w:r>
        <w:rPr>
          <w:rFonts w:ascii="Noto Sans CJK SC" w:hAnsi="Noto Sans CJK SC" w:eastAsia="Noto Sans CJK SC" w:cs="Noto Sans CJK SC"/>
          <w:b/>
          <w:i w:val="0"/>
          <w:color w:val="1F4E79"/>
          <w:sz w:val="34"/>
        </w:rPr>
        <w:t>全文逐段翻译与通俗解读</w:t>
      </w:r>
    </w:p>
    <w:p>
      <w:pPr>
        <w:pStyle w:val="Layman"/>
        <w:shd w:fill="EFF6FF"/>
        <w:pBdr>
          <w:left w:val="single" w:sz="18" w:space="8" w:color="1F6FEB"/>
        </w:pBdr>
      </w:pPr>
      <w:r>
        <w:rPr>
          <w:rFonts w:ascii="Noto Sans CJK SC" w:hAnsi="Noto Sans CJK SC" w:eastAsia="Noto Sans CJK SC" w:cs="Noto Sans CJK SC"/>
          <w:b/>
          <w:i w:val="0"/>
          <w:color w:val="0070C0"/>
          <w:sz w:val="20"/>
        </w:rPr>
        <w:t>说明：</w:t>
      </w:r>
      <w:r>
        <w:rPr>
          <w:rFonts w:ascii="Noto Sans CJK SC" w:hAnsi="Noto Sans CJK SC" w:eastAsia="Noto Sans CJK SC" w:cs="Noto Sans CJK SC"/>
          <w:b w:val="0"/>
          <w:i w:val="0"/>
          <w:color w:val="0070C0"/>
          <w:sz w:val="20"/>
        </w:rPr>
        <w:t xml:space="preserve"> 译文按原论文顺序呈现，并保留参考文献序号。每个正文段落、图表或方法段落之后均紧跟蓝色通俗解释。原文的双栏跨页排版已恢复为正常阅读顺序。</w:t>
      </w:r>
    </w:p>
    <w:p>
      <w:pPr>
        <w:pStyle w:val="Heading2"/>
      </w:pPr>
      <w:r>
        <w:rPr>
          <w:rFonts w:ascii="Noto Sans CJK SC" w:hAnsi="Noto Sans CJK SC" w:eastAsia="Noto Sans CJK SC" w:cs="Noto Sans CJK SC"/>
          <w:b/>
          <w:i w:val="0"/>
          <w:color w:val="1F4E79"/>
          <w:sz w:val="28"/>
        </w:rPr>
        <w:t>论文基本信息</w:t>
      </w:r>
    </w:p>
    <w:p>
      <w:pPr>
        <w:keepLines/>
      </w:pPr>
      <w:r>
        <w:rPr>
          <w:rFonts w:ascii="Noto Sans CJK SC" w:hAnsi="Noto Sans CJK SC" w:eastAsia="Noto Sans CJK SC" w:cs="Noto Sans CJK SC"/>
          <w:b/>
          <w:i w:val="0"/>
          <w:color w:val="1D2733"/>
          <w:sz w:val="20"/>
        </w:rPr>
        <w:t>题目：作为电网互动型资产的人工智能数据中心</w:t>
      </w:r>
      <w:r>
        <w:rPr>
          <w:rFonts w:ascii="Noto Sans CJK SC" w:hAnsi="Noto Sans CJK SC" w:eastAsia="Noto Sans CJK SC" w:cs="Noto Sans CJK SC"/>
          <w:b w:val="0"/>
          <w:i w:val="0"/>
          <w:color w:val="1D2733"/>
          <w:sz w:val="20"/>
        </w:rPr>
        <w:t xml:space="preserve"> （AI data centres as grid-interactive assets）</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题目中的“资产”不是指数据中心变成了电力公司的财产，而是说它不再只是一个不停耗电的“大用户”，还可以在电网紧张时主动少用一部分电，像一种可以被调度的电网资源。这里的核心对象是数据中心的</w:t>
      </w:r>
      <w:r>
        <w:rPr>
          <w:rFonts w:ascii="Noto Sans CJK SC" w:hAnsi="Noto Sans CJK SC" w:eastAsia="Noto Sans CJK SC" w:cs="Noto Sans CJK SC"/>
          <w:b/>
          <w:i w:val="0"/>
          <w:color w:val="0070C0"/>
          <w:sz w:val="20"/>
        </w:rPr>
        <w:t>用电功率</w:t>
      </w:r>
      <w:r>
        <w:rPr>
          <w:rFonts w:ascii="Noto Sans CJK SC" w:hAnsi="Noto Sans CJK SC" w:eastAsia="Noto Sans CJK SC" w:cs="Noto Sans CJK SC"/>
          <w:b w:val="0"/>
          <w:i w:val="0"/>
          <w:color w:val="0070C0"/>
          <w:sz w:val="20"/>
        </w:rPr>
        <w:t>，不是让数据中心向电网发电。</w:t>
      </w:r>
    </w:p>
    <w:tbl>
      <w:tblPr>
        <w:tblStyle w:val="TableGrid"/>
        <w:tblW w:type="dxa" w:w="9360"/>
        <w:jc w:val="center"/>
        <w:tblLayout w:type="fixed"/>
        <w:tblLook w:firstColumn="1" w:firstRow="1" w:lastColumn="0" w:lastRow="0" w:noHBand="0" w:noVBand="1" w:val="04A0"/>
        <w:tblInd w:w="120" w:type="dxa"/>
      </w:tblPr>
      <w:tblGrid>
        <w:gridCol w:w="3300"/>
        <w:gridCol w:w="6060"/>
      </w:tblGrid>
      <w:tr>
        <w:trPr>
          <w:tblHeader w:val="true"/>
          <w:cantSplit/>
        </w:trPr>
        <w:tc>
          <w:tcPr>
            <w:tcW w:type="dxa" w:w="3300"/>
            <w:tcMar>
              <w:top w:w="80" w:type="dxa"/>
              <w:start w:w="120" w:type="dxa"/>
              <w:bottom w:w="80" w:type="dxa"/>
              <w:end w:w="120" w:type="dxa"/>
            </w:tcMar>
            <w:vAlign w:val="center"/>
            <w:shd w:fill="1F4E79"/>
          </w:tcPr>
          <w:p>
            <w:pPr>
              <w:spacing w:before="0" w:after="20" w:line="269" w:lineRule="auto"/>
              <w:ind w:firstLine="0"/>
              <w:jc w:val="center"/>
            </w:pPr>
            <w:r>
              <w:rPr>
                <w:rFonts w:ascii="Noto Sans CJK SC" w:hAnsi="Noto Sans CJK SC" w:eastAsia="Noto Sans CJK SC" w:cs="Noto Sans CJK SC"/>
                <w:b/>
                <w:i w:val="0"/>
                <w:color w:val="FFFFFF"/>
                <w:sz w:val="17"/>
              </w:rPr>
              <w:t>项目</w:t>
            </w:r>
          </w:p>
        </w:tc>
        <w:tc>
          <w:tcPr>
            <w:tcW w:type="dxa" w:w="6060"/>
            <w:tcMar>
              <w:top w:w="80" w:type="dxa"/>
              <w:start w:w="120" w:type="dxa"/>
              <w:bottom w:w="80" w:type="dxa"/>
              <w:end w:w="120" w:type="dxa"/>
            </w:tcMar>
            <w:vAlign w:val="center"/>
            <w:shd w:fill="1F4E79"/>
          </w:tcPr>
          <w:p>
            <w:pPr>
              <w:spacing w:before="0" w:after="20" w:line="269" w:lineRule="auto"/>
              <w:ind w:firstLine="0"/>
              <w:jc w:val="left"/>
            </w:pPr>
            <w:r>
              <w:rPr>
                <w:rFonts w:ascii="Noto Sans CJK SC" w:hAnsi="Noto Sans CJK SC" w:eastAsia="Noto Sans CJK SC" w:cs="Noto Sans CJK SC"/>
                <w:b/>
                <w:i w:val="0"/>
                <w:color w:val="FFFFFF"/>
                <w:sz w:val="17"/>
              </w:rPr>
              <w:t>信息</w:t>
            </w:r>
          </w:p>
        </w:tc>
      </w:tr>
      <w:tr>
        <w:tc>
          <w:tcPr>
            <w:tcW w:type="dxa" w:w="3300"/>
            <w:tcMar>
              <w:top w:w="80" w:type="dxa"/>
              <w:start w:w="120" w:type="dxa"/>
              <w:bottom w:w="80" w:type="dxa"/>
              <w:end w:w="120" w:type="dxa"/>
            </w:tcMar>
            <w:vAlign w:val="center"/>
          </w:tcPr>
          <w:p>
            <w:pPr>
              <w:spacing w:before="0" w:after="20" w:line="269" w:lineRule="auto"/>
              <w:ind w:firstLine="0"/>
              <w:jc w:val="center"/>
            </w:pPr>
            <w:r>
              <w:rPr>
                <w:rFonts w:ascii="Noto Sans CJK SC" w:hAnsi="Noto Sans CJK SC" w:eastAsia="Noto Sans CJK SC" w:cs="Noto Sans CJK SC"/>
                <w:b w:val="0"/>
                <w:i w:val="0"/>
                <w:color w:val="1D2733"/>
                <w:sz w:val="17"/>
              </w:rPr>
              <w:t>作者</w:t>
            </w:r>
          </w:p>
        </w:tc>
        <w:tc>
          <w:tcPr>
            <w:tcW w:type="dxa" w:w="6060"/>
            <w:tcMar>
              <w:top w:w="80" w:type="dxa"/>
              <w:start w:w="120" w:type="dxa"/>
              <w:bottom w:w="80" w:type="dxa"/>
              <w:end w:w="120" w:type="dxa"/>
            </w:tcMar>
            <w:vAlign w:val="center"/>
          </w:tcPr>
          <w:p>
            <w:pPr>
              <w:spacing w:before="0" w:after="20" w:line="269" w:lineRule="auto"/>
              <w:ind w:firstLine="0"/>
              <w:jc w:val="left"/>
            </w:pPr>
            <w:r>
              <w:rPr>
                <w:rFonts w:ascii="Noto Sans CJK SC" w:hAnsi="Noto Sans CJK SC" w:eastAsia="Noto Sans CJK SC" w:cs="Noto Sans CJK SC"/>
                <w:b w:val="0"/>
                <w:i w:val="0"/>
                <w:color w:val="1D2733"/>
                <w:sz w:val="17"/>
              </w:rPr>
              <w:t>Philip Colangelo、Ayse K. Coskun、Jack Megrue、Ciaran Roberts、Shayan Sengupta、Varun Sivaram、Ethan Tiao、Aroon Vijaykar、Chris Williams、Daniel C. Wilson、Brandon Records、Zack MacFarland、Daniel Dreiling、Nathan Morey、Anuja Ratnayake、Baskar Vairamohan</w:t>
            </w:r>
          </w:p>
        </w:tc>
      </w:tr>
      <w:tr>
        <w:tc>
          <w:tcPr>
            <w:tcW w:type="dxa" w:w="3300"/>
            <w:tcMar>
              <w:top w:w="80" w:type="dxa"/>
              <w:start w:w="120" w:type="dxa"/>
              <w:bottom w:w="80" w:type="dxa"/>
              <w:end w:w="120" w:type="dxa"/>
            </w:tcMar>
            <w:vAlign w:val="center"/>
            <w:shd w:fill="F7F9FC"/>
          </w:tcPr>
          <w:p>
            <w:pPr>
              <w:spacing w:before="0" w:after="20" w:line="269" w:lineRule="auto"/>
              <w:ind w:firstLine="0"/>
              <w:jc w:val="center"/>
            </w:pPr>
            <w:r>
              <w:rPr>
                <w:rFonts w:ascii="Noto Sans CJK SC" w:hAnsi="Noto Sans CJK SC" w:eastAsia="Noto Sans CJK SC" w:cs="Noto Sans CJK SC"/>
                <w:b w:val="0"/>
                <w:i w:val="0"/>
                <w:color w:val="1D2733"/>
                <w:sz w:val="17"/>
              </w:rPr>
              <w:t>时间</w:t>
            </w:r>
          </w:p>
        </w:tc>
        <w:tc>
          <w:tcPr>
            <w:tcW w:type="dxa" w:w="6060"/>
            <w:tcMar>
              <w:top w:w="80" w:type="dxa"/>
              <w:start w:w="120" w:type="dxa"/>
              <w:bottom w:w="80" w:type="dxa"/>
              <w:end w:w="120" w:type="dxa"/>
            </w:tcMar>
            <w:vAlign w:val="center"/>
            <w:shd w:fill="F7F9FC"/>
          </w:tcPr>
          <w:p>
            <w:pPr>
              <w:spacing w:before="0" w:after="20" w:line="269" w:lineRule="auto"/>
              <w:ind w:firstLine="0"/>
              <w:jc w:val="left"/>
            </w:pPr>
            <w:r>
              <w:rPr>
                <w:rFonts w:ascii="Noto Sans CJK SC" w:hAnsi="Noto Sans CJK SC" w:eastAsia="Noto Sans CJK SC" w:cs="Noto Sans CJK SC"/>
                <w:b w:val="0"/>
                <w:i w:val="0"/>
                <w:color w:val="1D2733"/>
                <w:sz w:val="17"/>
              </w:rPr>
              <w:t>2025 年 7 月 3 日投稿；2025 年 10 月 28 日接收；2025 年 12 月 5 日在线发表</w:t>
            </w:r>
          </w:p>
        </w:tc>
      </w:tr>
      <w:tr>
        <w:tc>
          <w:tcPr>
            <w:tcW w:type="dxa" w:w="3300"/>
            <w:tcMar>
              <w:top w:w="80" w:type="dxa"/>
              <w:start w:w="120" w:type="dxa"/>
              <w:bottom w:w="80" w:type="dxa"/>
              <w:end w:w="120" w:type="dxa"/>
            </w:tcMar>
            <w:vAlign w:val="center"/>
          </w:tcPr>
          <w:p>
            <w:pPr>
              <w:spacing w:before="0" w:after="20" w:line="269" w:lineRule="auto"/>
              <w:ind w:firstLine="0"/>
              <w:jc w:val="center"/>
            </w:pPr>
            <w:r>
              <w:rPr>
                <w:rFonts w:ascii="Noto Sans CJK SC" w:hAnsi="Noto Sans CJK SC" w:eastAsia="Noto Sans CJK SC" w:cs="Noto Sans CJK SC"/>
                <w:b w:val="0"/>
                <w:i w:val="0"/>
                <w:color w:val="1D2733"/>
                <w:sz w:val="17"/>
              </w:rPr>
              <w:t>期刊与页码</w:t>
            </w:r>
          </w:p>
        </w:tc>
        <w:tc>
          <w:tcPr>
            <w:tcW w:type="dxa" w:w="6060"/>
            <w:tcMar>
              <w:top w:w="80" w:type="dxa"/>
              <w:start w:w="120" w:type="dxa"/>
              <w:bottom w:w="80" w:type="dxa"/>
              <w:end w:w="120" w:type="dxa"/>
            </w:tcMar>
            <w:vAlign w:val="center"/>
          </w:tcPr>
          <w:p>
            <w:pPr>
              <w:spacing w:before="0" w:after="20" w:line="269" w:lineRule="auto"/>
              <w:ind w:firstLine="0"/>
              <w:jc w:val="left"/>
            </w:pPr>
            <w:r>
              <w:rPr>
                <w:rFonts w:ascii="Noto Sans CJK SC" w:hAnsi="Noto Sans CJK SC" w:eastAsia="Noto Sans CJK SC" w:cs="Noto Sans CJK SC"/>
                <w:b w:val="0"/>
                <w:i/>
                <w:color w:val="1D2733"/>
                <w:sz w:val="17"/>
              </w:rPr>
              <w:t>Nature Energy</w:t>
            </w:r>
            <w:r>
              <w:rPr>
                <w:rFonts w:ascii="Noto Sans CJK SC" w:hAnsi="Noto Sans CJK SC" w:eastAsia="Noto Sans CJK SC" w:cs="Noto Sans CJK SC"/>
                <w:b w:val="0"/>
                <w:i w:val="0"/>
                <w:color w:val="1D2733"/>
                <w:sz w:val="17"/>
              </w:rPr>
              <w:t>，第 11 卷（2026 年 2 月），第 254–261 页</w:t>
            </w:r>
          </w:p>
        </w:tc>
      </w:tr>
      <w:tr>
        <w:tc>
          <w:tcPr>
            <w:tcW w:type="dxa" w:w="3300"/>
            <w:tcMar>
              <w:top w:w="80" w:type="dxa"/>
              <w:start w:w="120" w:type="dxa"/>
              <w:bottom w:w="80" w:type="dxa"/>
              <w:end w:w="120" w:type="dxa"/>
            </w:tcMar>
            <w:vAlign w:val="center"/>
            <w:shd w:fill="F7F9FC"/>
          </w:tcPr>
          <w:p>
            <w:pPr>
              <w:spacing w:before="0" w:after="20" w:line="269" w:lineRule="auto"/>
              <w:ind w:firstLine="0"/>
              <w:jc w:val="center"/>
            </w:pPr>
            <w:r>
              <w:rPr>
                <w:rFonts w:ascii="Noto Sans CJK SC" w:hAnsi="Noto Sans CJK SC" w:eastAsia="Noto Sans CJK SC" w:cs="Noto Sans CJK SC"/>
                <w:b w:val="0"/>
                <w:i w:val="0"/>
                <w:color w:val="1D2733"/>
                <w:sz w:val="17"/>
              </w:rPr>
              <w:t>DOI</w:t>
            </w:r>
          </w:p>
        </w:tc>
        <w:tc>
          <w:tcPr>
            <w:tcW w:type="dxa" w:w="6060"/>
            <w:tcMar>
              <w:top w:w="80" w:type="dxa"/>
              <w:start w:w="120" w:type="dxa"/>
              <w:bottom w:w="80" w:type="dxa"/>
              <w:end w:w="120" w:type="dxa"/>
            </w:tcMar>
            <w:vAlign w:val="center"/>
            <w:shd w:fill="F7F9FC"/>
          </w:tcPr>
          <w:p>
            <w:pPr>
              <w:spacing w:before="0" w:after="20" w:line="269" w:lineRule="auto"/>
              <w:ind w:firstLine="0"/>
              <w:jc w:val="left"/>
            </w:pPr>
            <w:r>
              <w:rPr>
                <w:rFonts w:ascii="Noto Sans CJK SC" w:hAnsi="Noto Sans CJK SC" w:eastAsia="Noto Sans CJK SC" w:cs="Noto Sans CJK SC"/>
                <w:b w:val="0"/>
                <w:i w:val="0"/>
                <w:color w:val="1D2733"/>
                <w:sz w:val="17"/>
              </w:rPr>
              <w:t>10.1038/s41560-025-01927-1</w:t>
            </w:r>
          </w:p>
        </w:tc>
      </w:tr>
    </w:tbl>
    <w:p>
      <w:pPr>
        <w:spacing w:after="40"/>
      </w:pPr>
    </w:p>
    <w:p>
      <w:pPr>
        <w:pStyle w:val="Heading2"/>
      </w:pPr>
      <w:r>
        <w:rPr>
          <w:rFonts w:ascii="Noto Sans CJK SC" w:hAnsi="Noto Sans CJK SC" w:eastAsia="Noto Sans CJK SC" w:cs="Noto Sans CJK SC"/>
          <w:b/>
          <w:i w:val="0"/>
          <w:color w:val="1F4E79"/>
          <w:sz w:val="28"/>
        </w:rPr>
        <w:t>摘要</w:t>
      </w:r>
    </w:p>
    <w:p>
      <w:pPr>
        <w:keepLines w:val="0"/>
      </w:pPr>
      <w:r>
        <w:rPr>
          <w:rFonts w:ascii="Noto Sans CJK SC" w:hAnsi="Noto Sans CJK SC" w:eastAsia="Noto Sans CJK SC" w:cs="Noto Sans CJK SC"/>
          <w:b w:val="0"/>
          <w:i w:val="0"/>
          <w:color w:val="1D2733"/>
          <w:sz w:val="20"/>
        </w:rPr>
        <w:t>由</w:t>
      </w:r>
      <w:r>
        <w:rPr>
          <w:rFonts w:ascii="Noto Sans CJK SC" w:hAnsi="Noto Sans CJK SC" w:eastAsia="Noto Sans CJK SC" w:cs="Noto Sans CJK SC"/>
          <w:b/>
          <w:i w:val="0"/>
          <w:color w:val="1D2733"/>
          <w:sz w:val="20"/>
        </w:rPr>
        <w:t>人工智能（artificial intelligence, AI）</w:t>
      </w:r>
      <w:r>
        <w:rPr>
          <w:rFonts w:ascii="Noto Sans CJK SC" w:hAnsi="Noto Sans CJK SC" w:eastAsia="Noto Sans CJK SC" w:cs="Noto Sans CJK SC"/>
          <w:b w:val="0"/>
          <w:i w:val="0"/>
          <w:color w:val="1D2733"/>
          <w:sz w:val="20"/>
        </w:rPr>
        <w:t>驱动的电力需求正呈指数式增长。这一趋势正在威胁电网可靠性，推高那些需要为新增基础设施承担费用的社区的能源成本；同时，由于数据中心必须等待接入容量已经受限的电网，AI 创新也会因此放缓。本文展示了一项现场示范：采用一种纯软件方法，使 AI 数据中心能够作为灵活的电网资源运行。该系统在美国亚利桑那州凤凰城的一座超大规模云设施中接受测试，测试平台是一个由 256 块</w:t>
      </w:r>
      <w:r>
        <w:rPr>
          <w:rFonts w:ascii="Noto Sans CJK SC" w:hAnsi="Noto Sans CJK SC" w:eastAsia="Noto Sans CJK SC" w:cs="Noto Sans CJK SC"/>
          <w:b/>
          <w:i w:val="0"/>
          <w:color w:val="1D2733"/>
          <w:sz w:val="20"/>
        </w:rPr>
        <w:t>图形处理器（Graphics Processing Unit, GPU）</w:t>
      </w:r>
      <w:r>
        <w:rPr>
          <w:rFonts w:ascii="Noto Sans CJK SC" w:hAnsi="Noto Sans CJK SC" w:eastAsia="Noto Sans CJK SC" w:cs="Noto Sans CJK SC"/>
          <w:b w:val="0"/>
          <w:i w:val="0"/>
          <w:color w:val="1D2733"/>
          <w:sz w:val="20"/>
        </w:rPr>
        <w:t>组成的集群，其上运行具有代表性的 AI 工作负载。在电力需求高峰期间，该系统将用电功率降低了 25%，并持续 3 小时，同时仍然满足 AI 的</w:t>
      </w:r>
      <w:r>
        <w:rPr>
          <w:rFonts w:ascii="Noto Sans CJK SC" w:hAnsi="Noto Sans CJK SC" w:eastAsia="Noto Sans CJK SC" w:cs="Noto Sans CJK SC"/>
          <w:b/>
          <w:i w:val="0"/>
          <w:color w:val="1D2733"/>
          <w:sz w:val="20"/>
        </w:rPr>
        <w:t>服务质量（Quality of Service, QoS）</w:t>
      </w:r>
      <w:r>
        <w:rPr>
          <w:rFonts w:ascii="Noto Sans CJK SC" w:hAnsi="Noto Sans CJK SC" w:eastAsia="Noto Sans CJK SC" w:cs="Noto Sans CJK SC"/>
          <w:b w:val="0"/>
          <w:i w:val="0"/>
          <w:color w:val="1D2733"/>
          <w:sz w:val="20"/>
        </w:rPr>
        <w:t>保证。该方法根据实时电网信号协调各项工作负载，无须改造硬件，也无须配置储能。结果表明，在现有电力系统约束下，数据中心有潜力在维持计算性能的同时，提高电网稳定性并帮助控制供电成本。</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作者要解决的是“电网最紧张的几个小时，AI 数据中心能不能临时少吃一点电”。他们没有加电池，也没有更换 GPU，而是利用软件对任务做三类操作：降低部分 GPU 的功率、暂停可延后的任务、减少某些任务占用的 GPU 数量。实验中的“降低 25%”指集群在这 3 小时内的瞬时功率相对基准下降约四分之一，并不等于把所有 AI 任务的计算量永久删掉四分之一；一部分工作只是被放慢或移到事件之后继续完成。论文最重要的卖点是：它不是只在仿真中说“理论上可行”，而是在真实云计算集群中实际执行了电力削减。</w:t>
      </w:r>
    </w:p>
    <w:p>
      <w:pPr>
        <w:pStyle w:val="Heading2"/>
      </w:pPr>
      <w:r>
        <w:rPr>
          <w:rFonts w:ascii="Noto Sans CJK SC" w:hAnsi="Noto Sans CJK SC" w:eastAsia="Noto Sans CJK SC" w:cs="Noto Sans CJK SC"/>
          <w:b/>
          <w:i w:val="0"/>
          <w:color w:val="1F4E79"/>
          <w:sz w:val="28"/>
        </w:rPr>
        <w:t>引言</w:t>
      </w:r>
    </w:p>
    <w:p>
      <w:pPr>
        <w:keepLines w:val="0"/>
      </w:pPr>
      <w:r>
        <w:rPr>
          <w:rFonts w:ascii="Noto Sans CJK SC" w:hAnsi="Noto Sans CJK SC" w:eastAsia="Noto Sans CJK SC" w:cs="Noto Sans CJK SC"/>
          <w:b w:val="0"/>
          <w:i w:val="0"/>
          <w:color w:val="1D2733"/>
          <w:sz w:val="20"/>
        </w:rPr>
        <w:t>AI 技术在全球迅速普及，使高性能数据中心的需求大幅上升，而这类数据中心越来越多地由 GPU 集群驱动[1]。随着这些 AI 集群规模扩大，其能耗正在给电网带来日益严重的压力[2]，尤其是在用电需求较高或可再生能源出力较低的时段。仅在美国，预测显示，到 2030 年，与 AI 有关的数据中心用电需求就可能达到数十吉瓦，从而加剧电网拥塞并延误项目部署[3,4]。与此同时，当前较为保守的电力系统规划通常假定数据中心始终是高功率用户。增长的用电需求与这种规划方式叠加，会导致规模庞大且造价高昂的电网基础设施升级，并使新数据中心等待并网的时间大幅延长。</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电网公司过去往往按“数据中心可能一直满负荷运行”的最坏情况来规划变电站、输电线和发电容量。可是现实中的 AI 任务并非每一分钟都同样紧急。如果数据中心能够证明自己会在极端高峰时主动降功率，电网就不一定要先建设足以覆盖全部峰值的大量新设施，数据中心也可能更快获准接入。这里的“数十吉瓦”说的是全美未来所有相关数据中心的总需求，不是本论文这一个试验集群的规模；本试验集群的功率只有约百千瓦量级。</w:t>
      </w:r>
    </w:p>
    <w:p>
      <w:pPr>
        <w:keepLines w:val="0"/>
      </w:pPr>
      <w:r>
        <w:rPr>
          <w:rFonts w:ascii="Noto Sans CJK SC" w:hAnsi="Noto Sans CJK SC" w:eastAsia="Noto Sans CJK SC" w:cs="Noto Sans CJK SC"/>
          <w:b w:val="0"/>
          <w:i w:val="0"/>
          <w:color w:val="1D2733"/>
          <w:sz w:val="20"/>
        </w:rPr>
        <w:t>过去，学术界已经研究过数据中心计算负载的</w:t>
      </w:r>
      <w:r>
        <w:rPr>
          <w:rFonts w:ascii="Noto Sans CJK SC" w:hAnsi="Noto Sans CJK SC" w:eastAsia="Noto Sans CJK SC" w:cs="Noto Sans CJK SC"/>
          <w:b/>
          <w:i w:val="0"/>
          <w:color w:val="1D2733"/>
          <w:sz w:val="20"/>
        </w:rPr>
        <w:t>需求响应（demand response）</w:t>
      </w:r>
      <w:r>
        <w:rPr>
          <w:rFonts w:ascii="Noto Sans CJK SC" w:hAnsi="Noto Sans CJK SC" w:eastAsia="Noto Sans CJK SC" w:cs="Noto Sans CJK SC"/>
          <w:b w:val="0"/>
          <w:i w:val="0"/>
          <w:color w:val="1D2733"/>
          <w:sz w:val="20"/>
        </w:rPr>
        <w:t>，但多数研究使用的是运行</w:t>
      </w:r>
      <w:r>
        <w:rPr>
          <w:rFonts w:ascii="Noto Sans CJK SC" w:hAnsi="Noto Sans CJK SC" w:eastAsia="Noto Sans CJK SC" w:cs="Noto Sans CJK SC"/>
          <w:b/>
          <w:i w:val="0"/>
          <w:color w:val="1D2733"/>
          <w:sz w:val="20"/>
        </w:rPr>
        <w:t>高性能计算（high-performance computing, HPC）</w:t>
      </w:r>
      <w:r>
        <w:rPr>
          <w:rFonts w:ascii="Noto Sans CJK SC" w:hAnsi="Noto Sans CJK SC" w:eastAsia="Noto Sans CJK SC" w:cs="Noto Sans CJK SC"/>
          <w:b w:val="0"/>
          <w:i w:val="0"/>
          <w:color w:val="1D2733"/>
          <w:sz w:val="20"/>
        </w:rPr>
        <w:t>应用的</w:t>
      </w:r>
      <w:r>
        <w:rPr>
          <w:rFonts w:ascii="Noto Sans CJK SC" w:hAnsi="Noto Sans CJK SC" w:eastAsia="Noto Sans CJK SC" w:cs="Noto Sans CJK SC"/>
          <w:b/>
          <w:i w:val="0"/>
          <w:color w:val="1D2733"/>
          <w:sz w:val="20"/>
        </w:rPr>
        <w:t>中央处理器（Central Processing Unit, CPU）</w:t>
      </w:r>
      <w:r>
        <w:rPr>
          <w:rFonts w:ascii="Noto Sans CJK SC" w:hAnsi="Noto Sans CJK SC" w:eastAsia="Noto Sans CJK SC" w:cs="Noto Sans CJK SC"/>
          <w:b w:val="0"/>
          <w:i w:val="0"/>
          <w:color w:val="1D2733"/>
          <w:sz w:val="20"/>
        </w:rPr>
        <w:t>集群[5]，或者通过仿真和分析模型来展示需求响应的潜力[6,7]。这些研究提供了有价值的认识，却没有考虑 GPU 上的 AI 训练与推理工作负载所具有的严格性能要求以及不同的能耗特征。产业界的其他工作则表明，数据中心可以通过两种方式减少运行阶段的碳排放：其一，减少分配给那些被宽泛归类为“性能需求具有灵活性”的任务的计算资源；其二，采用</w:t>
      </w:r>
      <w:r>
        <w:rPr>
          <w:rFonts w:ascii="Noto Sans CJK SC" w:hAnsi="Noto Sans CJK SC" w:eastAsia="Noto Sans CJK SC" w:cs="Noto Sans CJK SC"/>
          <w:b/>
          <w:i w:val="0"/>
          <w:color w:val="1D2733"/>
          <w:sz w:val="20"/>
        </w:rPr>
        <w:t>负荷削减（load shedding）</w:t>
      </w:r>
      <w:r>
        <w:rPr>
          <w:rFonts w:ascii="Noto Sans CJK SC" w:hAnsi="Noto Sans CJK SC" w:eastAsia="Noto Sans CJK SC" w:cs="Noto Sans CJK SC"/>
          <w:b w:val="0"/>
          <w:i w:val="0"/>
          <w:color w:val="1D2733"/>
          <w:sz w:val="20"/>
        </w:rPr>
        <w:t>[8–10]。</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以前的研究常研究传统超级计算任务，或者只在电脑模型里模拟“如果少用电会怎样”。但大模型训练和在线聊天机器人有自己的特点：GPU 功率很高，不同任务的时间要求也差异巨大。训练任务晚一点完成通常还可以接受，而在线聊天机器人若变慢，用户立刻就能感觉到。因此，作者认为不能简单地给整个数据中心统一限电，必须辨别哪些任务能慢、哪些不能慢。“负荷削减”在这里不是停电，而是主动减少或暂停一部分可控计算负载。</w:t>
      </w:r>
    </w:p>
    <w:p>
      <w:pPr>
        <w:keepLines w:val="0"/>
      </w:pPr>
      <w:r>
        <w:rPr>
          <w:rFonts w:ascii="Noto Sans CJK SC" w:hAnsi="Noto Sans CJK SC" w:eastAsia="Noto Sans CJK SC" w:cs="Noto Sans CJK SC"/>
          <w:b w:val="0"/>
          <w:i w:val="0"/>
          <w:color w:val="1D2733"/>
          <w:sz w:val="20"/>
        </w:rPr>
        <w:t>当前迫切需要的是一种可扩展的、基于软件的解决方案：它既能遵守 AI 的</w:t>
      </w:r>
      <w:r>
        <w:rPr>
          <w:rFonts w:ascii="Noto Sans CJK SC" w:hAnsi="Noto Sans CJK SC" w:eastAsia="Noto Sans CJK SC" w:cs="Noto Sans CJK SC"/>
          <w:b/>
          <w:i w:val="0"/>
          <w:color w:val="1D2733"/>
          <w:sz w:val="20"/>
        </w:rPr>
        <w:t>服务级别协议（service-level agreement, SLA）</w:t>
      </w:r>
      <w:r>
        <w:rPr>
          <w:rFonts w:ascii="Noto Sans CJK SC" w:hAnsi="Noto Sans CJK SC" w:eastAsia="Noto Sans CJK SC" w:cs="Noto Sans CJK SC"/>
          <w:b w:val="0"/>
          <w:i w:val="0"/>
          <w:color w:val="1D2733"/>
          <w:sz w:val="20"/>
        </w:rPr>
        <w:t>，又能实时调节功率。本文的核心假设是：由 GPU 驱动的 AI 工作负载具有足够的</w:t>
      </w:r>
      <w:r>
        <w:rPr>
          <w:rFonts w:ascii="Noto Sans CJK SC" w:hAnsi="Noto Sans CJK SC" w:eastAsia="Noto Sans CJK SC" w:cs="Noto Sans CJK SC"/>
          <w:b/>
          <w:i w:val="0"/>
          <w:color w:val="1D2733"/>
          <w:sz w:val="20"/>
        </w:rPr>
        <w:t>运行灵活性（operational flexibility）</w:t>
      </w:r>
      <w:r>
        <w:rPr>
          <w:rFonts w:ascii="Noto Sans CJK SC" w:hAnsi="Noto Sans CJK SC" w:eastAsia="Noto Sans CJK SC" w:cs="Noto Sans CJK SC"/>
          <w:b w:val="0"/>
          <w:i w:val="0"/>
          <w:color w:val="1D2733"/>
          <w:sz w:val="20"/>
        </w:rPr>
        <w:t>；只要对其进行智能编排，就可以参与需求响应和电网稳定计划[11]。尽管电力公司会为用电灵活性提供经济激励，但参与需求响应还会产生其他成本，例如工作负载性能受到影响，以及新数据中心部署出现延迟，这些因素都可能限制数据中心的参与意愿[12]，在 AI 快速增长时期尤其如此。电力公司和系统运营商还可以优先让灵活型 AI 数据中心更快接入电网，并向其提供较低电价和灵活性补偿，以认可它们对系统可靠性的贡献，以及它们利用现有系统</w:t>
      </w:r>
      <w:r>
        <w:rPr>
          <w:rFonts w:ascii="Noto Sans CJK SC" w:hAnsi="Noto Sans CJK SC" w:eastAsia="Noto Sans CJK SC" w:cs="Noto Sans CJK SC"/>
          <w:b/>
          <w:i w:val="0"/>
          <w:color w:val="1D2733"/>
          <w:sz w:val="20"/>
        </w:rPr>
        <w:t>余裕容量（system headroom）</w:t>
      </w:r>
      <w:r>
        <w:rPr>
          <w:rFonts w:ascii="Noto Sans CJK SC" w:hAnsi="Noto Sans CJK SC" w:eastAsia="Noto Sans CJK SC" w:cs="Noto Sans CJK SC"/>
          <w:b w:val="0"/>
          <w:i w:val="0"/>
          <w:color w:val="1D2733"/>
          <w:sz w:val="20"/>
        </w:rPr>
        <w:t>的能力。有研究估计，如果数据中心等大型负荷每年只在 0.5% 的时间内削减用电，美国现有电力系统可释放的这类可利用容量接近 100 GW[13]。</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SLA 可以理解为数据中心对用户的“性能承诺”，例如在线服务必须及时响应，训练任务必须在约定时间内完成。作者的想法不是所有任务一起降速，而是先给任务贴上“能不能慢、最多能慢多少”的标签，再只动那些有余地的任务。文中的“每年削减 0.5%”大约相当于一年中累计约 44 小时，并非全年都少用电；因此，接近 100 GW 的数字表示在少数系统高峰时可能接入的额外大负荷容量，并不等于永久新增了 100 GW 发电能力。论文还提出一种商业交换：数据中心承诺在关键时刻让电，电网则可能给予更快并网、较低电价或补偿。</w:t>
      </w:r>
    </w:p>
    <w:p>
      <w:pPr>
        <w:keepLines w:val="0"/>
      </w:pPr>
      <w:r>
        <w:rPr>
          <w:rFonts w:ascii="Noto Sans CJK SC" w:hAnsi="Noto Sans CJK SC" w:eastAsia="Noto Sans CJK SC" w:cs="Noto Sans CJK SC"/>
          <w:b w:val="0"/>
          <w:i w:val="0"/>
          <w:color w:val="1D2733"/>
          <w:sz w:val="20"/>
        </w:rPr>
        <w:t>本文报告了一次真实环境示范的结果。作者开发的基于软件的</w:t>
      </w:r>
      <w:r>
        <w:rPr>
          <w:rFonts w:ascii="Noto Sans CJK SC" w:hAnsi="Noto Sans CJK SC" w:eastAsia="Noto Sans CJK SC" w:cs="Noto Sans CJK SC"/>
          <w:b/>
          <w:i w:val="0"/>
          <w:color w:val="1D2733"/>
          <w:sz w:val="20"/>
        </w:rPr>
        <w:t>功率编排平台（power-orchestration platform）</w:t>
      </w:r>
      <w:r>
        <w:rPr>
          <w:rFonts w:ascii="Noto Sans CJK SC" w:hAnsi="Noto Sans CJK SC" w:eastAsia="Noto Sans CJK SC" w:cs="Noto Sans CJK SC"/>
          <w:b w:val="0"/>
          <w:i w:val="0"/>
          <w:color w:val="1D2733"/>
          <w:sz w:val="20"/>
        </w:rPr>
        <w:t>，可以把一个生产环境中的 AI 集群转变为能够响应电网需求的资产。示范在亚利桑那州凤凰城开展，使用某数据中心内一个由 256 块 GPU 组成、达到生产级标准的集群，并与来自云基础设施、计算硬件和电网能源等行业的合作伙伴共同完成。结果验证了：仅通过</w:t>
      </w:r>
      <w:r>
        <w:rPr>
          <w:rFonts w:ascii="Noto Sans CJK SC" w:hAnsi="Noto Sans CJK SC" w:eastAsia="Noto Sans CJK SC" w:cs="Noto Sans CJK SC"/>
          <w:b/>
          <w:i w:val="0"/>
          <w:color w:val="1D2733"/>
          <w:sz w:val="20"/>
        </w:rPr>
        <w:t>工作负载编排（workload orchestration）</w:t>
      </w:r>
      <w:r>
        <w:rPr>
          <w:rFonts w:ascii="Noto Sans CJK SC" w:hAnsi="Noto Sans CJK SC" w:eastAsia="Noto Sans CJK SC" w:cs="Noto Sans CJK SC"/>
          <w:b w:val="0"/>
          <w:i w:val="0"/>
          <w:color w:val="1D2733"/>
          <w:sz w:val="20"/>
        </w:rPr>
        <w:t>，无须进行任何硬件改造或配置储能系统，就能够持续、准确地降低功率。</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“编排”就是让软件像交通调度员一样安排计算任务：哪些任务继续全速跑，哪些降低 GPU 功率，哪些临时暂停，哪些少占几块 GPU。所谓“生产级集群”说明设备和软件环境接近真实商业云平台，而不是只用几块实验室 GPU 做演示。不过，这仍是一个 256-GPU 的局部集群试验，并不等同于已经控制了一整座超大规模数据中心。</w:t>
      </w:r>
    </w:p>
    <w:p>
      <w:pPr>
        <w:pStyle w:val="Heading2"/>
      </w:pPr>
      <w:r>
        <w:rPr>
          <w:rFonts w:ascii="Noto Sans CJK SC" w:hAnsi="Noto Sans CJK SC" w:eastAsia="Noto Sans CJK SC" w:cs="Noto Sans CJK SC"/>
          <w:b/>
          <w:i w:val="0"/>
          <w:color w:val="1F4E79"/>
          <w:sz w:val="28"/>
        </w:rPr>
        <w:t>图 1｜基于软件的功率编排架构概览</w:t>
      </w:r>
    </w:p>
    <w:p>
      <w:pPr>
        <w:keepNext/>
        <w:spacing w:before="40" w:after="60"/>
        <w:jc w:val="center"/>
      </w:pPr>
      <w:r>
        <w:drawing>
          <wp:inline xmlns:a="http://schemas.openxmlformats.org/drawingml/2006/main" xmlns:pic="http://schemas.openxmlformats.org/drawingml/2006/picture">
            <wp:extent cx="5806440" cy="1910013"/>
            <wp:docPr id="1" name="Picture 1" descr="原论文图 1，用于配合中文图题与通俗解读"/>
            <wp:cNvGraphicFramePr>
              <a:graphicFrameLocks noChangeAspect="1"/>
            </wp:cNvGraphicFramePr>
            <a:graphic>
              <a:graphicData uri="http://schemas.openxmlformats.org/drawingml/2006/picture">
                <pic:pic>
                  <pic:nvPicPr>
                    <pic:cNvPr id="0" name="fig1.png"/>
                    <pic:cNvPicPr/>
                  </pic:nvPicPr>
                  <pic:blipFill>
                    <a:blip r:embed="rId12"/>
                    <a:stretch>
                      <a:fillRect/>
                    </a:stretch>
                  </pic:blipFill>
                  <pic:spPr>
                    <a:xfrm>
                      <a:off x="0" y="0"/>
                      <a:ext cx="5806440" cy="1910013"/>
                    </a:xfrm>
                    <a:prstGeom prst="rect"/>
                  </pic:spPr>
                </pic:pic>
              </a:graphicData>
            </a:graphic>
          </wp:inline>
        </w:drawing>
      </w:r>
    </w:p>
    <w:p>
      <w:pPr>
        <w:pStyle w:val="SourceNote"/>
        <w:keepNext w:val="0"/>
        <w:jc w:val="center"/>
      </w:pPr>
      <w:r>
        <w:rPr>
          <w:rFonts w:ascii="Noto Sans CJK SC" w:hAnsi="Noto Sans CJK SC" w:eastAsia="Noto Sans CJK SC" w:cs="Noto Sans CJK SC"/>
          <w:b w:val="0"/>
          <w:i w:val="0"/>
          <w:color w:val="667085"/>
          <w:sz w:val="17"/>
        </w:rPr>
        <w:t>原论文图 1（英文图内标注；下文逐项翻译并解释）</w:t>
      </w:r>
    </w:p>
    <w:p>
      <w:pPr>
        <w:pStyle w:val="Heading3"/>
      </w:pPr>
      <w:r>
        <w:rPr>
          <w:rFonts w:ascii="Noto Sans CJK SC" w:hAnsi="Noto Sans CJK SC" w:eastAsia="Noto Sans CJK SC" w:cs="Noto Sans CJK SC"/>
          <w:b/>
          <w:i w:val="0"/>
          <w:color w:val="1F4E79"/>
          <w:sz w:val="23"/>
        </w:rPr>
        <w:t>图内文字翻译</w:t>
      </w:r>
    </w:p>
    <w:p>
      <w:pPr>
        <w:pStyle w:val="ListBullet"/>
        <w:ind w:hanging="259"/>
      </w:pPr>
      <w:r>
        <w:rPr>
          <w:rFonts w:ascii="Noto Sans CJK SC" w:hAnsi="Noto Sans CJK SC" w:eastAsia="Noto Sans CJK SC" w:cs="Noto Sans CJK SC"/>
          <w:b/>
          <w:i w:val="0"/>
          <w:color w:val="1D2733"/>
          <w:sz w:val="20"/>
        </w:rPr>
        <w:t>电网信号（Grid signal）</w:t>
      </w:r>
    </w:p>
    <w:p>
      <w:pPr>
        <w:pStyle w:val="ListBullet"/>
        <w:ind w:hanging="259"/>
      </w:pPr>
      <w:r>
        <w:rPr>
          <w:rFonts w:ascii="Noto Sans CJK SC" w:hAnsi="Noto Sans CJK SC" w:eastAsia="Noto Sans CJK SC" w:cs="Noto Sans CJK SC"/>
          <w:b w:val="0"/>
          <w:i w:val="0"/>
          <w:color w:val="1D2733"/>
          <w:sz w:val="20"/>
        </w:rPr>
        <w:t>负荷预测（Load forecasts）</w:t>
      </w:r>
    </w:p>
    <w:p>
      <w:pPr>
        <w:pStyle w:val="ListBullet"/>
        <w:ind w:hanging="259"/>
      </w:pPr>
      <w:r>
        <w:rPr>
          <w:rFonts w:ascii="Noto Sans CJK SC" w:hAnsi="Noto Sans CJK SC" w:eastAsia="Noto Sans CJK SC" w:cs="Noto Sans CJK SC"/>
          <w:b w:val="0"/>
          <w:i w:val="0"/>
          <w:color w:val="1D2733"/>
          <w:sz w:val="20"/>
        </w:rPr>
        <w:t>需求响应事件（Demand response events）</w:t>
      </w:r>
    </w:p>
    <w:p>
      <w:pPr>
        <w:pStyle w:val="ListBullet"/>
        <w:ind w:hanging="259"/>
      </w:pPr>
      <w:r>
        <w:rPr>
          <w:rFonts w:ascii="Noto Sans CJK SC" w:hAnsi="Noto Sans CJK SC" w:eastAsia="Noto Sans CJK SC" w:cs="Noto Sans CJK SC"/>
          <w:b/>
          <w:i w:val="0"/>
          <w:color w:val="1D2733"/>
          <w:sz w:val="20"/>
        </w:rPr>
        <w:t>遥测数据（Telemetry）</w:t>
      </w:r>
    </w:p>
    <w:p>
      <w:pPr>
        <w:pStyle w:val="ListBullet"/>
        <w:ind w:hanging="259"/>
      </w:pPr>
      <w:r>
        <w:rPr>
          <w:rFonts w:ascii="Noto Sans CJK SC" w:hAnsi="Noto Sans CJK SC" w:eastAsia="Noto Sans CJK SC" w:cs="Noto Sans CJK SC"/>
          <w:b w:val="0"/>
          <w:i w:val="0"/>
          <w:color w:val="1D2733"/>
          <w:sz w:val="20"/>
        </w:rPr>
        <w:t>节点功率消耗（Node power draw）</w:t>
      </w:r>
    </w:p>
    <w:p>
      <w:pPr>
        <w:pStyle w:val="ListBullet"/>
        <w:ind w:hanging="259"/>
      </w:pPr>
      <w:r>
        <w:rPr>
          <w:rFonts w:ascii="Noto Sans CJK SC" w:hAnsi="Noto Sans CJK SC" w:eastAsia="Noto Sans CJK SC" w:cs="Noto Sans CJK SC"/>
          <w:b w:val="0"/>
          <w:i w:val="0"/>
          <w:color w:val="1D2733"/>
          <w:sz w:val="20"/>
        </w:rPr>
        <w:t>GPU 指标（GPU metrics）</w:t>
      </w:r>
    </w:p>
    <w:p>
      <w:pPr>
        <w:pStyle w:val="ListBullet"/>
        <w:ind w:hanging="259"/>
      </w:pPr>
      <w:r>
        <w:rPr>
          <w:rFonts w:ascii="Noto Sans CJK SC" w:hAnsi="Noto Sans CJK SC" w:eastAsia="Noto Sans CJK SC" w:cs="Noto Sans CJK SC"/>
          <w:b w:val="0"/>
          <w:i w:val="0"/>
          <w:color w:val="1D2733"/>
          <w:sz w:val="20"/>
        </w:rPr>
        <w:t>工作负载指标（Workload metrics）</w:t>
      </w:r>
    </w:p>
    <w:p>
      <w:pPr>
        <w:pStyle w:val="ListBullet"/>
        <w:ind w:hanging="259"/>
      </w:pPr>
      <w:r>
        <w:rPr>
          <w:rFonts w:ascii="Noto Sans CJK SC" w:hAnsi="Noto Sans CJK SC" w:eastAsia="Noto Sans CJK SC" w:cs="Noto Sans CJK SC"/>
          <w:b/>
          <w:i w:val="0"/>
          <w:color w:val="1D2733"/>
          <w:sz w:val="20"/>
        </w:rPr>
        <w:t>AI 工作负载参数（AI workload parameters）</w:t>
      </w:r>
    </w:p>
    <w:p>
      <w:pPr>
        <w:pStyle w:val="ListBullet"/>
        <w:ind w:hanging="259"/>
      </w:pPr>
      <w:r>
        <w:rPr>
          <w:rFonts w:ascii="Noto Sans CJK SC" w:hAnsi="Noto Sans CJK SC" w:eastAsia="Noto Sans CJK SC" w:cs="Noto Sans CJK SC"/>
          <w:b w:val="0"/>
          <w:i w:val="0"/>
          <w:color w:val="1D2733"/>
          <w:sz w:val="20"/>
        </w:rPr>
        <w:t>任务灵活性等级（Job flexibility tier）</w:t>
      </w:r>
    </w:p>
    <w:p>
      <w:pPr>
        <w:pStyle w:val="ListBullet"/>
        <w:ind w:hanging="259"/>
      </w:pPr>
      <w:r>
        <w:rPr>
          <w:rFonts w:ascii="Noto Sans CJK SC" w:hAnsi="Noto Sans CJK SC" w:eastAsia="Noto Sans CJK SC" w:cs="Noto Sans CJK SC"/>
          <w:b w:val="0"/>
          <w:i w:val="0"/>
          <w:color w:val="1D2733"/>
          <w:sz w:val="20"/>
        </w:rPr>
        <w:t>是否允许设置功率上限？（Is power capping allowed?）</w:t>
      </w:r>
    </w:p>
    <w:p>
      <w:pPr>
        <w:pStyle w:val="ListBullet"/>
        <w:ind w:hanging="259"/>
      </w:pPr>
      <w:r>
        <w:rPr>
          <w:rFonts w:ascii="Noto Sans CJK SC" w:hAnsi="Noto Sans CJK SC" w:eastAsia="Noto Sans CJK SC" w:cs="Noto Sans CJK SC"/>
          <w:b/>
          <w:i w:val="0"/>
          <w:color w:val="1D2733"/>
          <w:sz w:val="20"/>
        </w:rPr>
        <w:t>工作负载功率编排引擎（Workload power orchestration engine）</w:t>
      </w:r>
    </w:p>
    <w:p>
      <w:pPr>
        <w:pStyle w:val="ListBullet"/>
        <w:ind w:hanging="259"/>
      </w:pPr>
      <w:r>
        <w:rPr>
          <w:rFonts w:ascii="Noto Sans CJK SC" w:hAnsi="Noto Sans CJK SC" w:eastAsia="Noto Sans CJK SC" w:cs="Noto Sans CJK SC"/>
          <w:b/>
          <w:i w:val="0"/>
          <w:color w:val="1D2733"/>
          <w:sz w:val="20"/>
        </w:rPr>
        <w:t>工作负载功率编排模拟器（Workload power orchestration simulator）</w:t>
      </w:r>
    </w:p>
    <w:p>
      <w:pPr>
        <w:pStyle w:val="ListBullet"/>
        <w:ind w:hanging="259"/>
      </w:pPr>
      <w:r>
        <w:rPr>
          <w:rFonts w:ascii="Noto Sans CJK SC" w:hAnsi="Noto Sans CJK SC" w:eastAsia="Noto Sans CJK SC" w:cs="Noto Sans CJK SC"/>
          <w:b/>
          <w:i w:val="0"/>
          <w:color w:val="1D2733"/>
          <w:sz w:val="20"/>
        </w:rPr>
        <w:t>工作负载编排操作（Workload orchestrations）</w:t>
      </w:r>
    </w:p>
    <w:p>
      <w:pPr>
        <w:pStyle w:val="ListBullet"/>
        <w:ind w:hanging="259"/>
      </w:pPr>
      <w:r>
        <w:rPr>
          <w:rFonts w:ascii="Noto Sans CJK SC" w:hAnsi="Noto Sans CJK SC" w:eastAsia="Noto Sans CJK SC" w:cs="Noto Sans CJK SC"/>
          <w:b/>
          <w:i w:val="0"/>
          <w:color w:val="1D2733"/>
          <w:sz w:val="20"/>
        </w:rPr>
        <w:t>功率封顶（power capping）</w:t>
      </w:r>
    </w:p>
    <w:p>
      <w:pPr>
        <w:pStyle w:val="ListBullet"/>
        <w:ind w:hanging="259"/>
      </w:pPr>
      <w:r>
        <w:rPr>
          <w:rFonts w:ascii="Noto Sans CJK SC" w:hAnsi="Noto Sans CJK SC" w:eastAsia="Noto Sans CJK SC" w:cs="Noto Sans CJK SC"/>
          <w:b/>
          <w:i w:val="0"/>
          <w:color w:val="1D2733"/>
          <w:sz w:val="20"/>
        </w:rPr>
        <w:t>暂停任务（job pausing）</w:t>
      </w:r>
    </w:p>
    <w:p>
      <w:pPr>
        <w:pStyle w:val="ListBullet"/>
        <w:ind w:hanging="259"/>
      </w:pPr>
      <w:r>
        <w:rPr>
          <w:rFonts w:ascii="Noto Sans CJK SC" w:hAnsi="Noto Sans CJK SC" w:eastAsia="Noto Sans CJK SC" w:cs="Noto Sans CJK SC"/>
          <w:b/>
          <w:i w:val="0"/>
          <w:color w:val="1D2733"/>
          <w:sz w:val="20"/>
        </w:rPr>
        <w:t>GPU 资源分配（GPU resource allocation）</w:t>
      </w:r>
    </w:p>
    <w:p>
      <w:pPr>
        <w:pStyle w:val="Heading3"/>
      </w:pPr>
      <w:r>
        <w:rPr>
          <w:rFonts w:ascii="Noto Sans CJK SC" w:hAnsi="Noto Sans CJK SC" w:eastAsia="Noto Sans CJK SC" w:cs="Noto Sans CJK SC"/>
          <w:b/>
          <w:i w:val="0"/>
          <w:color w:val="1F4E79"/>
          <w:sz w:val="23"/>
        </w:rPr>
        <w:t>图题翻译</w:t>
      </w:r>
    </w:p>
    <w:p>
      <w:pPr>
        <w:keepLines/>
      </w:pPr>
      <w:r>
        <w:rPr>
          <w:rFonts w:ascii="Noto Sans CJK SC" w:hAnsi="Noto Sans CJK SC" w:eastAsia="Noto Sans CJK SC" w:cs="Noto Sans CJK SC"/>
          <w:b w:val="0"/>
          <w:i w:val="0"/>
          <w:color w:val="1D2733"/>
          <w:sz w:val="20"/>
        </w:rPr>
        <w:t>图 1 展示了基于软件的功率编排架构。AI 工作负载编排引擎接收三类输入：电网功率信号、应用与功率遥测数据，以及任务参数。该引擎使用功率和负荷管理算法及一个内部模拟器，搜索并选取最优的任务调度方案和功率分配方案。最终输出是针对各项任务选出的最优功率编排操作集合，其目标是在根据任务优先级维持性能的同时，满足电网提出的功率目标。</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这张图就是整篇论文的方法总览。左边告诉系统三件事：电网现在需要少用多少电、集群当前实际用了多少电、每个任务最多允许受到多大影响。中间的模拟器先在“虚拟集群”里试算不同方案，编排引擎再选择一个既能达到电网削峰目标、又不突破各任务 SLA 的方案。右边是真正执行的三种手段。这里的“最优”不是抽象地追求最低能耗，而是在给定削峰目标和任务性能约束下寻找合适的控制组合。</w:t>
      </w:r>
    </w:p>
    <w:p>
      <w:pPr>
        <w:pStyle w:val="Heading2"/>
      </w:pPr>
      <w:r>
        <w:rPr>
          <w:rFonts w:ascii="Noto Sans CJK SC" w:hAnsi="Noto Sans CJK SC" w:eastAsia="Noto Sans CJK SC" w:cs="Noto Sans CJK SC"/>
          <w:b/>
          <w:i w:val="0"/>
          <w:color w:val="1F4E79"/>
          <w:sz w:val="28"/>
        </w:rPr>
        <w:t>系统架构与灵活性框架</w:t>
      </w:r>
    </w:p>
    <w:p>
      <w:pPr>
        <w:keepLines/>
      </w:pPr>
      <w:r>
        <w:rPr>
          <w:rFonts w:ascii="Noto Sans CJK SC" w:hAnsi="Noto Sans CJK SC" w:eastAsia="Noto Sans CJK SC" w:cs="Noto Sans CJK SC"/>
          <w:b w:val="0"/>
          <w:i w:val="0"/>
          <w:color w:val="1D2733"/>
          <w:sz w:val="20"/>
        </w:rPr>
        <w:t>该示范系统的核心是一个基于软件的功率编排平台，它与 AI 工作负载管理器及电网信号源连接。该平台能够动态调度任务、修改每项任务的资源分配，并采用 GPU 频率调节等限功率技术。为了支持决策，平台使用一个在系统层面训练的模拟器，预测 AI 任务的功率—性能行为。模拟器在运行约束和电网需求之下，评估不同编排策略之间的权衡，并推荐一种编排方案，以保证 AI 工作负载的 QoS，同时履行对电网作出的响应承诺。图 1 展示了这一软件平台的总体架构。</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同一个任务通常存在“跑得快但功率高”和“跑得慢一点但功率低”的选择。模拟器需要预先知道或估计这些关系，例如把某个 GPU 的功率上限从 400 W 降到 300 W 后，任务吞吐量会下降多少。平台不是等真正限电后再碰运气，而是先预测每一种控制组合的功率和性能后果，再决定怎么调度。</w:t>
      </w:r>
    </w:p>
    <w:p>
      <w:pPr>
        <w:keepLines w:val="0"/>
      </w:pPr>
      <w:r>
        <w:rPr>
          <w:rFonts w:ascii="Noto Sans CJK SC" w:hAnsi="Noto Sans CJK SC" w:eastAsia="Noto Sans CJK SC" w:cs="Noto Sans CJK SC"/>
          <w:b w:val="0"/>
          <w:i w:val="0"/>
          <w:color w:val="1D2733"/>
          <w:sz w:val="20"/>
        </w:rPr>
        <w:t>作者按照用户对运行时间或吞吐量偏差的容忍程度，采用一套工作负载标签方案，把任务划分为不同的</w:t>
      </w:r>
      <w:r>
        <w:rPr>
          <w:rFonts w:ascii="Noto Sans CJK SC" w:hAnsi="Noto Sans CJK SC" w:eastAsia="Noto Sans CJK SC" w:cs="Noto Sans CJK SC"/>
          <w:b/>
          <w:i w:val="0"/>
          <w:color w:val="1D2733"/>
          <w:sz w:val="20"/>
        </w:rPr>
        <w:t>灵活性等级（flexibility tier）</w:t>
      </w:r>
      <w:r>
        <w:rPr>
          <w:rFonts w:ascii="Noto Sans CJK SC" w:hAnsi="Noto Sans CJK SC" w:eastAsia="Noto Sans CJK SC" w:cs="Noto Sans CJK SC"/>
          <w:b w:val="0"/>
          <w:i w:val="0"/>
          <w:color w:val="1D2733"/>
          <w:sz w:val="20"/>
        </w:rPr>
        <w:t>（表 1）。这些标签使平台能够对不同任务采用差异化控制策略，并保证每项任务都达到计算用户期望的 QoS 阈值。这种做法有望形成一种新的 SLA：既维护用户指定的 QoS，又允许灵活管理功率。例如，根据产业合作伙伴的反馈和指导，作者为具有代表性的 AI 工作负载确定了如下灵活 SLA：（1）Flex 0：不允许性能下降，即严格 SLA；（2）Flex 1：在 3–6 小时内，允许性能（平均吞吐量）最多下降 10%；（3）Flex 2：最多允许下降 25%；（4）Flex 3：最多允许下降 50%。这些等级使系统可以进行智能、非破坏性的节流控制，在履行工作负载承诺的同时释放用电灵活性。</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四个等级可以直接理解为四种“可减速额度”：Flex 0 完全不能慢；Flex 1 至少保留 90% 的原性能；Flex 2 至少保留 75%；Flex 3 至少保留 50%。系统会优先调整最不紧急的 Flex 3 任务，而保护在线推理等 Flex 0 任务。值得注意的是，这里的百分比是 3–6 小时窗口内的</w:t>
      </w:r>
      <w:r>
        <w:rPr>
          <w:rFonts w:ascii="Noto Sans CJK SC" w:hAnsi="Noto Sans CJK SC" w:eastAsia="Noto Sans CJK SC" w:cs="Noto Sans CJK SC"/>
          <w:b/>
          <w:i w:val="0"/>
          <w:color w:val="0070C0"/>
          <w:sz w:val="20"/>
        </w:rPr>
        <w:t>平均吞吐量</w:t>
      </w:r>
      <w:r>
        <w:rPr>
          <w:rFonts w:ascii="Noto Sans CJK SC" w:hAnsi="Noto Sans CJK SC" w:eastAsia="Noto Sans CJK SC" w:cs="Noto Sans CJK SC"/>
          <w:b w:val="0"/>
          <w:i w:val="0"/>
          <w:color w:val="0070C0"/>
          <w:sz w:val="20"/>
        </w:rPr>
        <w:t>限制，不一定意味着任务每一秒都必须维持同样速度；任务可以短暂停止，只要窗口内的整体表现仍符合协议。</w:t>
      </w:r>
    </w:p>
    <w:p>
      <w:pPr>
        <w:pStyle w:val="Heading2"/>
      </w:pPr>
      <w:r>
        <w:rPr>
          <w:rFonts w:ascii="Noto Sans CJK SC" w:hAnsi="Noto Sans CJK SC" w:eastAsia="Noto Sans CJK SC" w:cs="Noto Sans CJK SC"/>
          <w:b/>
          <w:i w:val="0"/>
          <w:color w:val="1F4E79"/>
          <w:sz w:val="28"/>
        </w:rPr>
        <w:t>表 1｜实验中使用的工作负载组合及其灵活性 SLA</w:t>
      </w:r>
    </w:p>
    <w:tbl>
      <w:tblPr>
        <w:tblStyle w:val="TableGrid"/>
        <w:tblW w:type="dxa" w:w="9360"/>
        <w:jc w:val="center"/>
        <w:tblLayout w:type="fixed"/>
        <w:tblLook w:firstColumn="1" w:firstRow="1" w:lastColumn="0" w:lastRow="0" w:noHBand="0" w:noVBand="1" w:val="04A0"/>
        <w:tblInd w:w="120" w:type="dxa"/>
      </w:tblPr>
      <w:tblGrid>
        <w:gridCol w:w="2200"/>
        <w:gridCol w:w="3700"/>
        <w:gridCol w:w="1150"/>
        <w:gridCol w:w="2310"/>
      </w:tblGrid>
      <w:tr>
        <w:trPr>
          <w:tblHeader w:val="true"/>
          <w:cantSplit/>
        </w:trPr>
        <w:tc>
          <w:tcPr>
            <w:tcW w:type="dxa" w:w="2200"/>
            <w:tcMar>
              <w:top w:w="80" w:type="dxa"/>
              <w:start w:w="120" w:type="dxa"/>
              <w:bottom w:w="80" w:type="dxa"/>
              <w:end w:w="120" w:type="dxa"/>
            </w:tcMar>
            <w:vAlign w:val="center"/>
            <w:shd w:fill="1F4E79"/>
          </w:tcPr>
          <w:p>
            <w:pPr>
              <w:spacing w:before="0" w:after="0" w:line="252" w:lineRule="auto"/>
              <w:ind w:firstLine="0"/>
              <w:jc w:val="center"/>
            </w:pPr>
            <w:r>
              <w:rPr>
                <w:rFonts w:ascii="Noto Sans CJK SC" w:hAnsi="Noto Sans CJK SC" w:eastAsia="Noto Sans CJK SC" w:cs="Noto Sans CJK SC"/>
                <w:b/>
                <w:i w:val="0"/>
                <w:color w:val="FFFFFF"/>
                <w:sz w:val="15"/>
              </w:rPr>
              <w:t>工作负载组合</w:t>
            </w:r>
          </w:p>
        </w:tc>
        <w:tc>
          <w:tcPr>
            <w:tcW w:type="dxa" w:w="3700"/>
            <w:tcMar>
              <w:top w:w="80" w:type="dxa"/>
              <w:start w:w="120" w:type="dxa"/>
              <w:bottom w:w="80" w:type="dxa"/>
              <w:end w:w="120" w:type="dxa"/>
            </w:tcMar>
            <w:vAlign w:val="center"/>
            <w:shd w:fill="1F4E79"/>
          </w:tcPr>
          <w:p>
            <w:pPr>
              <w:spacing w:before="0" w:after="0" w:line="252" w:lineRule="auto"/>
              <w:ind w:firstLine="0"/>
              <w:jc w:val="left"/>
            </w:pPr>
            <w:r>
              <w:rPr>
                <w:rFonts w:ascii="Noto Sans CJK SC" w:hAnsi="Noto Sans CJK SC" w:eastAsia="Noto Sans CJK SC" w:cs="Noto Sans CJK SC"/>
                <w:b/>
                <w:i w:val="0"/>
                <w:color w:val="FFFFFF"/>
                <w:sz w:val="15"/>
              </w:rPr>
              <w:t>工作负载</w:t>
            </w:r>
          </w:p>
        </w:tc>
        <w:tc>
          <w:tcPr>
            <w:tcW w:type="dxa" w:w="1150"/>
            <w:tcMar>
              <w:top w:w="80" w:type="dxa"/>
              <w:start w:w="120" w:type="dxa"/>
              <w:bottom w:w="80" w:type="dxa"/>
              <w:end w:w="120" w:type="dxa"/>
            </w:tcMar>
            <w:vAlign w:val="center"/>
            <w:shd w:fill="1F4E79"/>
          </w:tcPr>
          <w:p>
            <w:pPr>
              <w:spacing w:before="0" w:after="0" w:line="252" w:lineRule="auto"/>
              <w:ind w:firstLine="0"/>
              <w:jc w:val="left"/>
            </w:pPr>
            <w:r>
              <w:rPr>
                <w:rFonts w:ascii="Noto Sans CJK SC" w:hAnsi="Noto Sans CJK SC" w:eastAsia="Noto Sans CJK SC" w:cs="Noto Sans CJK SC"/>
                <w:b/>
                <w:i w:val="0"/>
                <w:color w:val="FFFFFF"/>
                <w:sz w:val="15"/>
              </w:rPr>
              <w:t>节点数</w:t>
            </w:r>
          </w:p>
        </w:tc>
        <w:tc>
          <w:tcPr>
            <w:tcW w:type="dxa" w:w="2310"/>
            <w:tcMar>
              <w:top w:w="80" w:type="dxa"/>
              <w:start w:w="120" w:type="dxa"/>
              <w:bottom w:w="80" w:type="dxa"/>
              <w:end w:w="120" w:type="dxa"/>
            </w:tcMar>
            <w:vAlign w:val="center"/>
            <w:shd w:fill="1F4E79"/>
          </w:tcPr>
          <w:p>
            <w:pPr>
              <w:spacing w:before="0" w:after="0" w:line="252" w:lineRule="auto"/>
              <w:ind w:firstLine="0"/>
              <w:jc w:val="left"/>
            </w:pPr>
            <w:r>
              <w:rPr>
                <w:rFonts w:ascii="Noto Sans CJK SC" w:hAnsi="Noto Sans CJK SC" w:eastAsia="Noto Sans CJK SC" w:cs="Noto Sans CJK SC"/>
                <w:b/>
                <w:i w:val="0"/>
                <w:color w:val="FFFFFF"/>
                <w:sz w:val="15"/>
              </w:rPr>
              <w:t>灵活性等级</w:t>
            </w:r>
          </w:p>
        </w:tc>
      </w:tr>
      <w:tr>
        <w:tc>
          <w:tcPr>
            <w:tcW w:type="dxa" w:w="22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组合 1：80% 训练，20% 用户推理</w:t>
            </w:r>
          </w:p>
        </w:tc>
        <w:tc>
          <w:tcPr>
            <w:tcW w:type="dxa" w:w="3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MPT 13B—训练</w:t>
            </w:r>
          </w:p>
        </w:tc>
        <w:tc>
          <w:tcPr>
            <w:tcW w:type="dxa" w:w="11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8</w:t>
            </w:r>
          </w:p>
        </w:tc>
        <w:tc>
          <w:tcPr>
            <w:tcW w:type="dxa" w:w="231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Flex 3</w:t>
            </w:r>
          </w:p>
        </w:tc>
      </w:tr>
      <w:tr>
        <w:tc>
          <w:tcPr>
            <w:tcW w:type="dxa" w:w="22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组合 1：80% 训练，20% 用户推理</w:t>
            </w:r>
          </w:p>
        </w:tc>
        <w:tc>
          <w:tcPr>
            <w:tcW w:type="dxa" w:w="3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MPT 7B—训练</w:t>
            </w:r>
          </w:p>
        </w:tc>
        <w:tc>
          <w:tcPr>
            <w:tcW w:type="dxa" w:w="11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w:t>
            </w:r>
          </w:p>
        </w:tc>
        <w:tc>
          <w:tcPr>
            <w:tcW w:type="dxa" w:w="231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Flex 3</w:t>
            </w:r>
          </w:p>
        </w:tc>
      </w:tr>
      <w:tr>
        <w:tc>
          <w:tcPr>
            <w:tcW w:type="dxa" w:w="22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组合 1：80% 训练，20% 用户推理</w:t>
            </w:r>
          </w:p>
        </w:tc>
        <w:tc>
          <w:tcPr>
            <w:tcW w:type="dxa" w:w="3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LLaMA 8B—微调</w:t>
            </w:r>
          </w:p>
        </w:tc>
        <w:tc>
          <w:tcPr>
            <w:tcW w:type="dxa" w:w="11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6</w:t>
            </w:r>
          </w:p>
        </w:tc>
        <w:tc>
          <w:tcPr>
            <w:tcW w:type="dxa" w:w="231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Flex 2</w:t>
            </w:r>
          </w:p>
        </w:tc>
      </w:tr>
      <w:tr>
        <w:tc>
          <w:tcPr>
            <w:tcW w:type="dxa" w:w="22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组合 1：80% 训练，20% 用户推理</w:t>
            </w:r>
          </w:p>
        </w:tc>
        <w:tc>
          <w:tcPr>
            <w:tcW w:type="dxa" w:w="3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LLaMA 8B—微调</w:t>
            </w:r>
          </w:p>
        </w:tc>
        <w:tc>
          <w:tcPr>
            <w:tcW w:type="dxa" w:w="11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w:t>
            </w:r>
          </w:p>
        </w:tc>
        <w:tc>
          <w:tcPr>
            <w:tcW w:type="dxa" w:w="231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Flex 3</w:t>
            </w:r>
          </w:p>
        </w:tc>
      </w:tr>
      <w:tr>
        <w:tc>
          <w:tcPr>
            <w:tcW w:type="dxa" w:w="22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组合 1：80% 训练，20% 用户推理</w:t>
            </w:r>
          </w:p>
        </w:tc>
        <w:tc>
          <w:tcPr>
            <w:tcW w:type="dxa" w:w="3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LLaMA 8B—推理</w:t>
            </w:r>
          </w:p>
        </w:tc>
        <w:tc>
          <w:tcPr>
            <w:tcW w:type="dxa" w:w="11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4</w:t>
            </w:r>
          </w:p>
        </w:tc>
        <w:tc>
          <w:tcPr>
            <w:tcW w:type="dxa" w:w="231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Flex 0</w:t>
            </w:r>
          </w:p>
        </w:tc>
      </w:tr>
      <w:tr>
        <w:tc>
          <w:tcPr>
            <w:tcW w:type="dxa" w:w="22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组合 1：80% 训练，20% 用户推理</w:t>
            </w:r>
          </w:p>
        </w:tc>
        <w:tc>
          <w:tcPr>
            <w:tcW w:type="dxa" w:w="3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LLaMA 8B—推理</w:t>
            </w:r>
          </w:p>
        </w:tc>
        <w:tc>
          <w:tcPr>
            <w:tcW w:type="dxa" w:w="11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2</w:t>
            </w:r>
          </w:p>
        </w:tc>
        <w:tc>
          <w:tcPr>
            <w:tcW w:type="dxa" w:w="231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Flex 0</w:t>
            </w:r>
          </w:p>
        </w:tc>
      </w:tr>
      <w:tr>
        <w:tc>
          <w:tcPr>
            <w:tcW w:type="dxa" w:w="22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组合 2：50% 训练，50% 用户推理</w:t>
            </w:r>
          </w:p>
        </w:tc>
        <w:tc>
          <w:tcPr>
            <w:tcW w:type="dxa" w:w="3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MPT 13B—训练</w:t>
            </w:r>
          </w:p>
        </w:tc>
        <w:tc>
          <w:tcPr>
            <w:tcW w:type="dxa" w:w="11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8</w:t>
            </w:r>
          </w:p>
        </w:tc>
        <w:tc>
          <w:tcPr>
            <w:tcW w:type="dxa" w:w="231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Flex 3</w:t>
            </w:r>
          </w:p>
        </w:tc>
      </w:tr>
      <w:tr>
        <w:tc>
          <w:tcPr>
            <w:tcW w:type="dxa" w:w="22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组合 2：50% 训练，50% 用户推理</w:t>
            </w:r>
          </w:p>
        </w:tc>
        <w:tc>
          <w:tcPr>
            <w:tcW w:type="dxa" w:w="3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MPT 7B—训练</w:t>
            </w:r>
          </w:p>
        </w:tc>
        <w:tc>
          <w:tcPr>
            <w:tcW w:type="dxa" w:w="11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w:t>
            </w:r>
          </w:p>
        </w:tc>
        <w:tc>
          <w:tcPr>
            <w:tcW w:type="dxa" w:w="231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Flex 3</w:t>
            </w:r>
          </w:p>
        </w:tc>
      </w:tr>
      <w:tr>
        <w:tc>
          <w:tcPr>
            <w:tcW w:type="dxa" w:w="22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组合 2：50% 训练，50% 用户推理</w:t>
            </w:r>
          </w:p>
        </w:tc>
        <w:tc>
          <w:tcPr>
            <w:tcW w:type="dxa" w:w="3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LLaMA 8B—微调</w:t>
            </w:r>
          </w:p>
        </w:tc>
        <w:tc>
          <w:tcPr>
            <w:tcW w:type="dxa" w:w="11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4</w:t>
            </w:r>
          </w:p>
        </w:tc>
        <w:tc>
          <w:tcPr>
            <w:tcW w:type="dxa" w:w="231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Flex 2</w:t>
            </w:r>
          </w:p>
        </w:tc>
      </w:tr>
      <w:tr>
        <w:tc>
          <w:tcPr>
            <w:tcW w:type="dxa" w:w="22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组合 2：50% 训练，50% 用户推理</w:t>
            </w:r>
          </w:p>
        </w:tc>
        <w:tc>
          <w:tcPr>
            <w:tcW w:type="dxa" w:w="3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LLaMA 8B—推理</w:t>
            </w:r>
          </w:p>
        </w:tc>
        <w:tc>
          <w:tcPr>
            <w:tcW w:type="dxa" w:w="11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4</w:t>
            </w:r>
          </w:p>
        </w:tc>
        <w:tc>
          <w:tcPr>
            <w:tcW w:type="dxa" w:w="231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Flex 0</w:t>
            </w:r>
          </w:p>
        </w:tc>
      </w:tr>
      <w:tr>
        <w:tc>
          <w:tcPr>
            <w:tcW w:type="dxa" w:w="22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组合 2：50% 训练，50% 用户推理</w:t>
            </w:r>
          </w:p>
        </w:tc>
        <w:tc>
          <w:tcPr>
            <w:tcW w:type="dxa" w:w="3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LLaMA 8B—推理</w:t>
            </w:r>
          </w:p>
        </w:tc>
        <w:tc>
          <w:tcPr>
            <w:tcW w:type="dxa" w:w="11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6</w:t>
            </w:r>
          </w:p>
        </w:tc>
        <w:tc>
          <w:tcPr>
            <w:tcW w:type="dxa" w:w="231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Flex 0</w:t>
            </w:r>
          </w:p>
        </w:tc>
      </w:tr>
      <w:tr>
        <w:tc>
          <w:tcPr>
            <w:tcW w:type="dxa" w:w="22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组合 2：50% 训练，50% 用户推理</w:t>
            </w:r>
          </w:p>
        </w:tc>
        <w:tc>
          <w:tcPr>
            <w:tcW w:type="dxa" w:w="3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LLaMA 8B—推理</w:t>
            </w:r>
          </w:p>
        </w:tc>
        <w:tc>
          <w:tcPr>
            <w:tcW w:type="dxa" w:w="11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4</w:t>
            </w:r>
          </w:p>
        </w:tc>
        <w:tc>
          <w:tcPr>
            <w:tcW w:type="dxa" w:w="231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Flex 0</w:t>
            </w:r>
          </w:p>
        </w:tc>
      </w:tr>
      <w:tr>
        <w:tc>
          <w:tcPr>
            <w:tcW w:type="dxa" w:w="22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组合 3：50% 训练，50% 可容忍时延的推理</w:t>
            </w:r>
          </w:p>
        </w:tc>
        <w:tc>
          <w:tcPr>
            <w:tcW w:type="dxa" w:w="3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MPT 13B—训练</w:t>
            </w:r>
          </w:p>
        </w:tc>
        <w:tc>
          <w:tcPr>
            <w:tcW w:type="dxa" w:w="11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6</w:t>
            </w:r>
          </w:p>
        </w:tc>
        <w:tc>
          <w:tcPr>
            <w:tcW w:type="dxa" w:w="231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Flex 3</w:t>
            </w:r>
          </w:p>
        </w:tc>
      </w:tr>
      <w:tr>
        <w:tc>
          <w:tcPr>
            <w:tcW w:type="dxa" w:w="22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组合 3：50% 训练，50% 可容忍时延的推理</w:t>
            </w:r>
          </w:p>
        </w:tc>
        <w:tc>
          <w:tcPr>
            <w:tcW w:type="dxa" w:w="3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MPT 7B—训练</w:t>
            </w:r>
          </w:p>
        </w:tc>
        <w:tc>
          <w:tcPr>
            <w:tcW w:type="dxa" w:w="11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w:t>
            </w:r>
          </w:p>
        </w:tc>
        <w:tc>
          <w:tcPr>
            <w:tcW w:type="dxa" w:w="231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Flex 3</w:t>
            </w:r>
          </w:p>
        </w:tc>
      </w:tr>
      <w:tr>
        <w:tc>
          <w:tcPr>
            <w:tcW w:type="dxa" w:w="22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组合 3：50% 训练，50% 可容忍时延的推理</w:t>
            </w:r>
          </w:p>
        </w:tc>
        <w:tc>
          <w:tcPr>
            <w:tcW w:type="dxa" w:w="3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LLaMA 8B—微调</w:t>
            </w:r>
          </w:p>
        </w:tc>
        <w:tc>
          <w:tcPr>
            <w:tcW w:type="dxa" w:w="11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4</w:t>
            </w:r>
          </w:p>
        </w:tc>
        <w:tc>
          <w:tcPr>
            <w:tcW w:type="dxa" w:w="231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Flex 2</w:t>
            </w:r>
          </w:p>
        </w:tc>
      </w:tr>
      <w:tr>
        <w:tc>
          <w:tcPr>
            <w:tcW w:type="dxa" w:w="22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组合 3：50% 训练，50% 可容忍时延的推理</w:t>
            </w:r>
          </w:p>
        </w:tc>
        <w:tc>
          <w:tcPr>
            <w:tcW w:type="dxa" w:w="3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LLaMA 8B—推理</w:t>
            </w:r>
          </w:p>
        </w:tc>
        <w:tc>
          <w:tcPr>
            <w:tcW w:type="dxa" w:w="11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4</w:t>
            </w:r>
          </w:p>
        </w:tc>
        <w:tc>
          <w:tcPr>
            <w:tcW w:type="dxa" w:w="231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Flex 3</w:t>
            </w:r>
          </w:p>
        </w:tc>
      </w:tr>
      <w:tr>
        <w:tc>
          <w:tcPr>
            <w:tcW w:type="dxa" w:w="22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组合 3：50% 训练，50% 可容忍时延的推理</w:t>
            </w:r>
          </w:p>
        </w:tc>
        <w:tc>
          <w:tcPr>
            <w:tcW w:type="dxa" w:w="3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LLaMA 8B—推理</w:t>
            </w:r>
          </w:p>
        </w:tc>
        <w:tc>
          <w:tcPr>
            <w:tcW w:type="dxa" w:w="11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6</w:t>
            </w:r>
          </w:p>
        </w:tc>
        <w:tc>
          <w:tcPr>
            <w:tcW w:type="dxa" w:w="231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Flex 2</w:t>
            </w:r>
          </w:p>
        </w:tc>
      </w:tr>
      <w:tr>
        <w:tc>
          <w:tcPr>
            <w:tcW w:type="dxa" w:w="22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组合 3：50% 训练，50% 可容忍时延的推理</w:t>
            </w:r>
          </w:p>
        </w:tc>
        <w:tc>
          <w:tcPr>
            <w:tcW w:type="dxa" w:w="3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LLaMA 8B—推理</w:t>
            </w:r>
          </w:p>
        </w:tc>
        <w:tc>
          <w:tcPr>
            <w:tcW w:type="dxa" w:w="11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w:t>
            </w:r>
          </w:p>
        </w:tc>
        <w:tc>
          <w:tcPr>
            <w:tcW w:type="dxa" w:w="231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Flex 1</w:t>
            </w:r>
          </w:p>
        </w:tc>
      </w:tr>
      <w:tr>
        <w:tc>
          <w:tcPr>
            <w:tcW w:type="dxa" w:w="22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组合 4：90% 训练，10% 用户推理</w:t>
            </w:r>
          </w:p>
        </w:tc>
        <w:tc>
          <w:tcPr>
            <w:tcW w:type="dxa" w:w="3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MPT 13B—训练</w:t>
            </w:r>
          </w:p>
        </w:tc>
        <w:tc>
          <w:tcPr>
            <w:tcW w:type="dxa" w:w="11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6</w:t>
            </w:r>
          </w:p>
        </w:tc>
        <w:tc>
          <w:tcPr>
            <w:tcW w:type="dxa" w:w="231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Flex 3</w:t>
            </w:r>
          </w:p>
        </w:tc>
      </w:tr>
      <w:tr>
        <w:tc>
          <w:tcPr>
            <w:tcW w:type="dxa" w:w="22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组合 4：90% 训练，10% 用户推理</w:t>
            </w:r>
          </w:p>
        </w:tc>
        <w:tc>
          <w:tcPr>
            <w:tcW w:type="dxa" w:w="3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MPT 7B—训练</w:t>
            </w:r>
          </w:p>
        </w:tc>
        <w:tc>
          <w:tcPr>
            <w:tcW w:type="dxa" w:w="11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w:t>
            </w:r>
          </w:p>
        </w:tc>
        <w:tc>
          <w:tcPr>
            <w:tcW w:type="dxa" w:w="231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Flex 3</w:t>
            </w:r>
          </w:p>
        </w:tc>
      </w:tr>
      <w:tr>
        <w:tc>
          <w:tcPr>
            <w:tcW w:type="dxa" w:w="22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组合 4：90% 训练，10% 用户推理</w:t>
            </w:r>
          </w:p>
        </w:tc>
        <w:tc>
          <w:tcPr>
            <w:tcW w:type="dxa" w:w="3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LLaMA 8B—微调</w:t>
            </w:r>
          </w:p>
        </w:tc>
        <w:tc>
          <w:tcPr>
            <w:tcW w:type="dxa" w:w="11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4</w:t>
            </w:r>
          </w:p>
        </w:tc>
        <w:tc>
          <w:tcPr>
            <w:tcW w:type="dxa" w:w="231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Flex 2</w:t>
            </w:r>
          </w:p>
        </w:tc>
      </w:tr>
      <w:tr>
        <w:tc>
          <w:tcPr>
            <w:tcW w:type="dxa" w:w="22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组合 4：90% 训练，10% 用户推理</w:t>
            </w:r>
          </w:p>
        </w:tc>
        <w:tc>
          <w:tcPr>
            <w:tcW w:type="dxa" w:w="3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LLaMA 8B—微调</w:t>
            </w:r>
          </w:p>
        </w:tc>
        <w:tc>
          <w:tcPr>
            <w:tcW w:type="dxa" w:w="11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4</w:t>
            </w:r>
          </w:p>
        </w:tc>
        <w:tc>
          <w:tcPr>
            <w:tcW w:type="dxa" w:w="231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Flex 3</w:t>
            </w:r>
          </w:p>
        </w:tc>
      </w:tr>
      <w:tr>
        <w:tc>
          <w:tcPr>
            <w:tcW w:type="dxa" w:w="22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组合 4：90% 训练，10% 用户推理</w:t>
            </w:r>
          </w:p>
        </w:tc>
        <w:tc>
          <w:tcPr>
            <w:tcW w:type="dxa" w:w="3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LLaMA 8B—推理</w:t>
            </w:r>
          </w:p>
        </w:tc>
        <w:tc>
          <w:tcPr>
            <w:tcW w:type="dxa" w:w="11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2</w:t>
            </w:r>
          </w:p>
        </w:tc>
        <w:tc>
          <w:tcPr>
            <w:tcW w:type="dxa" w:w="231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Flex 0</w:t>
            </w:r>
          </w:p>
        </w:tc>
      </w:tr>
      <w:tr>
        <w:tc>
          <w:tcPr>
            <w:tcW w:type="dxa" w:w="22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组合 4：90% 训练，10% 用户推理</w:t>
            </w:r>
          </w:p>
        </w:tc>
        <w:tc>
          <w:tcPr>
            <w:tcW w:type="dxa" w:w="3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LLaMA 8B—推理</w:t>
            </w:r>
          </w:p>
        </w:tc>
        <w:tc>
          <w:tcPr>
            <w:tcW w:type="dxa" w:w="11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2</w:t>
            </w:r>
          </w:p>
        </w:tc>
        <w:tc>
          <w:tcPr>
            <w:tcW w:type="dxa" w:w="231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Flex 0</w:t>
            </w:r>
          </w:p>
        </w:tc>
      </w:tr>
      <w:tr>
        <w:tc>
          <w:tcPr>
            <w:tcW w:type="dxa" w:w="22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组合 4：90% 训练，10% 用户推理</w:t>
            </w:r>
          </w:p>
        </w:tc>
        <w:tc>
          <w:tcPr>
            <w:tcW w:type="dxa" w:w="3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LLaMA 8B—微调</w:t>
            </w:r>
          </w:p>
        </w:tc>
        <w:tc>
          <w:tcPr>
            <w:tcW w:type="dxa" w:w="11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4</w:t>
            </w:r>
          </w:p>
        </w:tc>
        <w:tc>
          <w:tcPr>
            <w:tcW w:type="dxa" w:w="231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Flex 3</w:t>
            </w:r>
          </w:p>
        </w:tc>
      </w:tr>
      <w:tr>
        <w:tc>
          <w:tcPr>
            <w:tcW w:type="dxa" w:w="22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组合 4：90% 训练，10% 用户推理</w:t>
            </w:r>
          </w:p>
        </w:tc>
        <w:tc>
          <w:tcPr>
            <w:tcW w:type="dxa" w:w="3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LLaMA 8B—微调</w:t>
            </w:r>
          </w:p>
        </w:tc>
        <w:tc>
          <w:tcPr>
            <w:tcW w:type="dxa" w:w="11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4</w:t>
            </w:r>
          </w:p>
        </w:tc>
        <w:tc>
          <w:tcPr>
            <w:tcW w:type="dxa" w:w="231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Flex 2</w:t>
            </w:r>
          </w:p>
        </w:tc>
      </w:tr>
    </w:tbl>
    <w:p>
      <w:pPr>
        <w:spacing w:after="40"/>
      </w:pPr>
    </w:p>
    <w:p>
      <w:pPr>
        <w:keepLines/>
      </w:pPr>
      <w:r>
        <w:rPr>
          <w:rFonts w:ascii="Noto Sans CJK SC" w:hAnsi="Noto Sans CJK SC" w:eastAsia="Noto Sans CJK SC" w:cs="Noto Sans CJK SC"/>
          <w:b/>
          <w:i w:val="0"/>
          <w:color w:val="1D2733"/>
          <w:sz w:val="20"/>
        </w:rPr>
        <w:t>表下注释翻译：</w:t>
      </w:r>
      <w:r>
        <w:rPr>
          <w:rFonts w:ascii="Noto Sans CJK SC" w:hAnsi="Noto Sans CJK SC" w:eastAsia="Noto Sans CJK SC" w:cs="Noto Sans CJK SC"/>
          <w:b w:val="0"/>
          <w:i w:val="0"/>
          <w:color w:val="1D2733"/>
          <w:sz w:val="20"/>
        </w:rPr>
        <w:t xml:space="preserve"> 在接受测试的集群中，每个 GPU 节点由 8 块 A100 GPU 构成。每个工作负载组合在整个实验期间持续运行，具体控制操作由功率编排平台确定。</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每一组的节点数加起来都是 32 个节点，而每节点有 8 块 GPU，因此正好对应 256 块 GPU。表中同名任务重复出现并非排版错误，而是多个独立任务实例，它们可以有不同灵活性标签。例如，同样是 LLaMA 8B 微调，有的用户允许最多慢 25%，有的允许最多慢 50%。组合 1、2、4 中的“用户推理”基本被标为 Flex 0，模拟的是需要及时响应的在线服务；组合 3 刻意加入可容忍延迟的推理任务，用来检验推理也具有调度余地时，系统能释放多少灵活性。MPT 13B、MPT 7B 和 LLaMA 8B 中的 13B、7B、8B 大致表示模型参数量为 130 亿、70 亿和 80 亿。</w:t>
      </w:r>
    </w:p>
    <w:p>
      <w:pPr>
        <w:pStyle w:val="Heading2"/>
      </w:pPr>
      <w:r>
        <w:rPr>
          <w:rFonts w:ascii="Noto Sans CJK SC" w:hAnsi="Noto Sans CJK SC" w:eastAsia="Noto Sans CJK SC" w:cs="Noto Sans CJK SC"/>
          <w:b/>
          <w:i w:val="0"/>
          <w:color w:val="1F4E79"/>
          <w:sz w:val="28"/>
        </w:rPr>
        <w:t>凤凰城现场试验</w:t>
      </w:r>
    </w:p>
    <w:p>
      <w:pPr>
        <w:keepLines w:val="0"/>
      </w:pPr>
      <w:r>
        <w:rPr>
          <w:rFonts w:ascii="Noto Sans CJK SC" w:hAnsi="Noto Sans CJK SC" w:eastAsia="Noto Sans CJK SC" w:cs="Noto Sans CJK SC"/>
          <w:b w:val="0"/>
          <w:i w:val="0"/>
          <w:color w:val="1D2733"/>
          <w:sz w:val="20"/>
        </w:rPr>
        <w:t>示范在 Oracle 凤凰城区域云数据中心进行。测试平台是一个由 256 块 NVIDIA A100 Tensor Core GPU 构成的集群；工作负载通过 Databricks MosaicML 进行编排，使用 Weights &amp; Biases 采集遥测数据，并接入 Amperon 的电网需求预测工具。作者选取了四种具有代表性的工作负载组合，每种组合都按不同比例混合多类 AI 任务。AI 系统通常经历三个阶段：</w:t>
      </w:r>
      <w:r>
        <w:rPr>
          <w:rFonts w:ascii="Noto Sans CJK SC" w:hAnsi="Noto Sans CJK SC" w:eastAsia="Noto Sans CJK SC" w:cs="Noto Sans CJK SC"/>
          <w:b/>
          <w:i w:val="0"/>
          <w:color w:val="1D2733"/>
          <w:sz w:val="20"/>
        </w:rPr>
        <w:t>训练（training）</w:t>
      </w:r>
      <w:r>
        <w:rPr>
          <w:rFonts w:ascii="Noto Sans CJK SC" w:hAnsi="Noto Sans CJK SC" w:eastAsia="Noto Sans CJK SC" w:cs="Noto Sans CJK SC"/>
          <w:b w:val="0"/>
          <w:i w:val="0"/>
          <w:color w:val="1D2733"/>
          <w:sz w:val="20"/>
        </w:rPr>
        <w:t>，即模型从大型数据集中学习规律；</w:t>
      </w:r>
      <w:r>
        <w:rPr>
          <w:rFonts w:ascii="Noto Sans CJK SC" w:hAnsi="Noto Sans CJK SC" w:eastAsia="Noto Sans CJK SC" w:cs="Noto Sans CJK SC"/>
          <w:b/>
          <w:i w:val="0"/>
          <w:color w:val="1D2733"/>
          <w:sz w:val="20"/>
        </w:rPr>
        <w:t>推理（inference）</w:t>
      </w:r>
      <w:r>
        <w:rPr>
          <w:rFonts w:ascii="Noto Sans CJK SC" w:hAnsi="Noto Sans CJK SC" w:eastAsia="Noto Sans CJK SC" w:cs="Noto Sans CJK SC"/>
          <w:b w:val="0"/>
          <w:i w:val="0"/>
          <w:color w:val="1D2733"/>
          <w:sz w:val="20"/>
        </w:rPr>
        <w:t>，即训练好的模型进行预测；以及</w:t>
      </w:r>
      <w:r>
        <w:rPr>
          <w:rFonts w:ascii="Noto Sans CJK SC" w:hAnsi="Noto Sans CJK SC" w:eastAsia="Noto Sans CJK SC" w:cs="Noto Sans CJK SC"/>
          <w:b/>
          <w:i w:val="0"/>
          <w:color w:val="1D2733"/>
          <w:sz w:val="20"/>
        </w:rPr>
        <w:t>微调（fine-tuning）</w:t>
      </w:r>
      <w:r>
        <w:rPr>
          <w:rFonts w:ascii="Noto Sans CJK SC" w:hAnsi="Noto Sans CJK SC" w:eastAsia="Noto Sans CJK SC" w:cs="Noto Sans CJK SC"/>
          <w:b w:val="0"/>
          <w:i w:val="0"/>
          <w:color w:val="1D2733"/>
          <w:sz w:val="20"/>
        </w:rPr>
        <w:t>，即用较少的数据让模型适应新的任务。推理既可以采用</w:t>
      </w:r>
      <w:r>
        <w:rPr>
          <w:rFonts w:ascii="Noto Sans CJK SC" w:hAnsi="Noto Sans CJK SC" w:eastAsia="Noto Sans CJK SC" w:cs="Noto Sans CJK SC"/>
          <w:b/>
          <w:i w:val="0"/>
          <w:color w:val="1D2733"/>
          <w:sz w:val="20"/>
        </w:rPr>
        <w:t>批处理模式（batch mode）</w:t>
      </w:r>
      <w:r>
        <w:rPr>
          <w:rFonts w:ascii="Noto Sans CJK SC" w:hAnsi="Noto Sans CJK SC" w:eastAsia="Noto Sans CJK SC" w:cs="Noto Sans CJK SC"/>
          <w:b w:val="0"/>
          <w:i w:val="0"/>
          <w:color w:val="1D2733"/>
          <w:sz w:val="20"/>
        </w:rPr>
        <w:t>，一次处理大量输入，例如在夜间进行分析；也可以实时运行，例如聊天机器人需要立即回应用户请求。“方法”部分进一步说明了作者如何组合这些类型的工作负载。</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作者没有只跑一种模型，而是故意把训练、微调、在线推理和批量推理混在同一个集群里，使测试更像真实云平台。它们的可调度性不同：模型训练通常持续很久，慢一点影响较小；批量推理可以稍后补做；实时推理则不能随意暂停。Weights &amp; Biases 在这里相当于“仪表盘和记录器”，负责采集任务速度等数据；Amperon 则提供“电网天气预报”，告诉系统什么时候可能出现用电高峰。</w:t>
      </w:r>
    </w:p>
    <w:p>
      <w:pPr>
        <w:keepLines w:val="0"/>
      </w:pPr>
      <w:r>
        <w:rPr>
          <w:rFonts w:ascii="Noto Sans CJK SC" w:hAnsi="Noto Sans CJK SC" w:eastAsia="Noto Sans CJK SC" w:cs="Noto Sans CJK SC"/>
          <w:b w:val="0"/>
          <w:i w:val="0"/>
          <w:color w:val="1D2733"/>
          <w:sz w:val="20"/>
        </w:rPr>
        <w:t>作者与当地电力企业 Arizona Public Service（</w:t>
      </w:r>
      <w:r>
        <w:rPr>
          <w:rFonts w:ascii="Noto Sans CJK SC" w:hAnsi="Noto Sans CJK SC" w:eastAsia="Noto Sans CJK SC" w:cs="Noto Sans CJK SC"/>
          <w:b/>
          <w:i w:val="0"/>
          <w:color w:val="1D2733"/>
          <w:sz w:val="20"/>
        </w:rPr>
        <w:t>APS</w:t>
      </w:r>
      <w:r>
        <w:rPr>
          <w:rFonts w:ascii="Noto Sans CJK SC" w:hAnsi="Noto Sans CJK SC" w:eastAsia="Noto Sans CJK SC" w:cs="Noto Sans CJK SC"/>
          <w:b w:val="0"/>
          <w:i w:val="0"/>
          <w:color w:val="1D2733"/>
          <w:sz w:val="20"/>
        </w:rPr>
        <w:t>）及 Salt River Project（</w:t>
      </w:r>
      <w:r>
        <w:rPr>
          <w:rFonts w:ascii="Noto Sans CJK SC" w:hAnsi="Noto Sans CJK SC" w:eastAsia="Noto Sans CJK SC" w:cs="Noto Sans CJK SC"/>
          <w:b/>
          <w:i w:val="0"/>
          <w:color w:val="1D2733"/>
          <w:sz w:val="20"/>
        </w:rPr>
        <w:t>SRP</w:t>
      </w:r>
      <w:r>
        <w:rPr>
          <w:rFonts w:ascii="Noto Sans CJK SC" w:hAnsi="Noto Sans CJK SC" w:eastAsia="Noto Sans CJK SC" w:cs="Noto Sans CJK SC"/>
          <w:b w:val="0"/>
          <w:i w:val="0"/>
          <w:color w:val="1D2733"/>
          <w:sz w:val="20"/>
        </w:rPr>
        <w:t>）协商后，为可响应电网的用电负荷设定了严格目标，以证明 AI 计算负荷能够在全系统同时出现峰值压力时提供有意义的缓解。例如，在凤凰城的炎热天气中，空调用电很高，系统负荷会达到峰值。作者执行了两次事件来展示这些能力：（1）2025 年 5 月 1 日，针对 APS 系统峰值；（2）2025 年 5 月 3 日，针对 SRP 系统峰值。作者跟踪电网负荷，并识别即将到来的峰值需求时段。</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这两次不是研究人员随便选三个小时降功率，而是按照真实电力公司的系统负荷曲线，把数据中心的降功率窗口放在电网最吃紧的时间附近。“系统同时峰值”很重要：如果数据中心只在凌晨低谷少用电，对电网扩容几乎没有帮助；只有在全城都用电很多时少用电，才真正有削峰价值。</w:t>
      </w:r>
    </w:p>
    <w:p>
      <w:pPr>
        <w:keepLines/>
      </w:pPr>
      <w:r>
        <w:rPr>
          <w:rFonts w:ascii="Noto Sans CJK SC" w:hAnsi="Noto Sans CJK SC" w:eastAsia="Noto Sans CJK SC" w:cs="Noto Sans CJK SC"/>
          <w:b w:val="0"/>
          <w:i w:val="0"/>
          <w:color w:val="1D2733"/>
          <w:sz w:val="20"/>
        </w:rPr>
        <w:t>每次事件都要求集群在需求高峰期，相对于平均基准负荷降低 25% 的功率，并将这一降幅维持 3 小时；同时，系统要用 15 分钟平稳地降功率和恢复功率。在事件结束时，还必须避免所谓的</w:t>
      </w:r>
      <w:r>
        <w:rPr>
          <w:rFonts w:ascii="Noto Sans CJK SC" w:hAnsi="Noto Sans CJK SC" w:eastAsia="Noto Sans CJK SC" w:cs="Noto Sans CJK SC"/>
          <w:b/>
          <w:i w:val="0"/>
          <w:color w:val="1D2733"/>
          <w:sz w:val="20"/>
        </w:rPr>
        <w:t>“反弹”（snap back）</w:t>
      </w:r>
      <w:r>
        <w:rPr>
          <w:rFonts w:ascii="Noto Sans CJK SC" w:hAnsi="Noto Sans CJK SC" w:eastAsia="Noto Sans CJK SC" w:cs="Noto Sans CJK SC"/>
          <w:b w:val="0"/>
          <w:i w:val="0"/>
          <w:color w:val="1D2733"/>
          <w:sz w:val="20"/>
        </w:rPr>
        <w:t>，也就是恢复后维持在与事件前大致相同的基准水平，而不能突然出现大幅用电增长。这些技术要求由合作电力企业制定。在两次事件中，功率编排平台都准确满足了电力企业设定的要求（图 2、图 3）。</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如果到 18:00 突然同时暂停大量 GPU，电网会看到功率陡降；如果 21:00 又把所有积压任务同时全速恢复，电网会看到新的尖峰，这就是“反弹”。所以平台不仅要达到 25% 的削减量，还必须控制下降和恢复的坡度，并错开任务恢复。换言之，电力公司需要的是一条可预测、平滑的功率曲线，不只是某一时刻数字碰巧下降。</w:t>
      </w:r>
    </w:p>
    <w:p>
      <w:pPr>
        <w:keepLines/>
      </w:pPr>
      <w:r>
        <w:rPr>
          <w:rFonts w:ascii="Noto Sans CJK SC" w:hAnsi="Noto Sans CJK SC" w:eastAsia="Noto Sans CJK SC" w:cs="Noto Sans CJK SC"/>
          <w:b w:val="0"/>
          <w:i w:val="0"/>
          <w:color w:val="1D2733"/>
          <w:sz w:val="20"/>
        </w:rPr>
        <w:t>在 APS 和 SRP 两次事件中，所有任务都在其 SLA 所允许的范围内完成。作者通过功率测量确认，该软件方案实现了持续且准确的功率降低。</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这句话同时检查了电网侧和计算侧：一边确实按要求少用了电，另一边每个任务又没有突破用户事先允许的性能下限。论文并不是声称“降功率完全没有性能代价”，而是说代价被控制在不同 Flex 等级预先约定的范围内。</w:t>
      </w:r>
    </w:p>
    <w:p>
      <w:pPr>
        <w:keepLines w:val="0"/>
      </w:pPr>
      <w:r>
        <w:rPr>
          <w:rFonts w:ascii="Noto Sans CJK SC" w:hAnsi="Noto Sans CJK SC" w:eastAsia="Noto Sans CJK SC" w:cs="Noto Sans CJK SC"/>
          <w:b w:val="0"/>
          <w:i w:val="0"/>
          <w:color w:val="1D2733"/>
          <w:sz w:val="20"/>
        </w:rPr>
        <w:t>作者还在现场试验中模拟了一次合成的应急事件，其依据是</w:t>
      </w:r>
      <w:r>
        <w:rPr>
          <w:rFonts w:ascii="Noto Sans CJK SC" w:hAnsi="Noto Sans CJK SC" w:eastAsia="Noto Sans CJK SC" w:cs="Noto Sans CJK SC"/>
          <w:b/>
          <w:i w:val="0"/>
          <w:color w:val="1D2733"/>
          <w:sz w:val="20"/>
        </w:rPr>
        <w:t>加州独立系统运营商（California Independent System Operator, CAISO）</w:t>
      </w:r>
      <w:r>
        <w:rPr>
          <w:rFonts w:ascii="Noto Sans CJK SC" w:hAnsi="Noto Sans CJK SC" w:eastAsia="Noto Sans CJK SC" w:cs="Noto Sans CJK SC"/>
          <w:b w:val="0"/>
          <w:i w:val="0"/>
          <w:color w:val="1D2733"/>
          <w:sz w:val="20"/>
        </w:rPr>
        <w:t>在 2020 年 8 月发生的紧急负荷削减事件。当时，极端天气期间一座发电厂发生故障，促使 CAISO 请求利用电网中的可用备用能力来降低功率需求[14]。在此次重演中，功率编排系统先响应 15% 的初始削减要求，随后又响应紧急增加的 10% 削减，即总削减幅度进一步降至 25%。系统平稳实现了两级功率降低，其实际功率曲线与目标曲线相符（图 4），同时继续保证 AI 的 QoS 阈值。</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图 4 是“把一次历史电网危机的时间线拿来做压力测试”，而不是说这个 256-GPU 集群在 2020 年真的参与了 CAISO 调度。测试难点在于电网需求会临时升级：原本只需少用 15%，发电厂故障后突然要少用 25%。平台必须在不中断严格 SLA 任务的前提下，再从灵活任务中迅速挤出额外 10% 的功率空间。</w:t>
      </w:r>
    </w:p>
    <w:p>
      <w:pPr>
        <w:keepLines/>
      </w:pPr>
      <w:r>
        <w:rPr>
          <w:rFonts w:ascii="Noto Sans CJK SC" w:hAnsi="Noto Sans CJK SC" w:eastAsia="Noto Sans CJK SC" w:cs="Noto Sans CJK SC"/>
          <w:b w:val="0"/>
          <w:i w:val="0"/>
          <w:color w:val="1D2733"/>
          <w:sz w:val="20"/>
        </w:rPr>
        <w:t>除了针对 APS、SRP 和 CAISO 样例事件展示能力之外，作者在现场试验期间总共进行了 33 次实验，每次持续 3–6 小时，包含 212 个独立任务（表 2）。这些实验展示了对所选工作负载组合采用多种不同功率管理策略所产生的影响，详见“方法”部分。在每一次实验中，系统都按预期运行：它依据模拟器的预测，实现规定的功率降幅，并满足每项任务各自的 SLA 要求。</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APS、SRP 和 CAISO 三个案例是最直观的展示，但结论不只来自三条曲线；作者还改变任务组合、控制手段和目标功率做了 33 次运行。需要注意的是，这仍然属于同一地点、同一类硬件上的现场验证，而不是多家数据中心长期运营的统计结果。“每次都成功”说明系统在这些预设实验条件下稳定达到约束，不能直接外推为任何未知工作负载或任何规模的数据中心都必然成功。</w:t>
      </w:r>
    </w:p>
    <w:p>
      <w:pPr>
        <w:pStyle w:val="Heading2"/>
      </w:pPr>
      <w:r>
        <w:rPr>
          <w:rFonts w:ascii="Noto Sans CJK SC" w:hAnsi="Noto Sans CJK SC" w:eastAsia="Noto Sans CJK SC" w:cs="Noto Sans CJK SC"/>
          <w:b/>
          <w:i w:val="0"/>
          <w:color w:val="1F4E79"/>
          <w:sz w:val="28"/>
        </w:rPr>
        <w:t>图 2｜SRP 电力公司实验总结</w:t>
      </w:r>
    </w:p>
    <w:p>
      <w:pPr>
        <w:keepNext/>
        <w:spacing w:before="40" w:after="60"/>
        <w:jc w:val="center"/>
      </w:pPr>
      <w:r>
        <w:drawing>
          <wp:inline xmlns:a="http://schemas.openxmlformats.org/drawingml/2006/main" xmlns:pic="http://schemas.openxmlformats.org/drawingml/2006/picture">
            <wp:extent cx="5806440" cy="2282532"/>
            <wp:docPr id="2" name="Picture 2" descr="原论文图 2，用于配合中文图题与通俗解读"/>
            <wp:cNvGraphicFramePr>
              <a:graphicFrameLocks noChangeAspect="1"/>
            </wp:cNvGraphicFramePr>
            <a:graphic>
              <a:graphicData uri="http://schemas.openxmlformats.org/drawingml/2006/picture">
                <pic:pic>
                  <pic:nvPicPr>
                    <pic:cNvPr id="0" name="fig2.png"/>
                    <pic:cNvPicPr/>
                  </pic:nvPicPr>
                  <pic:blipFill>
                    <a:blip r:embed="rId13"/>
                    <a:stretch>
                      <a:fillRect/>
                    </a:stretch>
                  </pic:blipFill>
                  <pic:spPr>
                    <a:xfrm>
                      <a:off x="0" y="0"/>
                      <a:ext cx="5806440" cy="2282532"/>
                    </a:xfrm>
                    <a:prstGeom prst="rect"/>
                  </pic:spPr>
                </pic:pic>
              </a:graphicData>
            </a:graphic>
          </wp:inline>
        </w:drawing>
      </w:r>
    </w:p>
    <w:p>
      <w:pPr>
        <w:pStyle w:val="SourceNote"/>
        <w:keepNext w:val="0"/>
        <w:jc w:val="center"/>
      </w:pPr>
      <w:r>
        <w:rPr>
          <w:rFonts w:ascii="Noto Sans CJK SC" w:hAnsi="Noto Sans CJK SC" w:eastAsia="Noto Sans CJK SC" w:cs="Noto Sans CJK SC"/>
          <w:b w:val="0"/>
          <w:i w:val="0"/>
          <w:color w:val="667085"/>
          <w:sz w:val="17"/>
        </w:rPr>
        <w:t>原论文图 2（英文图内标注；下文逐项翻译并解释）</w:t>
      </w:r>
    </w:p>
    <w:p>
      <w:pPr>
        <w:pStyle w:val="Heading3"/>
      </w:pPr>
      <w:r>
        <w:rPr>
          <w:rFonts w:ascii="Noto Sans CJK SC" w:hAnsi="Noto Sans CJK SC" w:eastAsia="Noto Sans CJK SC" w:cs="Noto Sans CJK SC"/>
          <w:b/>
          <w:i w:val="0"/>
          <w:color w:val="1F4E79"/>
          <w:sz w:val="23"/>
        </w:rPr>
        <w:t>图内文字翻译</w:t>
      </w:r>
    </w:p>
    <w:p>
      <w:pPr>
        <w:pStyle w:val="ListBullet"/>
        <w:ind w:hanging="259"/>
      </w:pPr>
      <w:r>
        <w:rPr>
          <w:rFonts w:ascii="Noto Sans CJK SC" w:hAnsi="Noto Sans CJK SC" w:eastAsia="Noto Sans CJK SC" w:cs="Noto Sans CJK SC"/>
          <w:b/>
          <w:i w:val="0"/>
          <w:color w:val="1D2733"/>
          <w:sz w:val="20"/>
        </w:rPr>
        <w:t>a 图标题：</w:t>
      </w:r>
      <w:r>
        <w:rPr>
          <w:rFonts w:ascii="Noto Sans CJK SC" w:hAnsi="Noto Sans CJK SC" w:eastAsia="Noto Sans CJK SC" w:cs="Noto Sans CJK SC"/>
          <w:b w:val="0"/>
          <w:i w:val="0"/>
          <w:color w:val="1D2733"/>
          <w:sz w:val="20"/>
        </w:rPr>
        <w:t xml:space="preserve"> SRP 电网功率与 GPU 集群功率</w:t>
      </w:r>
    </w:p>
    <w:p>
      <w:pPr>
        <w:pStyle w:val="ListBullet"/>
        <w:ind w:hanging="259"/>
      </w:pPr>
      <w:r>
        <w:rPr>
          <w:rFonts w:ascii="Noto Sans CJK SC" w:hAnsi="Noto Sans CJK SC" w:eastAsia="Noto Sans CJK SC" w:cs="Noto Sans CJK SC"/>
          <w:b w:val="0"/>
          <w:i w:val="0"/>
          <w:color w:val="1D2733"/>
          <w:sz w:val="20"/>
        </w:rPr>
        <w:t>左轴：SRP 负荷（GW）</w:t>
      </w:r>
    </w:p>
    <w:p>
      <w:pPr>
        <w:pStyle w:val="ListBullet"/>
        <w:ind w:hanging="259"/>
      </w:pPr>
      <w:r>
        <w:rPr>
          <w:rFonts w:ascii="Noto Sans CJK SC" w:hAnsi="Noto Sans CJK SC" w:eastAsia="Noto Sans CJK SC" w:cs="Noto Sans CJK SC"/>
          <w:b w:val="0"/>
          <w:i w:val="0"/>
          <w:color w:val="1D2733"/>
          <w:sz w:val="20"/>
        </w:rPr>
        <w:t>右轴：GPU 集群功率（kW）</w:t>
      </w:r>
    </w:p>
    <w:p>
      <w:pPr>
        <w:pStyle w:val="ListBullet"/>
        <w:ind w:hanging="259"/>
      </w:pPr>
      <w:r>
        <w:rPr>
          <w:rFonts w:ascii="Noto Sans CJK SC" w:hAnsi="Noto Sans CJK SC" w:eastAsia="Noto Sans CJK SC" w:cs="Noto Sans CJK SC"/>
          <w:b w:val="0"/>
          <w:i w:val="0"/>
          <w:color w:val="1D2733"/>
          <w:sz w:val="20"/>
        </w:rPr>
        <w:t>横轴：2025 年 5 月 3 日时间（MDT，山地夏令时）</w:t>
      </w:r>
    </w:p>
    <w:p>
      <w:pPr>
        <w:pStyle w:val="ListBullet"/>
        <w:ind w:hanging="259"/>
      </w:pPr>
      <w:r>
        <w:rPr>
          <w:rFonts w:ascii="Noto Sans CJK SC" w:hAnsi="Noto Sans CJK SC" w:eastAsia="Noto Sans CJK SC" w:cs="Noto Sans CJK SC"/>
          <w:b w:val="0"/>
          <w:i w:val="0"/>
          <w:color w:val="1D2733"/>
          <w:sz w:val="20"/>
        </w:rPr>
        <w:t>图例：集群（Cluster）；SRP</w:t>
      </w:r>
    </w:p>
    <w:p>
      <w:pPr>
        <w:pStyle w:val="ListBullet"/>
        <w:ind w:hanging="259"/>
      </w:pPr>
      <w:r>
        <w:rPr>
          <w:rFonts w:ascii="Noto Sans CJK SC" w:hAnsi="Noto Sans CJK SC" w:eastAsia="Noto Sans CJK SC" w:cs="Noto Sans CJK SC"/>
          <w:b/>
          <w:i w:val="0"/>
          <w:color w:val="1D2733"/>
          <w:sz w:val="20"/>
        </w:rPr>
        <w:t>b 图标题：</w:t>
      </w:r>
      <w:r>
        <w:rPr>
          <w:rFonts w:ascii="Noto Sans CJK SC" w:hAnsi="Noto Sans CJK SC" w:eastAsia="Noto Sans CJK SC" w:cs="Noto Sans CJK SC"/>
          <w:b w:val="0"/>
          <w:i w:val="0"/>
          <w:color w:val="1D2733"/>
          <w:sz w:val="20"/>
        </w:rPr>
        <w:t xml:space="preserve"> 不同灵活性等级的任务性能</w:t>
      </w:r>
    </w:p>
    <w:p>
      <w:pPr>
        <w:pStyle w:val="ListBullet"/>
        <w:ind w:hanging="259"/>
      </w:pPr>
      <w:r>
        <w:rPr>
          <w:rFonts w:ascii="Noto Sans CJK SC" w:hAnsi="Noto Sans CJK SC" w:eastAsia="Noto Sans CJK SC" w:cs="Noto Sans CJK SC"/>
          <w:b w:val="0"/>
          <w:i w:val="0"/>
          <w:color w:val="1D2733"/>
          <w:sz w:val="20"/>
        </w:rPr>
        <w:t>横轴：灵活性等级（Flex tier）</w:t>
      </w:r>
    </w:p>
    <w:p>
      <w:pPr>
        <w:pStyle w:val="ListBullet"/>
        <w:ind w:hanging="259"/>
      </w:pPr>
      <w:r>
        <w:rPr>
          <w:rFonts w:ascii="Noto Sans CJK SC" w:hAnsi="Noto Sans CJK SC" w:eastAsia="Noto Sans CJK SC" w:cs="Noto Sans CJK SC"/>
          <w:b w:val="0"/>
          <w:i w:val="0"/>
          <w:color w:val="1D2733"/>
          <w:sz w:val="20"/>
        </w:rPr>
        <w:t>右轴：性能（%）</w:t>
      </w:r>
    </w:p>
    <w:p>
      <w:pPr>
        <w:pStyle w:val="ListBullet"/>
        <w:ind w:hanging="259"/>
      </w:pPr>
      <w:r>
        <w:rPr>
          <w:rFonts w:ascii="Noto Sans CJK SC" w:hAnsi="Noto Sans CJK SC" w:eastAsia="Noto Sans CJK SC" w:cs="Noto Sans CJK SC"/>
          <w:b w:val="0"/>
          <w:i w:val="0"/>
          <w:color w:val="1D2733"/>
          <w:sz w:val="20"/>
        </w:rPr>
        <w:t>类别：Flex 3、Flex 2、Flex 1、所有任务的性能（All jobs performance）</w:t>
      </w:r>
    </w:p>
    <w:p>
      <w:pPr>
        <w:pStyle w:val="Heading3"/>
      </w:pPr>
      <w:r>
        <w:rPr>
          <w:rFonts w:ascii="Noto Sans CJK SC" w:hAnsi="Noto Sans CJK SC" w:eastAsia="Noto Sans CJK SC" w:cs="Noto Sans CJK SC"/>
          <w:b/>
          <w:i w:val="0"/>
          <w:color w:val="1F4E79"/>
          <w:sz w:val="23"/>
        </w:rPr>
        <w:t>图题翻译</w:t>
      </w:r>
    </w:p>
    <w:p>
      <w:pPr>
        <w:keepLines w:val="0"/>
      </w:pPr>
      <w:r>
        <w:rPr>
          <w:rFonts w:ascii="Noto Sans CJK SC" w:hAnsi="Noto Sans CJK SC" w:eastAsia="Noto Sans CJK SC" w:cs="Noto Sans CJK SC"/>
          <w:b/>
          <w:i w:val="0"/>
          <w:color w:val="1D2733"/>
          <w:sz w:val="20"/>
        </w:rPr>
        <w:t>a，</w:t>
      </w:r>
      <w:r>
        <w:rPr>
          <w:rFonts w:ascii="Noto Sans CJK SC" w:hAnsi="Noto Sans CJK SC" w:eastAsia="Noto Sans CJK SC" w:cs="Noto Sans CJK SC"/>
          <w:b w:val="0"/>
          <w:i w:val="0"/>
          <w:color w:val="1D2733"/>
          <w:sz w:val="20"/>
        </w:rPr>
        <w:t xml:space="preserve"> 在 SRP 负荷达到峰值期间运行功率编排平台，使 AI 集群在 16:30 至 19:30 之间降低了用电功率。紫色曲线表示 SRP 随时间变化的用电需求（GW），绿色曲线表示 GPU 集群随时间变化的总功率消耗（kW）。黄色阴影区域表示事件窗口，在此期间，集群维持了 25% 的功率削减。灰色阴影区域表示事件前后集群逐步降低和恢复功率的时段。功率下降是通过暂停任务、减少分配给任务的 GPU 数量以及降低 GPU 本身的功率实现的。水平线表示平均基准功率和事件期间的功率削减目标。MDT 表示山地夏令时。 </w:t>
      </w:r>
      <w:r>
        <w:rPr>
          <w:rFonts w:ascii="Noto Sans CJK SC" w:hAnsi="Noto Sans CJK SC" w:eastAsia="Noto Sans CJK SC" w:cs="Noto Sans CJK SC"/>
          <w:b/>
          <w:i w:val="0"/>
          <w:color w:val="1D2733"/>
          <w:sz w:val="20"/>
        </w:rPr>
        <w:t>b，</w:t>
      </w:r>
      <w:r>
        <w:rPr>
          <w:rFonts w:ascii="Noto Sans CJK SC" w:hAnsi="Noto Sans CJK SC" w:eastAsia="Noto Sans CJK SC" w:cs="Noto Sans CJK SC"/>
          <w:b w:val="0"/>
          <w:i w:val="0"/>
          <w:color w:val="1D2733"/>
          <w:sz w:val="20"/>
        </w:rPr>
        <w:t xml:space="preserve"> 展示应用功率控制后，各灵活性等级的性能受到怎样的影响。Flex 1 任务（绿色）的最低性能阈值为 90%，Flex 2 任务（橙色）的最低性能阈值为 75%，Flex 3 任务（蓝色）的最低性能阈值为 50%。请注意，所有任务的实际性能均高于各自的最低阈值。</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a 图中，紫线在傍晚达到高点，说明 SRP 电网正接近峰值；绿色集群功率则在黄色窗口内从约 90 多 kW 降至约 70 kW，并维持 3 小时。左右轴单位不同：紫线是整个 SRP 系统的 GW 级负荷，绿线只是试验集群的 kW 级功率，两条线不能直接比较高低，重点是看时间是否对齐。b 图是在检查“削峰有没有把 AI 任务拖得过慢”：实际性能柱都没有穿过各等级的最低线，因此没有 SLA 违约。图中的性能是相对基准吞吐量的比例，不是模型准确率；例如 75% 表示单位时间完成的计算量约为正常状态的四分之三，不表示模型预测准确率变成 75%。</w:t>
      </w:r>
    </w:p>
    <w:p>
      <w:pPr>
        <w:pStyle w:val="Heading2"/>
      </w:pPr>
      <w:r>
        <w:rPr>
          <w:rFonts w:ascii="Noto Sans CJK SC" w:hAnsi="Noto Sans CJK SC" w:eastAsia="Noto Sans CJK SC" w:cs="Noto Sans CJK SC"/>
          <w:b/>
          <w:i w:val="0"/>
          <w:color w:val="1F4E79"/>
          <w:sz w:val="28"/>
        </w:rPr>
        <w:t>图 3｜APS 电力公司实验总结</w:t>
      </w:r>
    </w:p>
    <w:p>
      <w:pPr>
        <w:keepNext/>
        <w:spacing w:before="40" w:after="60"/>
        <w:jc w:val="center"/>
      </w:pPr>
      <w:r>
        <w:drawing>
          <wp:inline xmlns:a="http://schemas.openxmlformats.org/drawingml/2006/main" xmlns:pic="http://schemas.openxmlformats.org/drawingml/2006/picture">
            <wp:extent cx="5806440" cy="2002221"/>
            <wp:docPr id="3" name="Picture 3" descr="原论文图 3，用于配合中文图题与通俗解读"/>
            <wp:cNvGraphicFramePr>
              <a:graphicFrameLocks noChangeAspect="1"/>
            </wp:cNvGraphicFramePr>
            <a:graphic>
              <a:graphicData uri="http://schemas.openxmlformats.org/drawingml/2006/picture">
                <pic:pic>
                  <pic:nvPicPr>
                    <pic:cNvPr id="0" name="fig3.png"/>
                    <pic:cNvPicPr/>
                  </pic:nvPicPr>
                  <pic:blipFill>
                    <a:blip r:embed="rId14"/>
                    <a:stretch>
                      <a:fillRect/>
                    </a:stretch>
                  </pic:blipFill>
                  <pic:spPr>
                    <a:xfrm>
                      <a:off x="0" y="0"/>
                      <a:ext cx="5806440" cy="2002221"/>
                    </a:xfrm>
                    <a:prstGeom prst="rect"/>
                  </pic:spPr>
                </pic:pic>
              </a:graphicData>
            </a:graphic>
          </wp:inline>
        </w:drawing>
      </w:r>
    </w:p>
    <w:p>
      <w:pPr>
        <w:pStyle w:val="SourceNote"/>
        <w:keepNext w:val="0"/>
        <w:jc w:val="center"/>
      </w:pPr>
      <w:r>
        <w:rPr>
          <w:rFonts w:ascii="Noto Sans CJK SC" w:hAnsi="Noto Sans CJK SC" w:eastAsia="Noto Sans CJK SC" w:cs="Noto Sans CJK SC"/>
          <w:b w:val="0"/>
          <w:i w:val="0"/>
          <w:color w:val="667085"/>
          <w:sz w:val="17"/>
        </w:rPr>
        <w:t>原论文图 3（英文图内标注；下文逐项翻译并解释）</w:t>
      </w:r>
    </w:p>
    <w:p>
      <w:pPr>
        <w:pStyle w:val="Heading3"/>
      </w:pPr>
      <w:r>
        <w:rPr>
          <w:rFonts w:ascii="Noto Sans CJK SC" w:hAnsi="Noto Sans CJK SC" w:eastAsia="Noto Sans CJK SC" w:cs="Noto Sans CJK SC"/>
          <w:b/>
          <w:i w:val="0"/>
          <w:color w:val="1F4E79"/>
          <w:sz w:val="23"/>
        </w:rPr>
        <w:t>图内文字翻译</w:t>
      </w:r>
    </w:p>
    <w:p>
      <w:pPr>
        <w:pStyle w:val="ListBullet"/>
        <w:ind w:hanging="259"/>
      </w:pPr>
      <w:r>
        <w:rPr>
          <w:rFonts w:ascii="Noto Sans CJK SC" w:hAnsi="Noto Sans CJK SC" w:eastAsia="Noto Sans CJK SC" w:cs="Noto Sans CJK SC"/>
          <w:b w:val="0"/>
          <w:i w:val="0"/>
          <w:color w:val="1D2733"/>
          <w:sz w:val="20"/>
        </w:rPr>
        <w:t>左轴：APS 负荷（GW）</w:t>
      </w:r>
    </w:p>
    <w:p>
      <w:pPr>
        <w:pStyle w:val="ListBullet"/>
        <w:ind w:hanging="259"/>
      </w:pPr>
      <w:r>
        <w:rPr>
          <w:rFonts w:ascii="Noto Sans CJK SC" w:hAnsi="Noto Sans CJK SC" w:eastAsia="Noto Sans CJK SC" w:cs="Noto Sans CJK SC"/>
          <w:b w:val="0"/>
          <w:i w:val="0"/>
          <w:color w:val="1D2733"/>
          <w:sz w:val="20"/>
        </w:rPr>
        <w:t>右轴：GPU 集群功率（kW）</w:t>
      </w:r>
    </w:p>
    <w:p>
      <w:pPr>
        <w:pStyle w:val="ListBullet"/>
        <w:ind w:hanging="259"/>
      </w:pPr>
      <w:r>
        <w:rPr>
          <w:rFonts w:ascii="Noto Sans CJK SC" w:hAnsi="Noto Sans CJK SC" w:eastAsia="Noto Sans CJK SC" w:cs="Noto Sans CJK SC"/>
          <w:b w:val="0"/>
          <w:i w:val="0"/>
          <w:color w:val="1D2733"/>
          <w:sz w:val="20"/>
        </w:rPr>
        <w:t>横轴：2025 年 5 月 1 日时间（MDT，山地夏令时）</w:t>
      </w:r>
    </w:p>
    <w:p>
      <w:pPr>
        <w:pStyle w:val="ListBullet"/>
        <w:ind w:hanging="259"/>
      </w:pPr>
      <w:r>
        <w:rPr>
          <w:rFonts w:ascii="Noto Sans CJK SC" w:hAnsi="Noto Sans CJK SC" w:eastAsia="Noto Sans CJK SC" w:cs="Noto Sans CJK SC"/>
          <w:b w:val="0"/>
          <w:i w:val="0"/>
          <w:color w:val="1D2733"/>
          <w:sz w:val="20"/>
        </w:rPr>
        <w:t>图例：集群（Cluster）；APS</w:t>
      </w:r>
    </w:p>
    <w:p>
      <w:pPr>
        <w:pStyle w:val="Heading3"/>
      </w:pPr>
      <w:r>
        <w:rPr>
          <w:rFonts w:ascii="Noto Sans CJK SC" w:hAnsi="Noto Sans CJK SC" w:eastAsia="Noto Sans CJK SC" w:cs="Noto Sans CJK SC"/>
          <w:b/>
          <w:i w:val="0"/>
          <w:color w:val="1F4E79"/>
          <w:sz w:val="23"/>
        </w:rPr>
        <w:t>图题翻译</w:t>
      </w:r>
    </w:p>
    <w:p>
      <w:pPr>
        <w:keepLines/>
      </w:pPr>
      <w:r>
        <w:rPr>
          <w:rFonts w:ascii="Noto Sans CJK SC" w:hAnsi="Noto Sans CJK SC" w:eastAsia="Noto Sans CJK SC" w:cs="Noto Sans CJK SC"/>
          <w:b w:val="0"/>
          <w:i w:val="0"/>
          <w:color w:val="1D2733"/>
          <w:sz w:val="20"/>
        </w:rPr>
        <w:t>在 APS 负荷达到峰值期间运行功率编排平台，使集群在 18:00 至 21:00 之间降低了功率。紫色曲线表示 APS 随时间变化的用电需求（GW），绿色曲线表示 GPU 集群随时间变化的总功率消耗（kW）。黄色阴影区域表示事件窗口，在此期间，集群维持了 25% 的功率削减。灰色阴影区域表示事件前后集群逐步降低和恢复功率的时段。该功率削减通过混合使用多种控制手段实现，其中包括暂停任务和重新分配 GPU。水平线表示平均基准功率和事件期间的功率削减目标。</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这张图与图 2 做的是同一类验证，但换成了 APS 的另一条真实系统负荷曲线。APS 负荷在约 19:30 达峰，集群从 18:00 到 21:00 保持低功率，正好覆盖高峰附近。绿色曲线有短时尖峰和凹口，说明任务切换、暂停或 GPU 重新分配会造成小波动；但总体仍围绕目标水平运行。图 2 与图 3 一起说明平台不是只对某一个预先挑选的负荷形状有效。</w:t>
      </w:r>
    </w:p>
    <w:p>
      <w:pPr>
        <w:pStyle w:val="Heading2"/>
      </w:pPr>
      <w:r>
        <w:rPr>
          <w:rFonts w:ascii="Noto Sans CJK SC" w:hAnsi="Noto Sans CJK SC" w:eastAsia="Noto Sans CJK SC" w:cs="Noto Sans CJK SC"/>
          <w:b/>
          <w:i w:val="0"/>
          <w:color w:val="1F4E79"/>
          <w:sz w:val="28"/>
        </w:rPr>
        <w:t>图 4｜重演 2020 年 CAISO 历史电力事件</w:t>
      </w:r>
    </w:p>
    <w:p>
      <w:pPr>
        <w:keepNext/>
        <w:spacing w:before="40" w:after="60"/>
        <w:jc w:val="center"/>
      </w:pPr>
      <w:r>
        <w:drawing>
          <wp:inline xmlns:a="http://schemas.openxmlformats.org/drawingml/2006/main" xmlns:pic="http://schemas.openxmlformats.org/drawingml/2006/picture">
            <wp:extent cx="5806440" cy="1780642"/>
            <wp:docPr id="4" name="Picture 4" descr="原论文图 4，用于配合中文图题与通俗解读"/>
            <wp:cNvGraphicFramePr>
              <a:graphicFrameLocks noChangeAspect="1"/>
            </wp:cNvGraphicFramePr>
            <a:graphic>
              <a:graphicData uri="http://schemas.openxmlformats.org/drawingml/2006/picture">
                <pic:pic>
                  <pic:nvPicPr>
                    <pic:cNvPr id="0" name="fig4.png"/>
                    <pic:cNvPicPr/>
                  </pic:nvPicPr>
                  <pic:blipFill>
                    <a:blip r:embed="rId15"/>
                    <a:stretch>
                      <a:fillRect/>
                    </a:stretch>
                  </pic:blipFill>
                  <pic:spPr>
                    <a:xfrm>
                      <a:off x="0" y="0"/>
                      <a:ext cx="5806440" cy="1780642"/>
                    </a:xfrm>
                    <a:prstGeom prst="rect"/>
                  </pic:spPr>
                </pic:pic>
              </a:graphicData>
            </a:graphic>
          </wp:inline>
        </w:drawing>
      </w:r>
    </w:p>
    <w:p>
      <w:pPr>
        <w:pStyle w:val="SourceNote"/>
        <w:keepNext w:val="0"/>
        <w:jc w:val="center"/>
      </w:pPr>
      <w:r>
        <w:rPr>
          <w:rFonts w:ascii="Noto Sans CJK SC" w:hAnsi="Noto Sans CJK SC" w:eastAsia="Noto Sans CJK SC" w:cs="Noto Sans CJK SC"/>
          <w:b w:val="0"/>
          <w:i w:val="0"/>
          <w:color w:val="667085"/>
          <w:sz w:val="17"/>
        </w:rPr>
        <w:t>原论文图 4（英文图内标注；下文逐项翻译并解释）</w:t>
      </w:r>
    </w:p>
    <w:p>
      <w:pPr>
        <w:pStyle w:val="Heading3"/>
      </w:pPr>
      <w:r>
        <w:rPr>
          <w:rFonts w:ascii="Noto Sans CJK SC" w:hAnsi="Noto Sans CJK SC" w:eastAsia="Noto Sans CJK SC" w:cs="Noto Sans CJK SC"/>
          <w:b/>
          <w:i w:val="0"/>
          <w:color w:val="1F4E79"/>
          <w:sz w:val="23"/>
        </w:rPr>
        <w:t>图内文字翻译</w:t>
      </w:r>
    </w:p>
    <w:p>
      <w:pPr>
        <w:pStyle w:val="ListBullet"/>
        <w:ind w:hanging="259"/>
      </w:pPr>
      <w:r>
        <w:rPr>
          <w:rFonts w:ascii="Noto Sans CJK SC" w:hAnsi="Noto Sans CJK SC" w:eastAsia="Noto Sans CJK SC" w:cs="Noto Sans CJK SC"/>
          <w:b w:val="0"/>
          <w:i w:val="0"/>
          <w:color w:val="1D2733"/>
          <w:sz w:val="20"/>
        </w:rPr>
        <w:t>左轴：需求（GW）</w:t>
      </w:r>
    </w:p>
    <w:p>
      <w:pPr>
        <w:pStyle w:val="ListBullet"/>
        <w:ind w:hanging="259"/>
      </w:pPr>
      <w:r>
        <w:rPr>
          <w:rFonts w:ascii="Noto Sans CJK SC" w:hAnsi="Noto Sans CJK SC" w:eastAsia="Noto Sans CJK SC" w:cs="Noto Sans CJK SC"/>
          <w:b w:val="0"/>
          <w:i w:val="0"/>
          <w:color w:val="1D2733"/>
          <w:sz w:val="20"/>
        </w:rPr>
        <w:t>右轴：GPU 集群功率（kW）</w:t>
      </w:r>
    </w:p>
    <w:p>
      <w:pPr>
        <w:pStyle w:val="ListBullet"/>
        <w:ind w:hanging="259"/>
      </w:pPr>
      <w:r>
        <w:rPr>
          <w:rFonts w:ascii="Noto Sans CJK SC" w:hAnsi="Noto Sans CJK SC" w:eastAsia="Noto Sans CJK SC" w:cs="Noto Sans CJK SC"/>
          <w:b w:val="0"/>
          <w:i w:val="0"/>
          <w:color w:val="1D2733"/>
          <w:sz w:val="20"/>
        </w:rPr>
        <w:t>横轴：2020 年 8 月 14 日时间（PDT，太平洋夏令时）</w:t>
      </w:r>
    </w:p>
    <w:p>
      <w:pPr>
        <w:pStyle w:val="ListBullet"/>
        <w:ind w:hanging="259"/>
      </w:pPr>
      <w:r>
        <w:rPr>
          <w:rFonts w:ascii="Noto Sans CJK SC" w:hAnsi="Noto Sans CJK SC" w:eastAsia="Noto Sans CJK SC" w:cs="Noto Sans CJK SC"/>
          <w:b w:val="0"/>
          <w:i w:val="0"/>
          <w:color w:val="1D2733"/>
          <w:sz w:val="20"/>
        </w:rPr>
        <w:t>紫色区域：总需求（Demand）</w:t>
      </w:r>
    </w:p>
    <w:p>
      <w:pPr>
        <w:pStyle w:val="ListBullet"/>
        <w:ind w:hanging="259"/>
      </w:pPr>
      <w:r>
        <w:rPr>
          <w:rFonts w:ascii="Noto Sans CJK SC" w:hAnsi="Noto Sans CJK SC" w:eastAsia="Noto Sans CJK SC" w:cs="Noto Sans CJK SC"/>
          <w:b w:val="0"/>
          <w:i w:val="0"/>
          <w:color w:val="1D2733"/>
          <w:sz w:val="20"/>
        </w:rPr>
        <w:t>绿色区域：净需求（Net demand）</w:t>
      </w:r>
    </w:p>
    <w:p>
      <w:pPr>
        <w:pStyle w:val="ListBullet"/>
        <w:ind w:hanging="259"/>
      </w:pPr>
      <w:r>
        <w:rPr>
          <w:rFonts w:ascii="Noto Sans CJK SC" w:hAnsi="Noto Sans CJK SC" w:eastAsia="Noto Sans CJK SC" w:cs="Noto Sans CJK SC"/>
          <w:b w:val="0"/>
          <w:i w:val="0"/>
          <w:color w:val="1D2733"/>
          <w:sz w:val="20"/>
        </w:rPr>
        <w:t>15:00：一座 500 MW 发电厂跳闸停运；CAISO 大量调用备用资源，并请求适度削减负荷（15%）</w:t>
      </w:r>
    </w:p>
    <w:p>
      <w:pPr>
        <w:pStyle w:val="ListBullet"/>
        <w:ind w:hanging="259"/>
      </w:pPr>
      <w:r>
        <w:rPr>
          <w:rFonts w:ascii="Noto Sans CJK SC" w:hAnsi="Noto Sans CJK SC" w:eastAsia="Noto Sans CJK SC" w:cs="Noto Sans CJK SC"/>
          <w:b w:val="0"/>
          <w:i w:val="0"/>
          <w:color w:val="1D2733"/>
          <w:sz w:val="20"/>
        </w:rPr>
        <w:t>18:00：由于净需求达到峰值而备用容量不足，开始轮流停电；CAISO 要求进一步削减负荷（25%）</w:t>
      </w:r>
    </w:p>
    <w:p>
      <w:pPr>
        <w:pStyle w:val="ListBullet"/>
        <w:ind w:hanging="259"/>
      </w:pPr>
      <w:r>
        <w:rPr>
          <w:rFonts w:ascii="Noto Sans CJK SC" w:hAnsi="Noto Sans CJK SC" w:eastAsia="Noto Sans CJK SC" w:cs="Noto Sans CJK SC"/>
          <w:b w:val="0"/>
          <w:i w:val="0"/>
          <w:color w:val="1D2733"/>
          <w:sz w:val="20"/>
        </w:rPr>
        <w:t>红线：目标集群功率</w:t>
      </w:r>
    </w:p>
    <w:p>
      <w:pPr>
        <w:pStyle w:val="ListBullet"/>
        <w:ind w:hanging="259"/>
      </w:pPr>
      <w:r>
        <w:rPr>
          <w:rFonts w:ascii="Noto Sans CJK SC" w:hAnsi="Noto Sans CJK SC" w:eastAsia="Noto Sans CJK SC" w:cs="Noto Sans CJK SC"/>
          <w:b w:val="0"/>
          <w:i w:val="0"/>
          <w:color w:val="1D2733"/>
          <w:sz w:val="20"/>
        </w:rPr>
        <w:t>蓝线：实际 GPU 集群功率</w:t>
      </w:r>
    </w:p>
    <w:p>
      <w:pPr>
        <w:pStyle w:val="Heading3"/>
      </w:pPr>
      <w:r>
        <w:rPr>
          <w:rFonts w:ascii="Noto Sans CJK SC" w:hAnsi="Noto Sans CJK SC" w:eastAsia="Noto Sans CJK SC" w:cs="Noto Sans CJK SC"/>
          <w:b/>
          <w:i w:val="0"/>
          <w:color w:val="1F4E79"/>
          <w:sz w:val="23"/>
        </w:rPr>
        <w:t>图题翻译</w:t>
      </w:r>
    </w:p>
    <w:p>
      <w:pPr>
        <w:keepLines/>
      </w:pPr>
      <w:r>
        <w:rPr>
          <w:rFonts w:ascii="Noto Sans CJK SC" w:hAnsi="Noto Sans CJK SC" w:eastAsia="Noto Sans CJK SC" w:cs="Noto Sans CJK SC"/>
          <w:b w:val="0"/>
          <w:i w:val="0"/>
          <w:color w:val="1D2733"/>
          <w:sz w:val="20"/>
        </w:rPr>
        <w:t>功率编排平台对削减要求作出了响应：15:00 至 18:00 进行 3 小时的负荷削减，18:00 至 20:00 再进行 2 小时的负荷削减。红色曲线表示为满足削减要求而需要遵循的目标功率降幅，蓝色曲线表示 AI 集群随时间变化的实际功率消耗；实际曲线紧密跟随目标。图中的功率消耗以连续 5 分钟时间窗进行测量并取平均值。紫色和绿色阴影区域分别表示 CAISO 的用电需求和净需求。水平线表示平均基准功率和事件期间的功率削减目标。PDT 表示太平洋夏令时。</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这张图检验系统能否应对“电网状况突然恶化”。15:00 后目标功率先从基准约 92 kW 降至约 78 kW，对应削减 15%；18:00 后又降至约 69 kW，对应相对同一基准累计削减 25%。蓝线虽有小幅波动，但大体贴着红线，说明控制器能跟上两次临时指令。这里的“净需求”可直观理解为总需求扣除当时可再生能源等供给后，仍需由可调度电源承担的负荷；它越高，系统可用备用越紧张。再次强调，阴影电网曲线和事故节点来自 2020 年历史事件，GPU 集群响应是后来进行的重演测试。</w:t>
      </w:r>
    </w:p>
    <w:p>
      <w:pPr>
        <w:pStyle w:val="Heading2"/>
      </w:pPr>
      <w:r>
        <w:rPr>
          <w:rFonts w:ascii="Noto Sans CJK SC" w:hAnsi="Noto Sans CJK SC" w:eastAsia="Noto Sans CJK SC" w:cs="Noto Sans CJK SC"/>
          <w:b/>
          <w:i w:val="0"/>
          <w:color w:val="1F4E79"/>
          <w:sz w:val="28"/>
        </w:rPr>
        <w:t>仿真器性能准确性（Simulator performance accuracy）</w:t>
      </w:r>
    </w:p>
    <w:p>
      <w:pPr>
        <w:keepLines/>
      </w:pPr>
      <w:r>
        <w:rPr>
          <w:rFonts w:ascii="Noto Sans CJK SC" w:hAnsi="Noto Sans CJK SC" w:eastAsia="Noto Sans CJK SC" w:cs="Noto Sans CJK SC"/>
          <w:b w:val="0"/>
          <w:i w:val="0"/>
          <w:color w:val="1D2733"/>
          <w:sz w:val="20"/>
        </w:rPr>
        <w:t>仿真器的预测结果与真实世界中集群的运行表现高度吻合。在各次实验的控制时间间隔内，以每次实验的平均功率为参照，模型功率预测的均方根误差（RMSE）为4.52%（图5）。对于单个作业的运行行为，包括微调工作负载和批量推理工作负载，模型也达到了足以支持实时编排决策的预测保真度，同时没有违反服务等级协议（SLA）。</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系统在真正调节GPU集群之前，会先用仿真器估计“采取某种控制后，集群功率会变成多少、作业会慢多少”。预测曲线与实测曲线总体接近，因此可以用来指导实时控制。这里的4.52%是</w:t>
      </w:r>
      <w:r>
        <w:rPr>
          <w:rFonts w:ascii="Noto Sans CJK SC" w:hAnsi="Noto Sans CJK SC" w:eastAsia="Noto Sans CJK SC" w:cs="Noto Sans CJK SC"/>
          <w:b/>
          <w:i w:val="0"/>
          <w:color w:val="0070C0"/>
          <w:sz w:val="20"/>
        </w:rPr>
        <w:t>相对于该次实验平均功率进行归一化后的RMSE</w:t>
      </w:r>
      <w:r>
        <w:rPr>
          <w:rFonts w:ascii="Noto Sans CJK SC" w:hAnsi="Noto Sans CJK SC" w:eastAsia="Noto Sans CJK SC" w:cs="Noto Sans CJK SC"/>
          <w:b w:val="0"/>
          <w:i w:val="0"/>
          <w:color w:val="0070C0"/>
          <w:sz w:val="20"/>
        </w:rPr>
        <w:t>，它综合了多个时刻的预测误差；它不等于“准确率为95.48%”，也不表示每一个时刻的误差都恰好小于4.52%。这一指标衡量的是</w:t>
      </w:r>
      <w:r>
        <w:rPr>
          <w:rFonts w:ascii="Noto Sans CJK SC" w:hAnsi="Noto Sans CJK SC" w:eastAsia="Noto Sans CJK SC" w:cs="Noto Sans CJK SC"/>
          <w:b/>
          <w:i w:val="0"/>
          <w:color w:val="0070C0"/>
          <w:sz w:val="20"/>
        </w:rPr>
        <w:t>功率预测</w:t>
      </w:r>
      <w:r>
        <w:rPr>
          <w:rFonts w:ascii="Noto Sans CJK SC" w:hAnsi="Noto Sans CJK SC" w:eastAsia="Noto Sans CJK SC" w:cs="Noto Sans CJK SC"/>
          <w:b w:val="0"/>
          <w:i w:val="0"/>
          <w:color w:val="0070C0"/>
          <w:sz w:val="20"/>
        </w:rPr>
        <w:t>，不是节省了4.52%的电能。所谓“没有违反SLA”，是指作业完成时间或吞吐量仍处在实验预先规定的容许范围内。</w:t>
      </w:r>
    </w:p>
    <w:p>
      <w:pPr>
        <w:pStyle w:val="Heading2"/>
      </w:pPr>
      <w:r>
        <w:rPr>
          <w:rFonts w:ascii="Noto Sans CJK SC" w:hAnsi="Noto Sans CJK SC" w:eastAsia="Noto Sans CJK SC" w:cs="Noto Sans CJK SC"/>
          <w:b/>
          <w:i w:val="0"/>
          <w:color w:val="1F4E79"/>
          <w:sz w:val="28"/>
        </w:rPr>
        <w:t>表2｜实验运行汇总（Table 2 | Summary of experimental runs）</w:t>
      </w:r>
    </w:p>
    <w:tbl>
      <w:tblPr>
        <w:tblStyle w:val="TableGrid"/>
        <w:tblW w:type="dxa" w:w="9360"/>
        <w:jc w:val="center"/>
        <w:tblLayout w:type="fixed"/>
        <w:tblLook w:firstColumn="1" w:firstRow="1" w:lastColumn="0" w:lastRow="0" w:noHBand="0" w:noVBand="1" w:val="04A0"/>
        <w:tblInd w:w="120" w:type="dxa"/>
      </w:tblPr>
      <w:tblGrid>
        <w:gridCol w:w="1250"/>
        <w:gridCol w:w="2900"/>
        <w:gridCol w:w="1700"/>
        <w:gridCol w:w="1600"/>
        <w:gridCol w:w="1910"/>
      </w:tblGrid>
      <w:tr>
        <w:trPr>
          <w:tblHeader w:val="true"/>
          <w:cantSplit/>
        </w:trPr>
        <w:tc>
          <w:tcPr>
            <w:tcW w:type="dxa" w:w="1250"/>
            <w:tcMar>
              <w:top w:w="80" w:type="dxa"/>
              <w:start w:w="120" w:type="dxa"/>
              <w:bottom w:w="80" w:type="dxa"/>
              <w:end w:w="120" w:type="dxa"/>
            </w:tcMar>
            <w:vAlign w:val="center"/>
            <w:shd w:fill="1F4E79"/>
          </w:tcPr>
          <w:p>
            <w:pPr>
              <w:spacing w:before="0" w:after="0" w:line="252" w:lineRule="auto"/>
              <w:ind w:firstLine="0"/>
              <w:jc w:val="center"/>
            </w:pPr>
            <w:r>
              <w:rPr>
                <w:rFonts w:ascii="Noto Sans CJK SC" w:hAnsi="Noto Sans CJK SC" w:eastAsia="Noto Sans CJK SC" w:cs="Noto Sans CJK SC"/>
                <w:b/>
                <w:i w:val="0"/>
                <w:color w:val="FFFFFF"/>
                <w:sz w:val="15"/>
              </w:rPr>
              <w:t>工作负载组合</w:t>
            </w:r>
          </w:p>
        </w:tc>
        <w:tc>
          <w:tcPr>
            <w:tcW w:type="dxa" w:w="2900"/>
            <w:tcMar>
              <w:top w:w="80" w:type="dxa"/>
              <w:start w:w="120" w:type="dxa"/>
              <w:bottom w:w="80" w:type="dxa"/>
              <w:end w:w="120" w:type="dxa"/>
            </w:tcMar>
            <w:vAlign w:val="center"/>
            <w:shd w:fill="1F4E79"/>
          </w:tcPr>
          <w:p>
            <w:pPr>
              <w:spacing w:before="0" w:after="0" w:line="252" w:lineRule="auto"/>
              <w:ind w:firstLine="0"/>
              <w:jc w:val="left"/>
            </w:pPr>
            <w:r>
              <w:rPr>
                <w:rFonts w:ascii="Noto Sans CJK SC" w:hAnsi="Noto Sans CJK SC" w:eastAsia="Noto Sans CJK SC" w:cs="Noto Sans CJK SC"/>
                <w:b/>
                <w:i w:val="0"/>
                <w:color w:val="FFFFFF"/>
                <w:sz w:val="15"/>
              </w:rPr>
              <w:t>控制手段</w:t>
            </w:r>
          </w:p>
        </w:tc>
        <w:tc>
          <w:tcPr>
            <w:tcW w:type="dxa" w:w="1700"/>
            <w:tcMar>
              <w:top w:w="80" w:type="dxa"/>
              <w:start w:w="120" w:type="dxa"/>
              <w:bottom w:w="80" w:type="dxa"/>
              <w:end w:w="120" w:type="dxa"/>
            </w:tcMar>
            <w:vAlign w:val="center"/>
            <w:shd w:fill="1F4E79"/>
          </w:tcPr>
          <w:p>
            <w:pPr>
              <w:spacing w:before="0" w:after="0" w:line="252" w:lineRule="auto"/>
              <w:ind w:firstLine="0"/>
              <w:jc w:val="left"/>
            </w:pPr>
            <w:r>
              <w:rPr>
                <w:rFonts w:ascii="Noto Sans CJK SC" w:hAnsi="Noto Sans CJK SC" w:eastAsia="Noto Sans CJK SC" w:cs="Noto Sans CJK SC"/>
                <w:b/>
                <w:i w:val="0"/>
                <w:color w:val="FFFFFF"/>
                <w:sz w:val="15"/>
              </w:rPr>
              <w:t>策略</w:t>
            </w:r>
          </w:p>
        </w:tc>
        <w:tc>
          <w:tcPr>
            <w:tcW w:type="dxa" w:w="1600"/>
            <w:tcMar>
              <w:top w:w="80" w:type="dxa"/>
              <w:start w:w="120" w:type="dxa"/>
              <w:bottom w:w="80" w:type="dxa"/>
              <w:end w:w="120" w:type="dxa"/>
            </w:tcMar>
            <w:vAlign w:val="center"/>
            <w:shd w:fill="1F4E79"/>
          </w:tcPr>
          <w:p>
            <w:pPr>
              <w:spacing w:before="0" w:after="0" w:line="252" w:lineRule="auto"/>
              <w:ind w:firstLine="0"/>
              <w:jc w:val="left"/>
            </w:pPr>
            <w:r>
              <w:rPr>
                <w:rFonts w:ascii="Noto Sans CJK SC" w:hAnsi="Noto Sans CJK SC" w:eastAsia="Noto Sans CJK SC" w:cs="Noto Sans CJK SC"/>
                <w:b/>
                <w:i w:val="0"/>
                <w:color w:val="FFFFFF"/>
                <w:sz w:val="15"/>
              </w:rPr>
              <w:t>功率目标（%）</w:t>
            </w:r>
          </w:p>
        </w:tc>
        <w:tc>
          <w:tcPr>
            <w:tcW w:type="dxa" w:w="1910"/>
            <w:tcMar>
              <w:top w:w="80" w:type="dxa"/>
              <w:start w:w="120" w:type="dxa"/>
              <w:bottom w:w="80" w:type="dxa"/>
              <w:end w:w="120" w:type="dxa"/>
            </w:tcMar>
            <w:vAlign w:val="center"/>
            <w:shd w:fill="1F4E79"/>
          </w:tcPr>
          <w:p>
            <w:pPr>
              <w:spacing w:before="0" w:after="0" w:line="252" w:lineRule="auto"/>
              <w:ind w:firstLine="0"/>
              <w:jc w:val="left"/>
            </w:pPr>
            <w:r>
              <w:rPr>
                <w:rFonts w:ascii="Noto Sans CJK SC" w:hAnsi="Noto Sans CJK SC" w:eastAsia="Noto Sans CJK SC" w:cs="Noto Sans CJK SC"/>
                <w:b/>
                <w:i w:val="0"/>
                <w:color w:val="FFFFFF"/>
                <w:sz w:val="15"/>
              </w:rPr>
              <w:t>功率调节事件时长（分钟）</w:t>
            </w:r>
          </w:p>
        </w:tc>
      </w:tr>
      <w:tr>
        <w:tc>
          <w:tcPr>
            <w:tcW w:type="dxa" w:w="12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1</w:t>
            </w:r>
          </w:p>
        </w:tc>
        <w:tc>
          <w:tcPr>
            <w:tcW w:type="dxa" w:w="29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资源分配</w:t>
            </w:r>
          </w:p>
        </w:tc>
        <w:tc>
          <w:tcPr>
            <w:tcW w:type="dxa" w:w="1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5</w:t>
            </w:r>
          </w:p>
        </w:tc>
      </w:tr>
      <w:tr>
        <w:tc>
          <w:tcPr>
            <w:tcW w:type="dxa" w:w="12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1</w:t>
            </w:r>
          </w:p>
        </w:tc>
        <w:tc>
          <w:tcPr>
            <w:tcW w:type="dxa" w:w="29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资源分配</w:t>
            </w:r>
          </w:p>
        </w:tc>
        <w:tc>
          <w:tcPr>
            <w:tcW w:type="dxa" w:w="1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1</w:t>
            </w:r>
          </w:p>
        </w:tc>
        <w:tc>
          <w:tcPr>
            <w:tcW w:type="dxa" w:w="29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资源分配</w:t>
            </w:r>
          </w:p>
        </w:tc>
        <w:tc>
          <w:tcPr>
            <w:tcW w:type="dxa" w:w="1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贪心（Greedy）</w:t>
            </w:r>
          </w:p>
        </w:tc>
        <w:tc>
          <w:tcPr>
            <w:tcW w:type="dxa" w:w="16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1</w:t>
            </w:r>
          </w:p>
        </w:tc>
        <w:tc>
          <w:tcPr>
            <w:tcW w:type="dxa" w:w="29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作业暂停 + 资源分配</w:t>
            </w:r>
          </w:p>
        </w:tc>
        <w:tc>
          <w:tcPr>
            <w:tcW w:type="dxa" w:w="1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贪心（Greedy）</w:t>
            </w:r>
          </w:p>
        </w:tc>
        <w:tc>
          <w:tcPr>
            <w:tcW w:type="dxa" w:w="16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1</w:t>
            </w:r>
          </w:p>
        </w:tc>
        <w:tc>
          <w:tcPr>
            <w:tcW w:type="dxa" w:w="29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作业暂停 + 资源分配</w:t>
            </w:r>
          </w:p>
        </w:tc>
        <w:tc>
          <w:tcPr>
            <w:tcW w:type="dxa" w:w="1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1</w:t>
            </w:r>
          </w:p>
        </w:tc>
        <w:tc>
          <w:tcPr>
            <w:tcW w:type="dxa" w:w="29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资源分配</w:t>
            </w:r>
          </w:p>
        </w:tc>
        <w:tc>
          <w:tcPr>
            <w:tcW w:type="dxa" w:w="1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1</w:t>
            </w:r>
          </w:p>
        </w:tc>
        <w:tc>
          <w:tcPr>
            <w:tcW w:type="dxa" w:w="29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资源分配</w:t>
            </w:r>
          </w:p>
        </w:tc>
        <w:tc>
          <w:tcPr>
            <w:tcW w:type="dxa" w:w="1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90</w:t>
            </w:r>
          </w:p>
        </w:tc>
        <w:tc>
          <w:tcPr>
            <w:tcW w:type="dxa" w:w="191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1</w:t>
            </w:r>
          </w:p>
        </w:tc>
        <w:tc>
          <w:tcPr>
            <w:tcW w:type="dxa" w:w="29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作业暂停 + 资源分配</w:t>
            </w:r>
          </w:p>
        </w:tc>
        <w:tc>
          <w:tcPr>
            <w:tcW w:type="dxa" w:w="1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贪心（Greedy）</w:t>
            </w:r>
          </w:p>
        </w:tc>
        <w:tc>
          <w:tcPr>
            <w:tcW w:type="dxa" w:w="16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c>
          <w:tcPr>
            <w:tcW w:type="dxa" w:w="191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1</w:t>
            </w:r>
          </w:p>
        </w:tc>
        <w:tc>
          <w:tcPr>
            <w:tcW w:type="dxa" w:w="29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动态电压频率调节（DVFS）</w:t>
            </w:r>
          </w:p>
        </w:tc>
        <w:tc>
          <w:tcPr>
            <w:tcW w:type="dxa" w:w="1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1</w:t>
            </w:r>
          </w:p>
        </w:tc>
        <w:tc>
          <w:tcPr>
            <w:tcW w:type="dxa" w:w="29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动态电压频率调节（DVFS）</w:t>
            </w:r>
          </w:p>
        </w:tc>
        <w:tc>
          <w:tcPr>
            <w:tcW w:type="dxa" w:w="1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1</w:t>
            </w:r>
          </w:p>
        </w:tc>
        <w:tc>
          <w:tcPr>
            <w:tcW w:type="dxa" w:w="29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DVFS + 作业暂停</w:t>
            </w:r>
          </w:p>
        </w:tc>
        <w:tc>
          <w:tcPr>
            <w:tcW w:type="dxa" w:w="1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2</w:t>
            </w:r>
          </w:p>
        </w:tc>
        <w:tc>
          <w:tcPr>
            <w:tcW w:type="dxa" w:w="29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资源分配</w:t>
            </w:r>
          </w:p>
        </w:tc>
        <w:tc>
          <w:tcPr>
            <w:tcW w:type="dxa" w:w="1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2</w:t>
            </w:r>
          </w:p>
        </w:tc>
        <w:tc>
          <w:tcPr>
            <w:tcW w:type="dxa" w:w="29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作业暂停 + 资源分配</w:t>
            </w:r>
          </w:p>
        </w:tc>
        <w:tc>
          <w:tcPr>
            <w:tcW w:type="dxa" w:w="1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贪心（Greedy）</w:t>
            </w:r>
          </w:p>
        </w:tc>
        <w:tc>
          <w:tcPr>
            <w:tcW w:type="dxa" w:w="16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2</w:t>
            </w:r>
          </w:p>
        </w:tc>
        <w:tc>
          <w:tcPr>
            <w:tcW w:type="dxa" w:w="29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资源分配</w:t>
            </w:r>
          </w:p>
        </w:tc>
        <w:tc>
          <w:tcPr>
            <w:tcW w:type="dxa" w:w="1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90</w:t>
            </w:r>
          </w:p>
        </w:tc>
        <w:tc>
          <w:tcPr>
            <w:tcW w:type="dxa" w:w="191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2</w:t>
            </w:r>
          </w:p>
        </w:tc>
        <w:tc>
          <w:tcPr>
            <w:tcW w:type="dxa" w:w="29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动态电压频率调节（DVFS）</w:t>
            </w:r>
          </w:p>
        </w:tc>
        <w:tc>
          <w:tcPr>
            <w:tcW w:type="dxa" w:w="1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30</w:t>
            </w:r>
          </w:p>
        </w:tc>
      </w:tr>
      <w:tr>
        <w:tc>
          <w:tcPr>
            <w:tcW w:type="dxa" w:w="12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2</w:t>
            </w:r>
          </w:p>
        </w:tc>
        <w:tc>
          <w:tcPr>
            <w:tcW w:type="dxa" w:w="29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动态电压频率调节（DVFS）</w:t>
            </w:r>
          </w:p>
        </w:tc>
        <w:tc>
          <w:tcPr>
            <w:tcW w:type="dxa" w:w="1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122</w:t>
            </w:r>
          </w:p>
        </w:tc>
      </w:tr>
      <w:tr>
        <w:tc>
          <w:tcPr>
            <w:tcW w:type="dxa" w:w="12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3</w:t>
            </w:r>
          </w:p>
        </w:tc>
        <w:tc>
          <w:tcPr>
            <w:tcW w:type="dxa" w:w="29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作业暂停</w:t>
            </w:r>
          </w:p>
        </w:tc>
        <w:tc>
          <w:tcPr>
            <w:tcW w:type="dxa" w:w="1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贪心（Greedy）</w:t>
            </w:r>
          </w:p>
        </w:tc>
        <w:tc>
          <w:tcPr>
            <w:tcW w:type="dxa" w:w="16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3</w:t>
            </w:r>
          </w:p>
        </w:tc>
        <w:tc>
          <w:tcPr>
            <w:tcW w:type="dxa" w:w="29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资源分配</w:t>
            </w:r>
          </w:p>
        </w:tc>
        <w:tc>
          <w:tcPr>
            <w:tcW w:type="dxa" w:w="1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3</w:t>
            </w:r>
          </w:p>
        </w:tc>
        <w:tc>
          <w:tcPr>
            <w:tcW w:type="dxa" w:w="29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作业暂停 + 资源分配</w:t>
            </w:r>
          </w:p>
        </w:tc>
        <w:tc>
          <w:tcPr>
            <w:tcW w:type="dxa" w:w="1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180</w:t>
            </w:r>
          </w:p>
        </w:tc>
      </w:tr>
      <w:tr>
        <w:tc>
          <w:tcPr>
            <w:tcW w:type="dxa" w:w="12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3</w:t>
            </w:r>
          </w:p>
        </w:tc>
        <w:tc>
          <w:tcPr>
            <w:tcW w:type="dxa" w:w="29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作业暂停 + 资源分配</w:t>
            </w:r>
          </w:p>
        </w:tc>
        <w:tc>
          <w:tcPr>
            <w:tcW w:type="dxa" w:w="1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贪心（Greedy）</w:t>
            </w:r>
          </w:p>
        </w:tc>
        <w:tc>
          <w:tcPr>
            <w:tcW w:type="dxa" w:w="16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3</w:t>
            </w:r>
          </w:p>
        </w:tc>
        <w:tc>
          <w:tcPr>
            <w:tcW w:type="dxa" w:w="29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作业暂停 + 资源分配</w:t>
            </w:r>
          </w:p>
        </w:tc>
        <w:tc>
          <w:tcPr>
            <w:tcW w:type="dxa" w:w="1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3</w:t>
            </w:r>
          </w:p>
        </w:tc>
        <w:tc>
          <w:tcPr>
            <w:tcW w:type="dxa" w:w="29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作业暂停 + 资源分配</w:t>
            </w:r>
          </w:p>
        </w:tc>
        <w:tc>
          <w:tcPr>
            <w:tcW w:type="dxa" w:w="1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贪心（Greedy）</w:t>
            </w:r>
          </w:p>
        </w:tc>
        <w:tc>
          <w:tcPr>
            <w:tcW w:type="dxa" w:w="16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3</w:t>
            </w:r>
          </w:p>
        </w:tc>
        <w:tc>
          <w:tcPr>
            <w:tcW w:type="dxa" w:w="29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DVFS + 作业暂停</w:t>
            </w:r>
          </w:p>
        </w:tc>
        <w:tc>
          <w:tcPr>
            <w:tcW w:type="dxa" w:w="1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180</w:t>
            </w:r>
          </w:p>
        </w:tc>
      </w:tr>
      <w:tr>
        <w:tc>
          <w:tcPr>
            <w:tcW w:type="dxa" w:w="12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3</w:t>
            </w:r>
          </w:p>
        </w:tc>
        <w:tc>
          <w:tcPr>
            <w:tcW w:type="dxa" w:w="29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动态电压频率调节（DVFS）</w:t>
            </w:r>
          </w:p>
        </w:tc>
        <w:tc>
          <w:tcPr>
            <w:tcW w:type="dxa" w:w="1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5</w:t>
            </w:r>
          </w:p>
        </w:tc>
      </w:tr>
      <w:tr>
        <w:tc>
          <w:tcPr>
            <w:tcW w:type="dxa" w:w="12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3</w:t>
            </w:r>
          </w:p>
        </w:tc>
        <w:tc>
          <w:tcPr>
            <w:tcW w:type="dxa" w:w="29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动态电压频率调节（DVFS）</w:t>
            </w:r>
          </w:p>
        </w:tc>
        <w:tc>
          <w:tcPr>
            <w:tcW w:type="dxa" w:w="1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贪心（Greedy）</w:t>
            </w:r>
          </w:p>
        </w:tc>
        <w:tc>
          <w:tcPr>
            <w:tcW w:type="dxa" w:w="16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3</w:t>
            </w:r>
          </w:p>
        </w:tc>
        <w:tc>
          <w:tcPr>
            <w:tcW w:type="dxa" w:w="29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DVFS + 作业暂停</w:t>
            </w:r>
          </w:p>
        </w:tc>
        <w:tc>
          <w:tcPr>
            <w:tcW w:type="dxa" w:w="1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c>
          <w:tcPr>
            <w:tcW w:type="dxa" w:w="191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3</w:t>
            </w:r>
          </w:p>
        </w:tc>
        <w:tc>
          <w:tcPr>
            <w:tcW w:type="dxa" w:w="29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动态电压频率调节（DVFS）</w:t>
            </w:r>
          </w:p>
        </w:tc>
        <w:tc>
          <w:tcPr>
            <w:tcW w:type="dxa" w:w="1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90</w:t>
            </w:r>
          </w:p>
        </w:tc>
        <w:tc>
          <w:tcPr>
            <w:tcW w:type="dxa" w:w="191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3</w:t>
            </w:r>
          </w:p>
        </w:tc>
        <w:tc>
          <w:tcPr>
            <w:tcW w:type="dxa" w:w="29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资源分配</w:t>
            </w:r>
          </w:p>
        </w:tc>
        <w:tc>
          <w:tcPr>
            <w:tcW w:type="dxa" w:w="1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贪心（Greedy）</w:t>
            </w:r>
          </w:p>
        </w:tc>
        <w:tc>
          <w:tcPr>
            <w:tcW w:type="dxa" w:w="16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4</w:t>
            </w:r>
          </w:p>
        </w:tc>
        <w:tc>
          <w:tcPr>
            <w:tcW w:type="dxa" w:w="29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作业暂停</w:t>
            </w:r>
          </w:p>
        </w:tc>
        <w:tc>
          <w:tcPr>
            <w:tcW w:type="dxa" w:w="1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贪心（Greedy）</w:t>
            </w:r>
          </w:p>
        </w:tc>
        <w:tc>
          <w:tcPr>
            <w:tcW w:type="dxa" w:w="16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4</w:t>
            </w:r>
          </w:p>
        </w:tc>
        <w:tc>
          <w:tcPr>
            <w:tcW w:type="dxa" w:w="29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资源分配</w:t>
            </w:r>
          </w:p>
        </w:tc>
        <w:tc>
          <w:tcPr>
            <w:tcW w:type="dxa" w:w="1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4</w:t>
            </w:r>
          </w:p>
        </w:tc>
        <w:tc>
          <w:tcPr>
            <w:tcW w:type="dxa" w:w="29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作业暂停 + 资源分配</w:t>
            </w:r>
          </w:p>
        </w:tc>
        <w:tc>
          <w:tcPr>
            <w:tcW w:type="dxa" w:w="1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贪心（Greedy）</w:t>
            </w:r>
          </w:p>
        </w:tc>
        <w:tc>
          <w:tcPr>
            <w:tcW w:type="dxa" w:w="16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4</w:t>
            </w:r>
          </w:p>
        </w:tc>
        <w:tc>
          <w:tcPr>
            <w:tcW w:type="dxa" w:w="29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作业暂停 + 资源分配</w:t>
            </w:r>
          </w:p>
        </w:tc>
        <w:tc>
          <w:tcPr>
            <w:tcW w:type="dxa" w:w="1700"/>
            <w:tcMar>
              <w:top w:w="80" w:type="dxa"/>
              <w:start w:w="120" w:type="dxa"/>
              <w:bottom w:w="80" w:type="dxa"/>
              <w:end w:w="120" w:type="dxa"/>
            </w:tcMar>
            <w:vAlign w:val="center"/>
            <w:shd w:fill="F7F9FC"/>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75</w:t>
            </w:r>
          </w:p>
        </w:tc>
        <w:tc>
          <w:tcPr>
            <w:tcW w:type="dxa" w:w="1910"/>
            <w:tcMar>
              <w:top w:w="80" w:type="dxa"/>
              <w:start w:w="120" w:type="dxa"/>
              <w:bottom w:w="80" w:type="dxa"/>
              <w:end w:w="120" w:type="dxa"/>
            </w:tcMar>
            <w:vAlign w:val="center"/>
            <w:shd w:fill="F7F9FC"/>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r>
        <w:tc>
          <w:tcPr>
            <w:tcW w:type="dxa" w:w="125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4</w:t>
            </w:r>
          </w:p>
        </w:tc>
        <w:tc>
          <w:tcPr>
            <w:tcW w:type="dxa" w:w="29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动态电压频率调节（DVFS）</w:t>
            </w:r>
          </w:p>
        </w:tc>
        <w:tc>
          <w:tcPr>
            <w:tcW w:type="dxa" w:w="1700"/>
            <w:tcMar>
              <w:top w:w="80" w:type="dxa"/>
              <w:start w:w="120" w:type="dxa"/>
              <w:bottom w:w="80" w:type="dxa"/>
              <w:end w:w="120" w:type="dxa"/>
            </w:tcMar>
            <w:vAlign w:val="center"/>
          </w:tcPr>
          <w:p>
            <w:pPr>
              <w:spacing w:before="0" w:after="0" w:line="252" w:lineRule="auto"/>
              <w:ind w:firstLine="0"/>
              <w:jc w:val="left"/>
            </w:pPr>
            <w:r>
              <w:rPr>
                <w:rFonts w:ascii="Noto Sans CJK SC" w:hAnsi="Noto Sans CJK SC" w:eastAsia="Noto Sans CJK SC" w:cs="Noto Sans CJK SC"/>
                <w:b w:val="0"/>
                <w:i w:val="0"/>
                <w:color w:val="1D2733"/>
                <w:sz w:val="15"/>
              </w:rPr>
              <w:t>均衡（Fair）</w:t>
            </w:r>
          </w:p>
        </w:tc>
        <w:tc>
          <w:tcPr>
            <w:tcW w:type="dxa" w:w="160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90</w:t>
            </w:r>
          </w:p>
        </w:tc>
        <w:tc>
          <w:tcPr>
            <w:tcW w:type="dxa" w:w="1910"/>
            <w:tcMar>
              <w:top w:w="80" w:type="dxa"/>
              <w:start w:w="120" w:type="dxa"/>
              <w:bottom w:w="80" w:type="dxa"/>
              <w:end w:w="120" w:type="dxa"/>
            </w:tcMar>
            <w:vAlign w:val="center"/>
          </w:tcPr>
          <w:p>
            <w:pPr>
              <w:spacing w:before="0" w:after="0" w:line="252" w:lineRule="auto"/>
              <w:ind w:firstLine="0"/>
              <w:jc w:val="center"/>
            </w:pPr>
            <w:r>
              <w:rPr>
                <w:rFonts w:ascii="Noto Sans CJK SC" w:hAnsi="Noto Sans CJK SC" w:eastAsia="Noto Sans CJK SC" w:cs="Noto Sans CJK SC"/>
                <w:b w:val="0"/>
                <w:i w:val="0"/>
                <w:color w:val="1D2733"/>
                <w:sz w:val="15"/>
              </w:rPr>
              <w:t>60</w:t>
            </w:r>
          </w:p>
        </w:tc>
      </w:tr>
    </w:tbl>
    <w:p>
      <w:pPr>
        <w:spacing w:after="40"/>
      </w:pPr>
    </w:p>
    <w:p>
      <w:pPr>
        <w:keepLines/>
      </w:pPr>
      <w:r>
        <w:rPr>
          <w:rFonts w:ascii="Noto Sans CJK SC" w:hAnsi="Noto Sans CJK SC" w:eastAsia="Noto Sans CJK SC" w:cs="Noto Sans CJK SC"/>
          <w:b w:val="0"/>
          <w:i w:val="0"/>
          <w:color w:val="1D2733"/>
          <w:sz w:val="20"/>
        </w:rPr>
        <w:t>所有实验都同时满足了公用事业公司的功率目标和工作负载性能约束。</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表中共有33次实验。研究者换用了4种工作负载组合、3类基本控制手段及其组合，并测试不同功率目标和持续时间。“功率目标75%”表示把集群功率控制到基准功率的约75%，也就是约削减25%；90%对应约削减10%，60%对应约削减40%。180分钟就是3小时。表中的5、30、60、122和180分钟是</w:t>
      </w:r>
      <w:r>
        <w:rPr>
          <w:rFonts w:ascii="Noto Sans CJK SC" w:hAnsi="Noto Sans CJK SC" w:eastAsia="Noto Sans CJK SC" w:cs="Noto Sans CJK SC"/>
          <w:b/>
          <w:i w:val="0"/>
          <w:color w:val="0070C0"/>
          <w:sz w:val="20"/>
        </w:rPr>
        <w:t>实际功率调节事件的持续时间</w:t>
      </w:r>
      <w:r>
        <w:rPr>
          <w:rFonts w:ascii="Noto Sans CJK SC" w:hAnsi="Noto Sans CJK SC" w:eastAsia="Noto Sans CJK SC" w:cs="Noto Sans CJK SC"/>
          <w:b w:val="0"/>
          <w:i w:val="0"/>
          <w:color w:val="0070C0"/>
          <w:sz w:val="20"/>
        </w:rPr>
        <w:t>，并不等同于包含事前基线和事后恢复阶段的整次实验总时长。重复出现的相同配置代表论文确实重复开展了相应实验，并非表格录入错误。最后一句的含义是：在这些预先选定的作业、功率目标和SLA定义下，33次实验均达标；它不能直接证明任何规模、任何类型的数据中心都必然达标。</w:t>
      </w:r>
    </w:p>
    <w:p>
      <w:pPr>
        <w:pStyle w:val="Heading2"/>
      </w:pPr>
      <w:r>
        <w:rPr>
          <w:rFonts w:ascii="Noto Sans CJK SC" w:hAnsi="Noto Sans CJK SC" w:eastAsia="Noto Sans CJK SC" w:cs="Noto Sans CJK SC"/>
          <w:b/>
          <w:i w:val="0"/>
          <w:color w:val="1F4E79"/>
          <w:sz w:val="28"/>
        </w:rPr>
        <w:t>图5｜降功率事件中，平台仿真器的功率预测与实测功率对比</w:t>
      </w:r>
    </w:p>
    <w:p>
      <w:pPr>
        <w:keepNext/>
        <w:spacing w:before="40" w:after="60"/>
        <w:jc w:val="center"/>
      </w:pPr>
      <w:r>
        <w:drawing>
          <wp:inline xmlns:a="http://schemas.openxmlformats.org/drawingml/2006/main" xmlns:pic="http://schemas.openxmlformats.org/drawingml/2006/picture">
            <wp:extent cx="5806440" cy="1741932"/>
            <wp:docPr id="5" name="Picture 5" descr="原论文图 5，用于配合中文图题与通俗解读"/>
            <wp:cNvGraphicFramePr>
              <a:graphicFrameLocks noChangeAspect="1"/>
            </wp:cNvGraphicFramePr>
            <a:graphic>
              <a:graphicData uri="http://schemas.openxmlformats.org/drawingml/2006/picture">
                <pic:pic>
                  <pic:nvPicPr>
                    <pic:cNvPr id="0" name="fig5.png"/>
                    <pic:cNvPicPr/>
                  </pic:nvPicPr>
                  <pic:blipFill>
                    <a:blip r:embed="rId16"/>
                    <a:stretch>
                      <a:fillRect/>
                    </a:stretch>
                  </pic:blipFill>
                  <pic:spPr>
                    <a:xfrm>
                      <a:off x="0" y="0"/>
                      <a:ext cx="5806440" cy="1741932"/>
                    </a:xfrm>
                    <a:prstGeom prst="rect"/>
                  </pic:spPr>
                </pic:pic>
              </a:graphicData>
            </a:graphic>
          </wp:inline>
        </w:drawing>
      </w:r>
    </w:p>
    <w:p>
      <w:pPr>
        <w:pStyle w:val="SourceNote"/>
        <w:keepNext w:val="0"/>
        <w:jc w:val="center"/>
      </w:pPr>
      <w:r>
        <w:rPr>
          <w:rFonts w:ascii="Noto Sans CJK SC" w:hAnsi="Noto Sans CJK SC" w:eastAsia="Noto Sans CJK SC" w:cs="Noto Sans CJK SC"/>
          <w:b w:val="0"/>
          <w:i w:val="0"/>
          <w:color w:val="667085"/>
          <w:sz w:val="17"/>
        </w:rPr>
        <w:t>原论文图 5（英文图内标注；下文逐项翻译并解释）</w:t>
      </w:r>
    </w:p>
    <w:p>
      <w:pPr>
        <w:keepLines/>
      </w:pPr>
      <w:r>
        <w:rPr>
          <w:rFonts w:ascii="Noto Sans CJK SC" w:hAnsi="Noto Sans CJK SC" w:eastAsia="Noto Sans CJK SC" w:cs="Noto Sans CJK SC"/>
          <w:b w:val="0"/>
          <w:i w:val="0"/>
          <w:color w:val="1D2733"/>
          <w:sz w:val="20"/>
        </w:rPr>
        <w:t>红线表示仿真器在获得工作负载组合、功率目标以及功率与负载管理算法之后所预测的功率需求。蓝线表示系统响应降功率事件时，AI集群实际产生的功率需求。图的下半部分显示各个作业各自的功率轨迹；这些轨迹汇总后构成蓝色的AI集群功率需求曲线。每条轨迹都不相同，反映出系统对本次事件所运行的工作负载组合中的各个作业采用了不同的控制措施。UTC表示协调世界时。</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红线是“控制前算出来会用多少功率”，蓝线是“控制后电表实际测到多少功率”。两条线在大部分时间里贴得较近，说明仿真器能够大致预判集群在降功率、保持低功率以及恢复功率各阶段的表现。下面多条细线是各个作业：有的被限频，有的被暂停，有的减少GPU，因此它们的功率变化不同，加在一起形成集群总功率。图5验证的是</w:t>
      </w:r>
      <w:r>
        <w:rPr>
          <w:rFonts w:ascii="Noto Sans CJK SC" w:hAnsi="Noto Sans CJK SC" w:eastAsia="Noto Sans CJK SC" w:cs="Noto Sans CJK SC"/>
          <w:b/>
          <w:i w:val="0"/>
          <w:color w:val="0070C0"/>
          <w:sz w:val="20"/>
        </w:rPr>
        <w:t>预测功率曲线能否跟上实测功率曲线</w:t>
      </w:r>
      <w:r>
        <w:rPr>
          <w:rFonts w:ascii="Noto Sans CJK SC" w:hAnsi="Noto Sans CJK SC" w:eastAsia="Noto Sans CJK SC" w:cs="Noto Sans CJK SC"/>
          <w:b w:val="0"/>
          <w:i w:val="0"/>
          <w:color w:val="0070C0"/>
          <w:sz w:val="20"/>
        </w:rPr>
        <w:t>，不是直接证明总耗电量减少了多少；总电能还要把功率沿时间积分后才能得到。</w:t>
      </w:r>
    </w:p>
    <w:p>
      <w:pPr>
        <w:keepLines/>
      </w:pPr>
      <w:r>
        <w:rPr>
          <w:rFonts w:ascii="Noto Sans CJK SC" w:hAnsi="Noto Sans CJK SC" w:eastAsia="Noto Sans CJK SC" w:cs="Noto Sans CJK SC"/>
          <w:b/>
          <w:i w:val="0"/>
          <w:color w:val="1D2733"/>
          <w:sz w:val="20"/>
        </w:rPr>
        <w:t>图内主要标注：</w:t>
      </w:r>
      <w:r>
        <w:rPr>
          <w:rFonts w:ascii="Noto Sans CJK SC" w:hAnsi="Noto Sans CJK SC" w:eastAsia="Noto Sans CJK SC" w:cs="Noto Sans CJK SC"/>
          <w:b w:val="0"/>
          <w:i w:val="0"/>
          <w:color w:val="1D2733"/>
          <w:sz w:val="20"/>
        </w:rPr>
        <w:t>Simulator power＝仿真器预测功率；AI cluster power＝AI集群实测功率；Individual jobs＝单个作业功率；Power (kW)＝功率（千瓦）；2 May 2025 time (UTC)＝2025年5月2日（UTC）。</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黄色阴影对应主要降功率时段。进入该时段后，总功率从约90 kW降至约55–62 kW，并按控制方案分阶段变化；事件结束后又恢复到此前水平。这里展示的是某一次事件的时间序列示例，4.52%的RMSE则是论文对实验控制区间汇总计算得到的整体指标。</w:t>
      </w:r>
    </w:p>
    <w:p>
      <w:pPr>
        <w:pStyle w:val="Heading2"/>
      </w:pPr>
      <w:r>
        <w:rPr>
          <w:rFonts w:ascii="Noto Sans CJK SC" w:hAnsi="Noto Sans CJK SC" w:eastAsia="Noto Sans CJK SC" w:cs="Noto Sans CJK SC"/>
          <w:b/>
          <w:i w:val="0"/>
          <w:color w:val="1F4E79"/>
          <w:sz w:val="28"/>
        </w:rPr>
        <w:t>图6｜256-GPU集群上受功率上限约束的AI工作负载吞吐量</w:t>
      </w:r>
    </w:p>
    <w:p>
      <w:pPr>
        <w:keepNext/>
        <w:spacing w:before="40" w:after="60"/>
        <w:jc w:val="center"/>
      </w:pPr>
      <w:r>
        <w:drawing>
          <wp:inline xmlns:a="http://schemas.openxmlformats.org/drawingml/2006/main" xmlns:pic="http://schemas.openxmlformats.org/drawingml/2006/picture">
            <wp:extent cx="5806440" cy="1493085"/>
            <wp:docPr id="6" name="Picture 6" descr="原论文图 6，用于配合中文图题与通俗解读"/>
            <wp:cNvGraphicFramePr>
              <a:graphicFrameLocks noChangeAspect="1"/>
            </wp:cNvGraphicFramePr>
            <a:graphic>
              <a:graphicData uri="http://schemas.openxmlformats.org/drawingml/2006/picture">
                <pic:pic>
                  <pic:nvPicPr>
                    <pic:cNvPr id="0" name="fig6.png"/>
                    <pic:cNvPicPr/>
                  </pic:nvPicPr>
                  <pic:blipFill>
                    <a:blip r:embed="rId17"/>
                    <a:stretch>
                      <a:fillRect/>
                    </a:stretch>
                  </pic:blipFill>
                  <pic:spPr>
                    <a:xfrm>
                      <a:off x="0" y="0"/>
                      <a:ext cx="5806440" cy="1493085"/>
                    </a:xfrm>
                    <a:prstGeom prst="rect"/>
                  </pic:spPr>
                </pic:pic>
              </a:graphicData>
            </a:graphic>
          </wp:inline>
        </w:drawing>
      </w:r>
    </w:p>
    <w:p>
      <w:pPr>
        <w:pStyle w:val="SourceNote"/>
        <w:keepNext w:val="0"/>
        <w:jc w:val="center"/>
      </w:pPr>
      <w:r>
        <w:rPr>
          <w:rFonts w:ascii="Noto Sans CJK SC" w:hAnsi="Noto Sans CJK SC" w:eastAsia="Noto Sans CJK SC" w:cs="Noto Sans CJK SC"/>
          <w:b w:val="0"/>
          <w:i w:val="0"/>
          <w:color w:val="667085"/>
          <w:sz w:val="17"/>
        </w:rPr>
        <w:t>原论文图 6（英文图内标注；下文逐项翻译并解释）</w:t>
      </w:r>
    </w:p>
    <w:p>
      <w:pPr>
        <w:keepLines/>
      </w:pPr>
      <w:r>
        <w:rPr>
          <w:rFonts w:ascii="Noto Sans CJK SC" w:hAnsi="Noto Sans CJK SC" w:eastAsia="Noto Sans CJK SC" w:cs="Noto Sans CJK SC"/>
          <w:b w:val="0"/>
          <w:i w:val="0"/>
          <w:color w:val="1D2733"/>
          <w:sz w:val="20"/>
        </w:rPr>
        <w:t>每一种“颜色—符号”组合代表一种不同的工作负载配置。本图展示了不同功率上限水平与工作负载吞吐量之间的关系。w.r.t.意为“相对于”（with respect to）。</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横轴是每块GPU的</w:t>
      </w:r>
      <w:r>
        <w:rPr>
          <w:rFonts w:ascii="Noto Sans CJK SC" w:hAnsi="Noto Sans CJK SC" w:eastAsia="Noto Sans CJK SC" w:cs="Noto Sans CJK SC"/>
          <w:b/>
          <w:i w:val="0"/>
          <w:color w:val="0070C0"/>
          <w:sz w:val="20"/>
        </w:rPr>
        <w:t>实测功率</w:t>
      </w:r>
      <w:r>
        <w:rPr>
          <w:rFonts w:ascii="Noto Sans CJK SC" w:hAnsi="Noto Sans CJK SC" w:eastAsia="Noto Sans CJK SC" w:cs="Noto Sans CJK SC"/>
          <w:b w:val="0"/>
          <w:i w:val="0"/>
          <w:color w:val="0070C0"/>
          <w:sz w:val="20"/>
        </w:rPr>
        <w:t>，纵轴是该作业相对于自身最高吞吐量的比例：1.00表示接近该作业的最大吞吐量，0.50表示约为其最大吞吐量的一半。总体趋势很直观：GPU可用功率越低，作业通常运行得越慢；但不同任务下降的程度并不完全相同。由于每条曲线都用各自的最大吞吐量归一化，所以这张图适合比较“同一个作业在不同功率下损失多少性能”，却不能据此比较不同作业的绝对处理速度。它反映的是</w:t>
      </w:r>
      <w:r>
        <w:rPr>
          <w:rFonts w:ascii="Noto Sans CJK SC" w:hAnsi="Noto Sans CJK SC" w:eastAsia="Noto Sans CJK SC" w:cs="Noto Sans CJK SC"/>
          <w:b/>
          <w:i w:val="0"/>
          <w:color w:val="0070C0"/>
          <w:sz w:val="20"/>
        </w:rPr>
        <w:t>功率—吞吐量权衡</w:t>
      </w:r>
      <w:r>
        <w:rPr>
          <w:rFonts w:ascii="Noto Sans CJK SC" w:hAnsi="Noto Sans CJK SC" w:eastAsia="Noto Sans CJK SC" w:cs="Noto Sans CJK SC"/>
          <w:b w:val="0"/>
          <w:i w:val="0"/>
          <w:color w:val="0070C0"/>
          <w:sz w:val="20"/>
        </w:rPr>
        <w:t>，不能单独推出总能耗下降比例：若降低功率后作业运行更久，最终节省的电能可能小于瞬时功率的降幅。</w:t>
      </w:r>
    </w:p>
    <w:p>
      <w:pPr>
        <w:keepLines/>
        <w:shd w:fill="F3F4F6"/>
      </w:pPr>
      <w:r>
        <w:rPr>
          <w:rFonts w:ascii="Noto Sans CJK SC" w:hAnsi="Noto Sans CJK SC" w:eastAsia="Noto Sans CJK SC" w:cs="Noto Sans CJK SC"/>
          <w:b/>
          <w:i w:val="0"/>
          <w:color w:val="1D2733"/>
          <w:sz w:val="20"/>
        </w:rPr>
        <w:t>图内工作负载缩写：</w:t>
      </w:r>
      <w:r>
        <w:rPr>
          <w:rFonts w:ascii="DejaVu Sans Mono" w:hAnsi="DejaVu Sans Mono" w:eastAsia="DejaVu Sans Mono" w:cs="DejaVu Sans Mono"/>
          <w:b w:val="0"/>
          <w:color w:val="1D2733"/>
          <w:sz w:val="19"/>
        </w:rPr>
        <w:t>ft</w:t>
      </w:r>
      <w:r>
        <w:rPr>
          <w:rFonts w:ascii="Noto Sans CJK SC" w:hAnsi="Noto Sans CJK SC" w:eastAsia="Noto Sans CJK SC" w:cs="Noto Sans CJK SC"/>
          <w:b w:val="0"/>
          <w:i w:val="0"/>
          <w:color w:val="1D2733"/>
          <w:sz w:val="20"/>
        </w:rPr>
        <w:t>表示微调（fine-tuning），</w:t>
      </w:r>
      <w:r>
        <w:rPr>
          <w:rFonts w:ascii="DejaVu Sans Mono" w:hAnsi="DejaVu Sans Mono" w:eastAsia="DejaVu Sans Mono" w:cs="DejaVu Sans Mono"/>
          <w:b w:val="0"/>
          <w:color w:val="1D2733"/>
          <w:sz w:val="19"/>
        </w:rPr>
        <w:t>infer</w:t>
      </w:r>
      <w:r>
        <w:rPr>
          <w:rFonts w:ascii="Noto Sans CJK SC" w:hAnsi="Noto Sans CJK SC" w:eastAsia="Noto Sans CJK SC" w:cs="Noto Sans CJK SC"/>
          <w:b w:val="0"/>
          <w:i w:val="0"/>
          <w:color w:val="1D2733"/>
          <w:sz w:val="20"/>
        </w:rPr>
        <w:t>表示推理（inference），</w:t>
      </w:r>
      <w:r>
        <w:rPr>
          <w:rFonts w:ascii="DejaVu Sans Mono" w:hAnsi="DejaVu Sans Mono" w:eastAsia="DejaVu Sans Mono" w:cs="DejaVu Sans Mono"/>
          <w:b w:val="0"/>
          <w:color w:val="1D2733"/>
          <w:sz w:val="19"/>
        </w:rPr>
        <w:t>pt</w:t>
      </w:r>
      <w:r>
        <w:rPr>
          <w:rFonts w:ascii="Noto Sans CJK SC" w:hAnsi="Noto Sans CJK SC" w:eastAsia="Noto Sans CJK SC" w:cs="Noto Sans CJK SC"/>
          <w:b w:val="0"/>
          <w:i w:val="0"/>
          <w:color w:val="1D2733"/>
          <w:sz w:val="20"/>
        </w:rPr>
        <w:t>表示预训练（pre-training）；括号内为该配置使用的GPU数量。图中包括在Dolly和P3数据集上微调LLaMA 8B、三种GPU规模下的LLaMA 8B推理，以及三种MPT预训练配置。</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研究者不是只测一种AI任务，而是同时测了微调、推理和预训练。曲线显示：接近GPU通常约400 W的热设计功率时，各作业吞吐量接近各自最大值；继续大幅压低每块GPU的功率后，吞吐量下降会越来越明显。MPT预训练任务在中等功率区间内比微调和推理任务更敏感，这一差异会在后面的讨论中进一步说明。</w:t>
      </w:r>
    </w:p>
    <w:p>
      <w:pPr>
        <w:pStyle w:val="Heading2"/>
      </w:pPr>
      <w:r>
        <w:rPr>
          <w:rFonts w:ascii="Noto Sans CJK SC" w:hAnsi="Noto Sans CJK SC" w:eastAsia="Noto Sans CJK SC" w:cs="Noto Sans CJK SC"/>
          <w:b/>
          <w:i w:val="0"/>
          <w:color w:val="1F4E79"/>
          <w:sz w:val="28"/>
        </w:rPr>
        <w:t>讨论（Discussion）</w:t>
      </w:r>
    </w:p>
    <w:p>
      <w:pPr>
        <w:keepLines/>
      </w:pPr>
      <w:r>
        <w:rPr>
          <w:rFonts w:ascii="Noto Sans CJK SC" w:hAnsi="Noto Sans CJK SC" w:eastAsia="Noto Sans CJK SC" w:cs="Noto Sans CJK SC"/>
          <w:b w:val="0"/>
          <w:i w:val="0"/>
          <w:color w:val="1D2733"/>
          <w:sz w:val="20"/>
        </w:rPr>
        <w:t>这项示范代表了AI数据中心管理方面的一项重要进展：它使设施从静态的高负荷用电者转变为主动、可控的电网参与者。通过将软件智能与工作负载管理相结合，AI集群能够根据电网需求，动态调整自身的功率消耗曲线。</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传统做法通常把数据中心看成“需要多少电就持续取多少电”的负荷。这套系统则让数据中心在电网最紧张的时段暂时降功率、在压力缓解后恢复，因而可以像一个可调节负荷那样配合电网。这里说的是改变</w:t>
      </w:r>
      <w:r>
        <w:rPr>
          <w:rFonts w:ascii="Noto Sans CJK SC" w:hAnsi="Noto Sans CJK SC" w:eastAsia="Noto Sans CJK SC" w:cs="Noto Sans CJK SC"/>
          <w:b/>
          <w:i w:val="0"/>
          <w:color w:val="0070C0"/>
          <w:sz w:val="20"/>
        </w:rPr>
        <w:t>何时取多少功率</w:t>
      </w:r>
      <w:r>
        <w:rPr>
          <w:rFonts w:ascii="Noto Sans CJK SC" w:hAnsi="Noto Sans CJK SC" w:eastAsia="Noto Sans CJK SC" w:cs="Noto Sans CJK SC"/>
          <w:b w:val="0"/>
          <w:i w:val="0"/>
          <w:color w:val="0070C0"/>
          <w:sz w:val="20"/>
        </w:rPr>
        <w:t>，不自动等于全年总耗电量一定大幅减少。</w:t>
      </w:r>
    </w:p>
    <w:p>
      <w:pPr>
        <w:keepLines/>
      </w:pPr>
      <w:r>
        <w:rPr>
          <w:rFonts w:ascii="Noto Sans CJK SC" w:hAnsi="Noto Sans CJK SC" w:eastAsia="Noto Sans CJK SC" w:cs="Noto Sans CJK SC"/>
          <w:b w:val="0"/>
          <w:i w:val="0"/>
          <w:color w:val="1D2733"/>
          <w:sz w:val="20"/>
        </w:rPr>
        <w:t>近期研究表明，AI数据中心的负荷灵活性可能使美国无需大规模建设新的发电或输电基础设施，便可释放100 GW的新数据中心接入容量[13,15]，足以满足未来十年预计的AI增长需求。实现这部分新增电力承载能力的条件，是允许新增负荷以0.5%的年化削减率，在平均持续时间最长约2.1小时的时段内进行削减。</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100 GW不是本次256块GPU实验直接“创造”出来的容量，而是论文引用的美国电力系统研究给出的系统级估计。其逻辑是：电网并非全年都缺容量，真正紧张的只是少数高峰时段；如果大型数据中心同意在这些少数时段临时降低负荷，电网就可能在不立刻扩建大量电源和输电线路的情况下接入更多数据中心。“0.5%年化削减”不是始终把功率降低0.5%，而是指按全年可运行时间统计，需要被削减的比例很小；2.1小时指此类削减事件的平均持续时长量级。它属于外部研究的建模结果，不能与本论文实测的“降功率25%、持续3小时”混为一谈。</w:t>
      </w:r>
    </w:p>
    <w:p>
      <w:pPr>
        <w:keepLines w:val="0"/>
      </w:pPr>
      <w:r>
        <w:rPr>
          <w:rFonts w:ascii="Noto Sans CJK SC" w:hAnsi="Noto Sans CJK SC" w:eastAsia="Noto Sans CJK SC" w:cs="Noto Sans CJK SC"/>
          <w:b w:val="0"/>
          <w:i w:val="0"/>
          <w:color w:val="1D2733"/>
          <w:sz w:val="20"/>
        </w:rPr>
        <w:t>该功率编排平台的一项核心优势，是可以部署在标准硬件上。硬件改造或部署电池会带来大量资本成本和运维复杂性，而这一软件平台可以直接运行在现有云计算和高性能计算（HPC）软件栈之上。因此，该方法是云原生的、可扩展的，并且已经与正在形成的AI集群技术体系兼容，其中包括NVIDIA的现代基础设施和容器化机器学习平台。该方法还有机会部署到其他主要AI数据中心区域，尤其是北弗吉尼亚、硅谷和得克萨斯州等电网条件受限的地区[4]；在全球范围内，也可应用于英国、爱尔兰、德国、新加坡以及其他数据中心快速增长的国家[3]。</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作者强调的卖点不是新建电池、发电机或更换GPU，而是在现有集群上增加一层控制软件，因此理论上部署门槛和扩展成本更低。这也是他们认为方法可推广到新加坡等数据中心增长快、并网资源紧张地区的原因。不过，“兼容”和“有机会部署”只表示技术路径可行；不同地区的电价机制、并网规则、集群调度系统和客户SLA仍需单独适配。</w:t>
      </w:r>
    </w:p>
    <w:p>
      <w:pPr>
        <w:keepLines/>
      </w:pPr>
      <w:r>
        <w:rPr>
          <w:rFonts w:ascii="Noto Sans CJK SC" w:hAnsi="Noto Sans CJK SC" w:eastAsia="Noto Sans CJK SC" w:cs="Noto Sans CJK SC"/>
          <w:b w:val="0"/>
          <w:i w:val="0"/>
          <w:color w:val="1D2733"/>
          <w:sz w:val="20"/>
        </w:rPr>
        <w:t>本示范研究考察了几种用于调节功率消耗的控制手段：（1）通过NVIDIA系统管理接口（SMI）设置功率上限；该手段主要利用动态电压频率调节（DVFS），能够有效降低功率，而且对于许多工作负载只造成较小的吞吐量影响[16]（图6）；（2）作业暂停（降低优先级），即在需要大幅降低功率时暂时暂停正在运行的作业；（3）改变分配给作业的资源，即减少分配的GPU数量，在降低功率的同时允许作业继续推进。</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三种手段可理解为三档操作：第一种是让每块GPU“慢一点、少吃电”；第二种是把某些任务暂时停下来，降功率最快；第三种是让任务少用几块GPU，仍然继续算但速度会变慢。系统会根据所需降幅以及每个作业能承受多大性能损失来选择或组合这些手段。DVFS对“许多”任务影响较小，不代表对所有任务都几乎没有影响。</w:t>
      </w:r>
    </w:p>
    <w:p>
      <w:pPr>
        <w:keepLines w:val="0"/>
      </w:pPr>
      <w:r>
        <w:rPr>
          <w:rFonts w:ascii="Noto Sans CJK SC" w:hAnsi="Noto Sans CJK SC" w:eastAsia="Noto Sans CJK SC" w:cs="Noto Sans CJK SC"/>
          <w:b w:val="0"/>
          <w:i w:val="0"/>
          <w:color w:val="1D2733"/>
          <w:sz w:val="20"/>
        </w:rPr>
        <w:t>我们在多种GPU分配规模和工作负载类型下，评估了作业性能对功率上限的敏感性，其中包括：在两个数据集上微调（ft）LLaMA 8B；以三种不同GPU分配规模运行LLaMA 8B推理（infer）；以及Mosaic Pretrained Transformer（MPT）的三种预训练（pt）配置（具体信息见“工作负载”部分）。在所有实验中，作业性能都对功率限制表现出敏感性：当功率上限接近400 W——即目标GPU的典型热设计功率——时，只观察到较小的性能下降；当功率上限进一步降到这一阈值以下时，性能下降变得更加明显。所分配GPU的数量对功率敏感性的影响很小；但是，功率与性能之间的权衡因工作负载而异。尤其是，MPT预训练作业在功率上限的中间区间明显更加敏感，其性能降幅大于微调和推理任务。</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限一点功率时，GPU往往还能维持接近最高速度；限得越狠，速度损失就越快扩大。把同一类任务从16块GPU扩到32或48块，并没有明显改变“单块GPU被限功率后性能如何下降”的总体趋势；真正影响曲线形状的更多是任务类型。特别是MPT预训练比较怕中等强度的限功率。因此，平台不能用一个固定规则对待所有作业，而要先知道每种任务的功率—性能曲线。</w:t>
      </w:r>
    </w:p>
    <w:p>
      <w:pPr>
        <w:keepLines w:val="0"/>
      </w:pPr>
      <w:r>
        <w:rPr>
          <w:rFonts w:ascii="Noto Sans CJK SC" w:hAnsi="Noto Sans CJK SC" w:eastAsia="Noto Sans CJK SC" w:cs="Noto Sans CJK SC"/>
          <w:b w:val="0"/>
          <w:i w:val="0"/>
          <w:color w:val="1D2733"/>
          <w:sz w:val="20"/>
        </w:rPr>
        <w:t>通过NVIDIA-SMI实施功率上限控制所产生的额外开销可以忽略不计，因此即使在繁忙的集群中，也可以实现实时响应。对于训练作业，无论是暂停作业还是重新分配运行资源，都需要先保存检查点，以确保计算能够继续推进，并尽量减小这些控制手段产生的额外开销。尽管已有研究提出了面向长期目标的优化方法，其中改变控制状态本身会产生代价[17]，但由于本研究中的需求响应事件相对不频繁，而且训练作业通常会连续运行数天甚至数周，因此可以将保存检查点的开销视为可以忽略。功率编排平台的一个关键环节，是经过仔细计算后再应用这些控制手段，以避免违反SLA。因此，即使采用在更保守的6小时时间跨度上摊销得到的性能估计，本软件仍然能够满足SLA。</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下发“把GPU功率限制为多少”的指令本身几乎不耗时间；真正可能麻烦的是暂停任务或减少GPU之前，要先把训练进度保存下来，否则已经算过的内容可能丢失。作者认为需求响应不常发生，而大模型训练持续很多天，所以偶尔保存一次检查点的成本相对于总训练时间很小。系统也不是看到电网信号就随便停任务，而是先估计控制对各作业未来数小时性能的影响，再保证仍在SLA允许范围内。这里的“6小时”是性能影响评估所采用的保守摊销跨度，不是说每一次降功率事件都持续6小时。</w:t>
      </w:r>
    </w:p>
    <w:p>
      <w:pPr>
        <w:keepLines/>
      </w:pPr>
      <w:r>
        <w:rPr>
          <w:rFonts w:ascii="Noto Sans CJK SC" w:hAnsi="Noto Sans CJK SC" w:eastAsia="Noto Sans CJK SC" w:cs="Noto Sans CJK SC"/>
          <w:b w:val="0"/>
          <w:i w:val="0"/>
          <w:color w:val="1D2733"/>
          <w:sz w:val="20"/>
        </w:rPr>
        <w:t>在实验中，我们采用的“DVFS + 作业暂停，均衡（Fair）”策略，按照各作业灵活SLA（见“方法”）所允许的程度，按比例将性能减速分摊给所有作业；该策略在提高作业平均吞吐量与减少受功率管理影响的作业数量之间取得了较好的平衡。</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均衡”不是只牺牲最容易暂停的一个任务，而是根据每个任务能够容忍的减速幅度，把压力按比例分散。这样既不让某个任务受影响过重，也能避免整体吞吐量掉得太多。作者说的是一种“较好的折中”，并非所有指标上都绝对最优。</w:t>
      </w:r>
    </w:p>
    <w:p>
      <w:pPr>
        <w:keepLines/>
      </w:pPr>
      <w:r>
        <w:rPr>
          <w:rFonts w:ascii="Noto Sans CJK SC" w:hAnsi="Noto Sans CJK SC" w:eastAsia="Noto Sans CJK SC" w:cs="Noto Sans CJK SC"/>
          <w:b w:val="0"/>
          <w:i w:val="0"/>
          <w:color w:val="1D2733"/>
          <w:sz w:val="20"/>
        </w:rPr>
        <w:t>AI数据中心由软件定义的灵活性可能改变公用事业公司的并网流程。特别是在许可审批延迟已经成为瓶颈的地区，灵活性可能加快数据中心的并网和选址审批[18,19]。能够响应电网信号的数据中心还可以避免昂贵的基础设施升级，并获得需求响应补偿。</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电网公司担心大型数据中心一接入就推高峰值负荷，因此可能要求扩建变电站或线路，导致审批很慢。如果数据中心能够承诺在极端高峰时主动降功率，电网公司就可能更愿意让它提前接入；数据中心还可能因为帮助削峰而获得费用补偿。不过这里使用的是“可能”，论文并没有通过本次技术实验直接验证审批一定会加快，也没有给出具体经济收益。</w:t>
      </w:r>
    </w:p>
    <w:p>
      <w:pPr>
        <w:keepLines w:val="0"/>
      </w:pPr>
      <w:r>
        <w:rPr>
          <w:rFonts w:ascii="Noto Sans CJK SC" w:hAnsi="Noto Sans CJK SC" w:eastAsia="Noto Sans CJK SC" w:cs="Noto Sans CJK SC"/>
          <w:b w:val="0"/>
          <w:i w:val="0"/>
          <w:color w:val="1D2733"/>
          <w:sz w:val="20"/>
        </w:rPr>
        <w:t>目前这种电网友好型AI数据中心方案仍存在若干局限。第一，并非所有AI工作负载都具有时间上的灵活性；对于延迟或可靠性要求严格的作业，AI客户可能不愿意接受在单一站点限制工作负载性能。在本研究中，批处理式训练、微调和推理任务可以减速或暂停，而实时推理、流式处理和模型服务等其他“Flex 0”作业则未被调整。为了释放更广泛的灵活性，未来研究将探索在地理位置之间迁移AI工作负载[9,20]，利用时空灵活性，在尽量减小延迟惩罚的同时维持更广泛AI工作负载的性能。此外，行业激励机制和SLA也需要相应演变，例如鼓励用户选择加入不同灵活性等级，以换取成本优惠或计算资源可用性方面的收益；这些收益来自负荷灵活性使电网能够接入的大规模新增AI算力。未来研究还可以考察工作负载灵活性构成与数据中心功率灵活性之间的权衡，从而为设施功率规划决策提供指导。</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这套办法最适合“晚一点完成也可以”的任务，例如持续多天的训练或离线批量推理；用户正在等待结果的实时聊天、在线服务等任务不能随便减速。未来一种补救方式是把任务转移到另一个电网不紧张的地区，而不是在原地硬限功率。另一关键问题是商业规则：客户为什么愿意让自己的任务被减速？可能需要更便宜的价格、优先获得GPU等回报。由此可见，技术控制只是其中一环，跨区域调度、合同和激励机制同样重要。</w:t>
      </w:r>
    </w:p>
    <w:p>
      <w:pPr>
        <w:keepLines w:val="0"/>
      </w:pPr>
      <w:r>
        <w:rPr>
          <w:rFonts w:ascii="Noto Sans CJK SC" w:hAnsi="Noto Sans CJK SC" w:eastAsia="Noto Sans CJK SC" w:cs="Noto Sans CJK SC"/>
          <w:b w:val="0"/>
          <w:i w:val="0"/>
          <w:color w:val="1D2733"/>
          <w:sz w:val="20"/>
        </w:rPr>
        <w:t>我们的现场示范聚焦于单个集群削减负荷的能力，目的是响应电力系统峰值，并降低AI数据中心与系统峰值同时出现时的用电需求，从而加快并网，并避免为更高的系统峰值建设额外基础设施。若要充分理解其系统层面的影响，还需要开展规模更大的部署，纳入完整数据中心的遥测数据以及多个数据中心区域。这样才能验证更广泛的控制策略与协同机制。除紧急需求响应外，我们未来还将探索参与更广泛的电网项目，例如日前需求响应、频率调节和其他辅助服务[21,22]，以评估该方案在真实电力市场中的经济可行性与技术成熟度。</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目前证明的是“一套256-GPU集群能按要求降功率”，还不是“整座超大数据中心、多个园区能够联合稳定电网”。真正落地时，还需要看到全数据中心的服务器、网络、制冷等完整用电数据，并让不同园区协同。论文目前主要做的是峰值时段或紧急事件下的降负荷；更快、更连续的频率调节，以及根据前一天计划参与市场，仍属于后续工作。</w:t>
      </w:r>
    </w:p>
    <w:p>
      <w:pPr>
        <w:keepLines/>
      </w:pPr>
      <w:r>
        <w:rPr>
          <w:rFonts w:ascii="Noto Sans CJK SC" w:hAnsi="Noto Sans CJK SC" w:eastAsia="Noto Sans CJK SC" w:cs="Noto Sans CJK SC"/>
          <w:b w:val="0"/>
          <w:i w:val="0"/>
          <w:color w:val="1D2733"/>
          <w:sz w:val="20"/>
        </w:rPr>
        <w:t>本研究展示的纯软件方案不需要现场发电设备或储能设备也能实现灵活性，但这类能源资源可以提供互补的灵活调节能力。既有研究已经表明，在功率感知型调度器中加入对储能和发电机状态的感知，可以进一步改善与电网的协同[17,23–25]。未来研究可以配置不同程度的分布式能源资源，考察其全生命周期成本与可提供灵活功率容量之间的权衡。</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论文的亮点是“不装电池也能调功率”，但作者并不是说电池或备用发电机没有价值。软件控制解决的是“哪些计算任务现在少用电”，储能和发电设备则可以解决“计算仍要继续时，电从哪里来”。两者结合可能提供更强的调节能力，但也会增加设备购置、维护和更换成本，因此需要做全生命周期经济比较。</w:t>
      </w:r>
    </w:p>
    <w:p>
      <w:pPr>
        <w:keepLines/>
      </w:pPr>
      <w:r>
        <w:rPr>
          <w:rFonts w:ascii="Noto Sans CJK SC" w:hAnsi="Noto Sans CJK SC" w:eastAsia="Noto Sans CJK SC" w:cs="Noto Sans CJK SC"/>
          <w:b w:val="0"/>
          <w:i w:val="0"/>
          <w:color w:val="1D2733"/>
          <w:sz w:val="20"/>
        </w:rPr>
        <w:t>这项位于凤凰城的现场示范标志着能源与AI融合中的一个转折点。仅依靠软件方案，现有AI集群便可成为可靠、精确的电网支持资源。随着AI用电需求加速增长，灵活数据中心为满足电力系统需求提供了一条可扩展、可持续的路径，同时不必延缓创新或牺牲可靠性。</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这是作者对研究意义的总结：现有GPU集群通过软件就能在特定实验条件下按电网要求降功率，并把作业性能保持在约定范围内。不过“转折点”“可靠、精确”等属于较强的前景性表述。现有证据来自一个站点、一套256-GPU集群和一组代表性工作负载，是否能在整座数据中心和更多真实业务中保持同样效果，仍需按上一段所说扩大验证。</w:t>
      </w:r>
    </w:p>
    <w:p>
      <w:pPr>
        <w:keepLines/>
      </w:pPr>
      <w:r>
        <w:rPr>
          <w:rFonts w:ascii="Noto Sans CJK SC" w:hAnsi="Noto Sans CJK SC" w:eastAsia="Noto Sans CJK SC" w:cs="Noto Sans CJK SC"/>
          <w:b w:val="0"/>
          <w:i w:val="0"/>
          <w:color w:val="1D2733"/>
          <w:sz w:val="20"/>
        </w:rPr>
        <w:t>未来的发展需要电网运营商、AI开发者和监管机构开展更深入的合作，共同将这些能力标准化，从而开启电网友好型计算的新阶段。</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要把实验系统变成行业常规能力，至少需要三方配合：电网给出统一且可执行的调节信号与市场规则；数据中心和AI开发者提供可调度的作业及可靠的控制接口；监管机构明确并网、补偿和责任边界。论文到这里结束的是愿景和下一步方向，后面的“Methods”才开始交代工作负载、算法和评价指标等技术细节。</w:t>
      </w:r>
    </w:p>
    <w:p>
      <w:pPr>
        <w:pStyle w:val="Heading2"/>
      </w:pPr>
      <w:r>
        <w:rPr>
          <w:rFonts w:ascii="Noto Sans CJK SC" w:hAnsi="Noto Sans CJK SC" w:eastAsia="Noto Sans CJK SC" w:cs="Noto Sans CJK SC"/>
          <w:b/>
          <w:i w:val="0"/>
          <w:color w:val="1F4E79"/>
          <w:sz w:val="28"/>
        </w:rPr>
        <w:t>Methods（方法）逐段翻译与通俗解释</w:t>
      </w:r>
    </w:p>
    <w:p>
      <w:pPr>
        <w:pStyle w:val="Heading3"/>
      </w:pPr>
      <w:r>
        <w:rPr>
          <w:rFonts w:ascii="Noto Sans CJK SC" w:hAnsi="Noto Sans CJK SC" w:eastAsia="Noto Sans CJK SC" w:cs="Noto Sans CJK SC"/>
          <w:b/>
          <w:i w:val="0"/>
          <w:color w:val="1F4E79"/>
          <w:sz w:val="23"/>
        </w:rPr>
        <w:t>Workloads（工作负载）</w:t>
      </w:r>
    </w:p>
    <w:p>
      <w:pPr>
        <w:keepLines w:val="0"/>
      </w:pPr>
      <w:r>
        <w:rPr>
          <w:rFonts w:ascii="Noto Sans CJK SC" w:hAnsi="Noto Sans CJK SC" w:eastAsia="Noto Sans CJK SC" w:cs="Noto Sans CJK SC"/>
          <w:b w:val="0"/>
          <w:i w:val="0"/>
          <w:color w:val="1D2733"/>
          <w:sz w:val="20"/>
        </w:rPr>
        <w:t>在现场试验中，我们与 Databricks 合作设计了四种具有代表性的工作负载集合，其中包含训练、推理和微调任务。我们从 Hugging Face 下载了 MPT 和 LLaMA 3.1 系列模型，并使用 C4 数据集进行预训练，使用 Dolly 和 P3 数据集进行微调。这些工作负载及其灵活服务等级协议（SLA）层级见表 1。依据任务对运行时间延长或吞吐量下降的容忍程度，每个任务都被标记为四个灵活性层级之一（前文 Results 已讨论）。在我们的任务集合中，训练负载通常最灵活（Flex 3），因为预计其会持续运行很多天。推理负载则具有不同程度的灵活性，例如 Flex 0 表示面向用户的实时推理，Flex 3 表示批处理数据流水线中的推理。我们在咨询产业专家合作伙伴，并参考不同类型 AI 任务的典型 SLA 预期后，确定了这些任务集合和标签。</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作者先搭了四套“任务菜单”。长达数天的训练任务通常不怕晚一点完成，所以可多减速；聊天机器人一类实时推理不能让用户等待，所以被设为不可减速。需要注意，这些灵活等级是作者与合作方按典型经验设定的，并非从真实客户合同中自动学出来的。</w:t>
      </w:r>
    </w:p>
    <w:p>
      <w:pPr>
        <w:pStyle w:val="Heading3"/>
      </w:pPr>
      <w:r>
        <w:rPr>
          <w:rFonts w:ascii="Noto Sans CJK SC" w:hAnsi="Noto Sans CJK SC" w:eastAsia="Noto Sans CJK SC" w:cs="Noto Sans CJK SC"/>
          <w:b/>
          <w:i w:val="0"/>
          <w:color w:val="1F4E79"/>
          <w:sz w:val="23"/>
        </w:rPr>
        <w:t>Orchestration algorithms（编排算法）</w:t>
      </w:r>
    </w:p>
    <w:p>
      <w:pPr>
        <w:keepLines/>
      </w:pPr>
      <w:r>
        <w:rPr>
          <w:rFonts w:ascii="Noto Sans CJK SC" w:hAnsi="Noto Sans CJK SC" w:eastAsia="Noto Sans CJK SC" w:cs="Noto Sans CJK SC"/>
          <w:b w:val="0"/>
          <w:i w:val="0"/>
          <w:color w:val="1D2733"/>
          <w:sz w:val="20"/>
        </w:rPr>
        <w:t>我们为功率编排平台设计了一组功率与负载管理算法。这些算法使用前文所述的三种控制旋钮，既可单独使用，也可按不同方式组合使用，例如将 DVFS 与任务暂停结合、将任务暂停与资源重新分配结合，等等。</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系统有三种主要办法：把 GPU 的功率上限调低；暂时停掉某些任务；从某任务手里收回一部分 GPU。平台可以只用一种，也可以几种一起用。</w:t>
      </w:r>
    </w:p>
    <w:p>
      <w:pPr>
        <w:keepLines/>
      </w:pPr>
      <w:r>
        <w:rPr>
          <w:rFonts w:ascii="Noto Sans CJK SC" w:hAnsi="Noto Sans CJK SC" w:eastAsia="Noto Sans CJK SC" w:cs="Noto Sans CJK SC"/>
          <w:b w:val="0"/>
          <w:i w:val="0"/>
          <w:color w:val="1D2733"/>
          <w:sz w:val="20"/>
        </w:rPr>
        <w:t>我们针对不同控制旋钮组合实现了两种主要算法策略：（1）</w:t>
      </w:r>
      <w:r>
        <w:rPr>
          <w:rFonts w:ascii="Noto Sans CJK SC" w:hAnsi="Noto Sans CJK SC" w:eastAsia="Noto Sans CJK SC" w:cs="Noto Sans CJK SC"/>
          <w:b/>
          <w:i w:val="0"/>
          <w:color w:val="1D2733"/>
          <w:sz w:val="20"/>
        </w:rPr>
        <w:t>Greedy（贪心）</w:t>
      </w:r>
      <w:r>
        <w:rPr>
          <w:rFonts w:ascii="Noto Sans CJK SC" w:hAnsi="Noto Sans CJK SC" w:eastAsia="Noto Sans CJK SC" w:cs="Noto Sans CJK SC"/>
          <w:b w:val="0"/>
          <w:i w:val="0"/>
          <w:color w:val="1D2733"/>
          <w:sz w:val="20"/>
        </w:rPr>
        <w:t>：优先把控制旋钮用于最灵活的任务，目标是在尽量少影响任务数量的同时最大化功率削减；（2）</w:t>
      </w:r>
      <w:r>
        <w:rPr>
          <w:rFonts w:ascii="Noto Sans CJK SC" w:hAnsi="Noto Sans CJK SC" w:eastAsia="Noto Sans CJK SC" w:cs="Noto Sans CJK SC"/>
          <w:b/>
          <w:i w:val="0"/>
          <w:color w:val="1D2733"/>
          <w:sz w:val="20"/>
        </w:rPr>
        <w:t>Fair（公平）</w:t>
      </w:r>
      <w:r>
        <w:rPr>
          <w:rFonts w:ascii="Noto Sans CJK SC" w:hAnsi="Noto Sans CJK SC" w:eastAsia="Noto Sans CJK SC" w:cs="Noto Sans CJK SC"/>
          <w:b w:val="0"/>
          <w:i w:val="0"/>
          <w:color w:val="1D2733"/>
          <w:sz w:val="20"/>
        </w:rPr>
        <w:t>：把预计的性能额外负担更均匀地分摊到所有任务上，从而使工作负载性能受到的影响更均衡。</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贪心策略是“先集中牺牲最不着急的几项任务，尽量不碰其他任务”；公平策略是“大家都慢一点，不让某一个任务承担全部减速”。</w:t>
      </w:r>
    </w:p>
    <w:p>
      <w:pPr>
        <w:keepLines w:val="0"/>
      </w:pPr>
      <w:r>
        <w:rPr>
          <w:rFonts w:ascii="Noto Sans CJK SC" w:hAnsi="Noto Sans CJK SC" w:eastAsia="Noto Sans CJK SC" w:cs="Noto Sans CJK SC"/>
          <w:b w:val="0"/>
          <w:i w:val="0"/>
          <w:color w:val="1D2733"/>
          <w:sz w:val="20"/>
        </w:rPr>
        <w:t>我们实现的所有策略都在任务 SLA 约束下求解功率削减目标。在满足功率削减与任务性能约束的同时，下列“控制旋钮—算法策略”组合给出了最理想的结果：“DVFS + 任务暂停，Fair”在平均任务吞吐量与受功率管理影响的任务数量之间提供了最佳折中；“DVFS，Fair”实现了总体上最高的平均任务吞吐量，因为这种旋钮比其他旋钮能够以更细的粒度施加控制；“任务暂停，Greedy”在实现所需功率削减时影响的任务数量最少；在不使用 DVFS 的策略中，“任务暂停 + 资源分配，Fair”实现了最高的平均吞吐量。</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没有一种策略在所有方面都最好。若想让整体速度尽量高，细调每张 GPU 的功率更合适；若想尽量少碰任务，就集中暂停少数最灵活任务；若不允许调 GPU 功率，则暂停与重新分配资源的公平组合较好。</w:t>
      </w:r>
    </w:p>
    <w:p>
      <w:pPr>
        <w:keepLines/>
      </w:pPr>
      <w:r>
        <w:rPr>
          <w:rFonts w:ascii="Noto Sans CJK SC" w:hAnsi="Noto Sans CJK SC" w:eastAsia="Noto Sans CJK SC" w:cs="Noto Sans CJK SC"/>
          <w:b w:val="0"/>
          <w:i w:val="0"/>
          <w:color w:val="1D2733"/>
          <w:sz w:val="20"/>
        </w:rPr>
        <w:t>我们的实验还覆盖了以下控制策略，但它们的表现不如其他策略：“DVFS，Greedy”“资源分配，Fair”“资源分配，Greedy”以及“任务暂停 + 资源分配，Greedy”。</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作者也试过这些组合，但只简要说它们较差，没有在正文中给出完整的逐项量化比较。</w:t>
      </w:r>
    </w:p>
    <w:p>
      <w:pPr>
        <w:pStyle w:val="Heading3"/>
      </w:pPr>
      <w:r>
        <w:rPr>
          <w:rFonts w:ascii="Noto Sans CJK SC" w:hAnsi="Noto Sans CJK SC" w:eastAsia="Noto Sans CJK SC" w:cs="Noto Sans CJK SC"/>
          <w:b/>
          <w:i w:val="0"/>
          <w:color w:val="1F4E79"/>
          <w:sz w:val="23"/>
        </w:rPr>
        <w:t>Simulation and real-time execution（模拟与实时执行）</w:t>
      </w:r>
    </w:p>
    <w:p>
      <w:pPr>
        <w:keepLines/>
      </w:pPr>
      <w:r>
        <w:rPr>
          <w:rFonts w:ascii="Noto Sans CJK SC" w:hAnsi="Noto Sans CJK SC" w:eastAsia="Noto Sans CJK SC" w:cs="Noto Sans CJK SC"/>
          <w:b w:val="0"/>
          <w:i w:val="0"/>
          <w:color w:val="1D2733"/>
          <w:sz w:val="20"/>
        </w:rPr>
        <w:t>在这次现场试验中，我们先在平台的模拟器中确定策略决策，再由这些决策驱动平台运行时的实际操作。我们通过应用程序编程接口（API）从 Amperon 平台接收电网负荷信号；该平台提供预测的电网负荷和真实历史电网数据，我们用这些数据核验集群需求响应的时间安排。我们对所有功率遥测数据和任务完成遥测数据进行了时间戳对齐。</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系统先在“数字沙盘”里算出该动谁、动多少，再向真实 GPU 下命令。电网曲线和 GPU/任务记录使用统一时间轴，才能判断集群是否在电网真正需要的时段降了功率。</w:t>
      </w:r>
    </w:p>
    <w:p>
      <w:pPr>
        <w:keepLines/>
      </w:pPr>
      <w:r>
        <w:rPr>
          <w:rFonts w:ascii="Noto Sans CJK SC" w:hAnsi="Noto Sans CJK SC" w:eastAsia="Noto Sans CJK SC" w:cs="Noto Sans CJK SC"/>
          <w:b w:val="0"/>
          <w:i w:val="0"/>
          <w:color w:val="1D2733"/>
          <w:sz w:val="20"/>
        </w:rPr>
        <w:t>模拟器依据我们在功率削减事件实验开始前为每个任务测得的特征曲线，估计功率—性能关系。尽管并非所有工作负载都适合事先表征，但数据中心运营商也许能够表征其内部的非紧急工作负载。未来工作可以扩展系统级任务表征研究，以推断非内部工作负载的功率—性能性质。</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模拟器之所以知道“少给这个任务 50 W 会慢多少”，是因为作者提前测试过这些任务。对于突然出现、属于外部客户且不能预跑的新任务，现在还没有完整解决办法。</w:t>
      </w:r>
    </w:p>
    <w:p>
      <w:pPr>
        <w:pStyle w:val="Heading3"/>
      </w:pPr>
      <w:r>
        <w:rPr>
          <w:rFonts w:ascii="Noto Sans CJK SC" w:hAnsi="Noto Sans CJK SC" w:eastAsia="Noto Sans CJK SC" w:cs="Noto Sans CJK SC"/>
          <w:b/>
          <w:i w:val="0"/>
          <w:color w:val="1F4E79"/>
          <w:sz w:val="23"/>
        </w:rPr>
        <w:t>Evaluation metrics（评价指标）</w:t>
      </w:r>
    </w:p>
    <w:p>
      <w:pPr>
        <w:keepLines/>
      </w:pPr>
      <w:r>
        <w:rPr>
          <w:rFonts w:ascii="Noto Sans CJK SC" w:hAnsi="Noto Sans CJK SC" w:eastAsia="Noto Sans CJK SC" w:cs="Noto Sans CJK SC"/>
          <w:b w:val="0"/>
          <w:i w:val="0"/>
          <w:color w:val="1D2733"/>
          <w:sz w:val="20"/>
        </w:rPr>
        <w:t>我们采用三个关键指标评估实验表现：（1）</w:t>
      </w:r>
      <w:r>
        <w:rPr>
          <w:rFonts w:ascii="Noto Sans CJK SC" w:hAnsi="Noto Sans CJK SC" w:eastAsia="Noto Sans CJK SC" w:cs="Noto Sans CJK SC"/>
          <w:b/>
          <w:i w:val="0"/>
          <w:color w:val="1D2733"/>
          <w:sz w:val="20"/>
        </w:rPr>
        <w:t>功率削减合规性</w:t>
      </w:r>
      <w:r>
        <w:rPr>
          <w:rFonts w:ascii="Noto Sans CJK SC" w:hAnsi="Noto Sans CJK SC" w:eastAsia="Noto Sans CJK SC" w:cs="Noto Sans CJK SC"/>
          <w:b w:val="0"/>
          <w:i w:val="0"/>
          <w:color w:val="1D2733"/>
          <w:sz w:val="20"/>
        </w:rPr>
        <w:t>，比较实际实现的功率削减百分比与公用事业单位提出的目标；（2）</w:t>
      </w:r>
      <w:r>
        <w:rPr>
          <w:rFonts w:ascii="Noto Sans CJK SC" w:hAnsi="Noto Sans CJK SC" w:eastAsia="Noto Sans CJK SC" w:cs="Noto Sans CJK SC"/>
          <w:b/>
          <w:i w:val="0"/>
          <w:color w:val="1D2733"/>
          <w:sz w:val="20"/>
        </w:rPr>
        <w:t>QoS 保持情况</w:t>
      </w:r>
      <w:r>
        <w:rPr>
          <w:rFonts w:ascii="Noto Sans CJK SC" w:hAnsi="Noto Sans CJK SC" w:eastAsia="Noto Sans CJK SC" w:cs="Noto Sans CJK SC"/>
          <w:b w:val="0"/>
          <w:i w:val="0"/>
          <w:color w:val="1D2733"/>
          <w:sz w:val="20"/>
        </w:rPr>
        <w:t>，检查各个任务的 SLA 是否得到满足；（3）</w:t>
      </w:r>
      <w:r>
        <w:rPr>
          <w:rFonts w:ascii="Noto Sans CJK SC" w:hAnsi="Noto Sans CJK SC" w:eastAsia="Noto Sans CJK SC" w:cs="Noto Sans CJK SC"/>
          <w:b/>
          <w:i w:val="0"/>
          <w:color w:val="1D2733"/>
          <w:sz w:val="20"/>
        </w:rPr>
        <w:t>模拟器准确性</w:t>
      </w:r>
      <w:r>
        <w:rPr>
          <w:rFonts w:ascii="Noto Sans CJK SC" w:hAnsi="Noto Sans CJK SC" w:eastAsia="Noto Sans CJK SC" w:cs="Noto Sans CJK SC"/>
          <w:b w:val="0"/>
          <w:i w:val="0"/>
          <w:color w:val="1D2733"/>
          <w:sz w:val="20"/>
        </w:rPr>
        <w:t>，计算预测功率与实测功率之间的均方根误差（RMSE）。我们通过 NVIDIA-SMI 测量 GPU 功率消耗，并通过自定义脚本测量应用程序吞吐量，例如每秒步数或每秒 token 数。</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作者主要检查三件事：电网让降多少，是否真的降到了；任务有没有慢过事先允许的下限；模拟器猜的功率和真实功率差多少。这里测量的是 GPU 功率和任务速度，不是整个数据中心入口处的总电表。</w:t>
      </w:r>
    </w:p>
    <w:p>
      <w:pPr>
        <w:keepLines/>
      </w:pPr>
      <w:r>
        <w:rPr>
          <w:rFonts w:ascii="Noto Sans CJK SC" w:hAnsi="Noto Sans CJK SC" w:eastAsia="Noto Sans CJK SC" w:cs="Noto Sans CJK SC"/>
          <w:b w:val="0"/>
          <w:i w:val="0"/>
          <w:color w:val="1D2733"/>
          <w:sz w:val="20"/>
        </w:rPr>
        <w:t>在所有功率削减事件（APS、SRP 和 CAISO）以及总计 33 次功率削减实验（表 2）中，我们均完全满足了合规阈值，同时保持零次 SLA 违约。在全部实验中，相对于实验平均功率，模拟器预测的 RMSE 为 4.52%。</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在作者设定的实验范围内，每次都把功率降到了目标，同时任务没有慢过各自允许的程度。4.52% 表示预测误差相对于平均功率不大，但不是“预测准确率为 95.48%”，也不代表每个时刻误差都只有 4.52%。</w:t>
      </w:r>
    </w:p>
    <w:p>
      <w:pPr>
        <w:keepLines w:val="0"/>
      </w:pPr>
      <w:r>
        <w:rPr>
          <w:rFonts w:ascii="Noto Sans CJK SC" w:hAnsi="Noto Sans CJK SC" w:eastAsia="Noto Sans CJK SC" w:cs="Noto Sans CJK SC"/>
          <w:b w:val="0"/>
          <w:i w:val="0"/>
          <w:color w:val="1D2733"/>
          <w:sz w:val="20"/>
        </w:rPr>
        <w:t>能源效率并不是我们的灵活功率需求策略所直接采用的指标，因为能耗取决于公用事业单位的功率目标和事件持续时间。需求响应事件结束后的能源影响，可能是系统在性能约束下跟随降低后的功率目标所产生的附带结果，因为事件期间的任务性能会影响事件结束后该任务还剩多少工作。以 SRP 的代表性实验（图 2）为例，我们将每个任务在实验期间取得的进度相对于该任务最终完成时的总进度进行归一化，以此作为减速的代理量；同时，将每个任务的实测平均功率相对于不使用功率编排平台时的任务平均功率进行归一化。这两个数值的乘积表示平台策略为每个任务带来的相对节能量。考虑到功率削减事件结束后系统仍将继续执行这些任务，我们再以各任务的基线功率需求为权重，对这些节能量进行加权平均，作为预期能量削减。在这个案例中，我们观察到 5% 的能量减少。</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作者知道“高峰时少用 25% 功率”不等于“整项工作少耗 25% 电”，因为被拖慢的任务之后还要继续运行。因此他们用任务完成进度和相对功率估算，得到这一场实验大约节能 5%。不过这是代理估计，不是从所有任务开始到最终补完为止，用设施总电表直接积分得到的结果。</w:t>
      </w:r>
    </w:p>
    <w:p>
      <w:pPr>
        <w:pStyle w:val="Heading3"/>
      </w:pPr>
      <w:r>
        <w:rPr>
          <w:rFonts w:ascii="Noto Sans CJK SC" w:hAnsi="Noto Sans CJK SC" w:eastAsia="Noto Sans CJK SC" w:cs="Noto Sans CJK SC"/>
          <w:b/>
          <w:i w:val="0"/>
          <w:color w:val="1F4E79"/>
          <w:sz w:val="23"/>
        </w:rPr>
        <w:t>Implementation of the software-based power-orchestration platform（软件化功率编排平台的实现）</w:t>
      </w:r>
    </w:p>
    <w:p>
      <w:pPr>
        <w:keepLines/>
        <w:shd w:fill="F3F4F6"/>
      </w:pPr>
      <w:r>
        <w:rPr>
          <w:rFonts w:ascii="Noto Sans CJK SC" w:hAnsi="Noto Sans CJK SC" w:eastAsia="Noto Sans CJK SC" w:cs="Noto Sans CJK SC"/>
          <w:b w:val="0"/>
          <w:i w:val="0"/>
          <w:color w:val="1D2733"/>
          <w:sz w:val="20"/>
        </w:rPr>
        <w:t xml:space="preserve">我们将软件化编排平台实现为一个集中式 Python 应用程序，由它向与运行任务共同部署在计算节点上的管理进程发出命令。平台通过 MosaicML 的 </w:t>
      </w:r>
      <w:r>
        <w:rPr>
          <w:rFonts w:ascii="DejaVu Sans Mono" w:hAnsi="DejaVu Sans Mono" w:eastAsia="DejaVu Sans Mono" w:cs="DejaVu Sans Mono"/>
          <w:b w:val="0"/>
          <w:color w:val="1D2733"/>
          <w:sz w:val="19"/>
        </w:rPr>
        <w:t>mcli</w:t>
      </w:r>
      <w:r>
        <w:rPr>
          <w:rFonts w:ascii="Noto Sans CJK SC" w:hAnsi="Noto Sans CJK SC" w:eastAsia="Noto Sans CJK SC" w:cs="Noto Sans CJK SC"/>
          <w:b w:val="0"/>
          <w:i w:val="0"/>
          <w:color w:val="1D2733"/>
          <w:sz w:val="20"/>
        </w:rPr>
        <w:t xml:space="preserve"> API 启动、停止任务并查询其调度状态；GPU 功率和应用程序吞吐量指标则通过 Weights &amp; Biases API 查询。</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中央 Python 程序像总调度室，各计算节点上有一个执行员。总调度室通过现有云平台接口管理任务，并从监控平台读取 GPU 用电和任务速度。</w:t>
      </w:r>
    </w:p>
    <w:p>
      <w:pPr>
        <w:keepLines/>
        <w:shd w:fill="F3F4F6"/>
      </w:pPr>
      <w:r>
        <w:rPr>
          <w:rFonts w:ascii="Noto Sans CJK SC" w:hAnsi="Noto Sans CJK SC" w:eastAsia="Noto Sans CJK SC" w:cs="Noto Sans CJK SC"/>
          <w:b w:val="0"/>
          <w:i w:val="0"/>
          <w:color w:val="1D2733"/>
          <w:sz w:val="20"/>
        </w:rPr>
        <w:t xml:space="preserve">功率编排平台通过一个分布式内存对象缓存发布新命令，各节点上的管理进程持续监视这个缓存。每当缓存中的功率上限被更新时，系统便执行 </w:t>
      </w:r>
      <w:r>
        <w:rPr>
          <w:rFonts w:ascii="DejaVu Sans Mono" w:hAnsi="DejaVu Sans Mono" w:eastAsia="DejaVu Sans Mono" w:cs="DejaVu Sans Mono"/>
          <w:b w:val="0"/>
          <w:color w:val="1D2733"/>
          <w:sz w:val="19"/>
        </w:rPr>
        <w:t>nvidia-smi -pl</w:t>
      </w:r>
      <w:r>
        <w:rPr>
          <w:rFonts w:ascii="Noto Sans CJK SC" w:hAnsi="Noto Sans CJK SC" w:eastAsia="Noto Sans CJK SC" w:cs="Noto Sans CJK SC"/>
          <w:b w:val="0"/>
          <w:i w:val="0"/>
          <w:color w:val="1D2733"/>
          <w:sz w:val="20"/>
        </w:rPr>
        <w:t>，为计算节点上的 GPU 设定功率限制。MosaicML Composer 的回调函数负责处理缓存中收到的提前停止请求，使任务能够在暂停或调整规模之前立即保存检查点。</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要降功率时，平台用 NVIDIA 官方命令给 GPU 设“最高瓦数”；要暂停或减少资源时，先给训练任务存档，再停下或调整，这样之后可以从存档继续，不必从头训练。</w:t>
      </w:r>
    </w:p>
    <w:p>
      <w:pPr>
        <w:pStyle w:val="Heading2"/>
      </w:pPr>
      <w:r>
        <w:rPr>
          <w:rFonts w:ascii="Noto Sans CJK SC" w:hAnsi="Noto Sans CJK SC" w:eastAsia="Noto Sans CJK SC" w:cs="Noto Sans CJK SC"/>
          <w:b/>
          <w:i w:val="0"/>
          <w:color w:val="1F4E79"/>
          <w:sz w:val="28"/>
        </w:rPr>
        <w:t>Data availability（数据可用性）</w:t>
      </w:r>
    </w:p>
    <w:p>
      <w:pPr>
        <w:keepLines/>
        <w:shd w:fill="F3F4F6"/>
      </w:pPr>
      <w:r>
        <w:rPr>
          <w:rFonts w:ascii="Noto Sans CJK SC" w:hAnsi="Noto Sans CJK SC" w:eastAsia="Noto Sans CJK SC" w:cs="Noto Sans CJK SC"/>
          <w:b w:val="0"/>
          <w:i w:val="0"/>
          <w:color w:val="1D2733"/>
          <w:sz w:val="20"/>
        </w:rPr>
        <w:t xml:space="preserve">支持本研究结论的数据可在本文中以及 </w:t>
      </w:r>
      <w:hyperlink r:id="rId18">
        <w:r>
          <w:rPr>
            <w:rFonts w:ascii="Noto Sans CJK SC" w:hAnsi="Noto Sans CJK SC" w:eastAsia="Noto Sans CJK SC" w:cs="Noto Sans CJK SC"/>
            <w:color w:val="1F6FEB"/>
            <w:u w:val="single"/>
          </w:rPr>
          <w:t>GitHub 数据与成果归档</w:t>
        </w:r>
      </w:hyperlink>
      <w:r>
        <w:rPr>
          <w:rFonts w:ascii="Noto Sans CJK SC" w:hAnsi="Noto Sans CJK SC" w:eastAsia="Noto Sans CJK SC" w:cs="Noto Sans CJK SC"/>
          <w:b w:val="0"/>
          <w:i w:val="0"/>
          <w:color w:val="1D2733"/>
          <w:sz w:val="20"/>
        </w:rPr>
        <w:t xml:space="preserve"> 获取。GitHub 成果归档中的 data 目录包含我们的 DVFS 控制扫描数据（图 6 的源数据）以及实验中的功率时间序列数据（图 2–5 的源数据）。</w:t>
      </w:r>
      <w:r>
        <w:rPr>
          <w:rFonts w:ascii="DejaVu Sans Mono" w:hAnsi="DejaVu Sans Mono" w:eastAsia="DejaVu Sans Mono" w:cs="DejaVu Sans Mono"/>
          <w:b w:val="0"/>
          <w:color w:val="1D2733"/>
          <w:sz w:val="19"/>
        </w:rPr>
        <w:t>README.md</w:t>
      </w:r>
      <w:r>
        <w:rPr>
          <w:rFonts w:ascii="Noto Sans CJK SC" w:hAnsi="Noto Sans CJK SC" w:eastAsia="Noto Sans CJK SC" w:cs="Noto Sans CJK SC"/>
          <w:b w:val="0"/>
          <w:i w:val="0"/>
          <w:color w:val="1D2733"/>
          <w:sz w:val="20"/>
        </w:rPr>
        <w:t xml:space="preserve"> 文件说明了每个数据文件的用途。</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读者可以下载绘制主要结果图所用的数值，检查曲线是否与论文一致；但这段声明没有说完整客户任务数据、所有遥测变量或整座数据中心电表数据都已公开。</w:t>
      </w:r>
    </w:p>
    <w:p>
      <w:pPr>
        <w:pStyle w:val="Heading2"/>
      </w:pPr>
      <w:r>
        <w:rPr>
          <w:rFonts w:ascii="Noto Sans CJK SC" w:hAnsi="Noto Sans CJK SC" w:eastAsia="Noto Sans CJK SC" w:cs="Noto Sans CJK SC"/>
          <w:b/>
          <w:i w:val="0"/>
          <w:color w:val="1F4E79"/>
          <w:sz w:val="28"/>
        </w:rPr>
        <w:t>Code availability（代码可用性）</w:t>
      </w:r>
    </w:p>
    <w:p>
      <w:pPr>
        <w:keepLines w:val="0"/>
        <w:shd w:fill="F3F4F6"/>
      </w:pPr>
      <w:hyperlink r:id="rId18">
        <w:r>
          <w:rPr>
            <w:rFonts w:ascii="Noto Sans CJK SC" w:hAnsi="Noto Sans CJK SC" w:eastAsia="Noto Sans CJK SC" w:cs="Noto Sans CJK SC"/>
            <w:color w:val="1F6FEB"/>
            <w:u w:val="single"/>
          </w:rPr>
          <w:t>GitHub 代码与成果归档</w:t>
        </w:r>
      </w:hyperlink>
      <w:r>
        <w:rPr>
          <w:rFonts w:ascii="Noto Sans CJK SC" w:hAnsi="Noto Sans CJK SC" w:eastAsia="Noto Sans CJK SC" w:cs="Noto Sans CJK SC"/>
          <w:b w:val="0"/>
          <w:i w:val="0"/>
          <w:color w:val="1D2733"/>
          <w:sz w:val="20"/>
        </w:rPr>
        <w:t xml:space="preserve"> 中的 </w:t>
      </w:r>
      <w:r>
        <w:rPr>
          <w:rFonts w:ascii="DejaVu Sans Mono" w:hAnsi="DejaVu Sans Mono" w:eastAsia="DejaVu Sans Mono" w:cs="DejaVu Sans Mono"/>
          <w:b w:val="0"/>
          <w:color w:val="1D2733"/>
          <w:sz w:val="19"/>
        </w:rPr>
        <w:t>README.md</w:t>
      </w:r>
      <w:r>
        <w:rPr>
          <w:rFonts w:ascii="Noto Sans CJK SC" w:hAnsi="Noto Sans CJK SC" w:eastAsia="Noto Sans CJK SC" w:cs="Noto Sans CJK SC"/>
          <w:b w:val="0"/>
          <w:i w:val="0"/>
          <w:color w:val="1D2733"/>
          <w:sz w:val="20"/>
        </w:rPr>
        <w:t xml:space="preserve"> 文件提供了 Python 代码和一个 Docker 容器镜像，用于对 LLM Foundry 任务（包括实验中使用的任务）实施功率控制，包括 DVFS 功率上限、任务启动/停止命令和强制检查点。</w:t>
      </w:r>
      <w:r>
        <w:rPr>
          <w:rFonts w:ascii="DejaVu Sans Mono" w:hAnsi="DejaVu Sans Mono" w:eastAsia="DejaVu Sans Mono" w:cs="DejaVu Sans Mono"/>
          <w:b w:val="0"/>
          <w:color w:val="1D2733"/>
          <w:sz w:val="19"/>
        </w:rPr>
        <w:t>README.md</w:t>
      </w:r>
      <w:r>
        <w:rPr>
          <w:rFonts w:ascii="Noto Sans CJK SC" w:hAnsi="Noto Sans CJK SC" w:eastAsia="Noto Sans CJK SC" w:cs="Noto Sans CJK SC"/>
          <w:b w:val="0"/>
          <w:i w:val="0"/>
          <w:color w:val="1D2733"/>
          <w:sz w:val="20"/>
        </w:rPr>
        <w:t xml:space="preserve"> 还提供了伪代码，说明如何为“Orchestration algorithms”一节所述的各种编排算法应用功率控制。</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作者公开了如何给任务限功率、暂停和存档的可运行材料，并用伪代码解释调度逻辑。不过按这段措辞，完整商业平台、完整模拟器和优化引擎未必全部开源，因此还不是一键即可复制整套系统。</w:t>
      </w:r>
    </w:p>
    <w:p>
      <w:pPr>
        <w:pStyle w:val="Heading2"/>
      </w:pPr>
      <w:r>
        <w:rPr>
          <w:rFonts w:ascii="Noto Sans CJK SC" w:hAnsi="Noto Sans CJK SC" w:eastAsia="Noto Sans CJK SC" w:cs="Noto Sans CJK SC"/>
          <w:b/>
          <w:i w:val="0"/>
          <w:color w:val="1F4E79"/>
          <w:sz w:val="28"/>
        </w:rPr>
        <w:t>Acknowledgements（致谢）</w:t>
      </w:r>
    </w:p>
    <w:p>
      <w:pPr>
        <w:keepLines w:val="0"/>
      </w:pPr>
      <w:r>
        <w:rPr>
          <w:rFonts w:ascii="Noto Sans CJK SC" w:hAnsi="Noto Sans CJK SC" w:eastAsia="Noto Sans CJK SC" w:cs="Noto Sans CJK SC"/>
          <w:b w:val="0"/>
          <w:i w:val="0"/>
          <w:color w:val="1D2733"/>
          <w:sz w:val="20"/>
        </w:rPr>
        <w:t>我们谨感谢以下人员在整个研究过程中提供的见解与支持：Oracle 的 P. Vincent、J. Jackson、M. Sweeney、A. Springborn、S. Campbell、R. Caputo、S. Chen 和 M. Zablocki；Databricks 的 J. Frankle、Y.-L. Yang、L. Ladrech 和 S. Sherpa；NVIDIA 的 S. Trivedi、V. Troy 和 M. Spieler；Radical Ventures 的 R. Toews、J. Jacobs、D. Katz 和 D. Mulet；Aventurine Partners 的 M. Specks；SRP 的 D. Rousseau；Arizona Public Service 的 G. Bernosky、C. Lynn 和 B. Brazis；Luminary 的 A. S. Frank；Duke University 的 T. Norris；38 North 的 I. Brown；Amperon 的 S. Kelly；Ceramic AI 的 A. Patterson；Camus Energy 的 A. Atkinson；G. Desai；S. Goodman；M. Boomer；Boston University 的 R. Stuebi；以及 EPRI 的 D. Porter、D. Larson 和 T. Wilson。</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这说明论文背后涉及云平台、GPU 厂商、电力公司、投资机构、软件公司和高校等多方支持。被致谢者帮助提供意见或资源，但不一定达到论文署名作者的贡献标准。</w:t>
      </w:r>
    </w:p>
    <w:p>
      <w:pPr>
        <w:pStyle w:val="Heading2"/>
      </w:pPr>
      <w:r>
        <w:rPr>
          <w:rFonts w:ascii="Noto Sans CJK SC" w:hAnsi="Noto Sans CJK SC" w:eastAsia="Noto Sans CJK SC" w:cs="Noto Sans CJK SC"/>
          <w:b/>
          <w:i w:val="0"/>
          <w:color w:val="1F4E79"/>
          <w:sz w:val="28"/>
        </w:rPr>
        <w:t>Author contributions（作者贡献）</w:t>
      </w:r>
    </w:p>
    <w:p>
      <w:pPr>
        <w:keepLines w:val="0"/>
      </w:pPr>
      <w:r>
        <w:rPr>
          <w:rFonts w:ascii="Noto Sans CJK SC" w:hAnsi="Noto Sans CJK SC" w:eastAsia="Noto Sans CJK SC" w:cs="Noto Sans CJK SC"/>
          <w:b w:val="0"/>
          <w:i w:val="0"/>
          <w:color w:val="1D2733"/>
          <w:sz w:val="20"/>
        </w:rPr>
        <w:t>Emerald AI 的作者按姓氏字母顺序排列。Emerald AI 团队提出了这一构想，并启动了研发工作。Emerald AI 技术团队（S.S.、C.W.、P.C.、D.C.W.、E.T.、C.R. 和 A.K.C.）实现并执行了现场试验。B.R.（Oracle）就与集群管理基础设施的集成提供了反馈。D.D. 和 N.M.（SRP）以及 A.R. 和 B.V.（EPRI）就电网和灵活性方面提供了建议；Z.M.（NVIDIA）就现场试验的目标与结果提供了反馈。A.K.C.、D.C.W. 和 V.S. 起草了论文；E.T.、C.W.、S.S.、C.R.、E.T. 和 P.C. 参与了编辑。</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核心想法、软件和试验主要由 Emerald AI 完成；Oracle 帮助对接云基础设施，SRP/EPRI 提供电网侧意见，NVIDIA 对试验目标和结果给出反馈。原文在最后的编辑贡献名单中将 E.T. 写了两次，此处忠实保留，可能是排版或编辑疏漏。</w:t>
      </w:r>
    </w:p>
    <w:p>
      <w:pPr>
        <w:pStyle w:val="Heading2"/>
      </w:pPr>
      <w:r>
        <w:rPr>
          <w:rFonts w:ascii="Noto Sans CJK SC" w:hAnsi="Noto Sans CJK SC" w:eastAsia="Noto Sans CJK SC" w:cs="Noto Sans CJK SC"/>
          <w:b/>
          <w:i w:val="0"/>
          <w:color w:val="1F4E79"/>
          <w:sz w:val="28"/>
        </w:rPr>
        <w:t>Competing interests（竞争性利益）</w:t>
      </w:r>
    </w:p>
    <w:p>
      <w:pPr>
        <w:keepLines/>
      </w:pPr>
      <w:r>
        <w:rPr>
          <w:rFonts w:ascii="Noto Sans CJK SC" w:hAnsi="Noto Sans CJK SC" w:eastAsia="Noto Sans CJK SC" w:cs="Noto Sans CJK SC"/>
          <w:b w:val="0"/>
          <w:i w:val="0"/>
          <w:color w:val="1D2733"/>
          <w:sz w:val="20"/>
        </w:rPr>
        <w:t>本研究由 Emerald AI 与 SRP、NVIDIA、Oracle 和 EPRI 合作开展。隶属于 Emerald AI、SRP、NVIDIA、Oracle 和 EPRI 的作者均为各自机构的雇员。来自 Emerald AI、NVIDIA 和 Oracle 的作者持有其所在公司的股票或股票期权。Emerald AI 的作者还拥有与本文所讨论技术相关的待审专利。除此之外，作者声明不存在其他竞争性利益。</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 xml:space="preserve"> 一些作者不仅研究这项技术，也可能因相关公司发展、股价或专利商业化而受益。这不自动说明结果有问题，但读者应特别区分“实验直接证明的结果”和“对市场规模、可扩展性及产业影响的宣传性推断”，并期待第三方独立复现。</w:t>
      </w:r>
    </w:p>
    <w:p>
      <w:pPr>
        <w:pStyle w:val="Heading1"/>
      </w:pPr>
      <w:r>
        <w:rPr>
          <w:rFonts w:ascii="Noto Sans CJK SC" w:hAnsi="Noto Sans CJK SC" w:eastAsia="Noto Sans CJK SC" w:cs="Noto Sans CJK SC"/>
          <w:b/>
          <w:i w:val="0"/>
          <w:color w:val="1F4E79"/>
          <w:sz w:val="34"/>
        </w:rPr>
        <w:t>论文末尾信息</w:t>
      </w:r>
    </w:p>
    <w:p>
      <w:pPr>
        <w:pStyle w:val="Heading2"/>
      </w:pPr>
      <w:r>
        <w:rPr>
          <w:rFonts w:ascii="Noto Sans CJK SC" w:hAnsi="Noto Sans CJK SC" w:eastAsia="Noto Sans CJK SC" w:cs="Noto Sans CJK SC"/>
          <w:b/>
          <w:i w:val="0"/>
          <w:color w:val="1F4E79"/>
          <w:sz w:val="28"/>
        </w:rPr>
        <w:t>Additional information（补充信息）</w:t>
      </w:r>
    </w:p>
    <w:p>
      <w:pPr>
        <w:keepLines/>
      </w:pPr>
      <w:r>
        <w:rPr>
          <w:rFonts w:ascii="Noto Sans CJK SC" w:hAnsi="Noto Sans CJK SC" w:eastAsia="Noto Sans CJK SC" w:cs="Noto Sans CJK SC"/>
          <w:b w:val="0"/>
          <w:i w:val="0"/>
          <w:color w:val="1D2733"/>
          <w:sz w:val="20"/>
        </w:rPr>
        <w:t>有关材料的通信与索取请求应联系 Ayse K. Coskun。</w:t>
      </w:r>
      <w:r>
        <w:rPr>
          <w:rFonts w:ascii="Noto Sans CJK SC" w:hAnsi="Noto Sans CJK SC" w:eastAsia="Noto Sans CJK SC" w:cs="Noto Sans CJK SC"/>
          <w:b w:val="0"/>
          <w:i/>
          <w:color w:val="1D2733"/>
          <w:sz w:val="20"/>
        </w:rPr>
        <w:t>Nature Energy</w:t>
      </w:r>
      <w:r>
        <w:rPr>
          <w:rFonts w:ascii="Noto Sans CJK SC" w:hAnsi="Noto Sans CJK SC" w:eastAsia="Noto Sans CJK SC" w:cs="Noto Sans CJK SC"/>
          <w:b w:val="0"/>
          <w:i w:val="0"/>
          <w:color w:val="1D2733"/>
          <w:sz w:val="20"/>
        </w:rPr>
        <w:t xml:space="preserve"> 感谢 Benjamin Lee 及另一位匿名审稿人对本文同行评审所作的贡献。重印与许可信息可在 Nature 网站查询。出版方声明，Springer Nature 对已出版地图中的司法管辖权主张和机构隶属关系保持中立。</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这是期刊论文的常规出版信息：说明由谁负责通信、谁参与了同行评审，以及版权和重印应通过何种渠道处理，不属于研究方法或结果。</w:t>
      </w:r>
    </w:p>
    <w:p>
      <w:pPr>
        <w:keepLines/>
      </w:pPr>
      <w:r>
        <w:rPr>
          <w:rFonts w:ascii="Noto Sans CJK SC" w:hAnsi="Noto Sans CJK SC" w:eastAsia="Noto Sans CJK SC" w:cs="Noto Sans CJK SC"/>
          <w:b w:val="0"/>
          <w:i w:val="0"/>
          <w:color w:val="1D2733"/>
          <w:sz w:val="20"/>
        </w:rPr>
        <w:t>本文由作者或其他权利人通过出版协议授予 Springer Nature 或其许可方专有权利；作者对已接收稿件版本的自行存档仅受相应出版协议及适用法律约束。© The Author(s)，由 Springer Nature Limited 独家许可，2025。</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这段说明论文的版权和作者自存档权限。它不会改变本文的科学结论。</w:t>
      </w:r>
    </w:p>
    <w:p>
      <w:pPr>
        <w:pStyle w:val="Heading2"/>
      </w:pPr>
      <w:r>
        <w:rPr>
          <w:rFonts w:ascii="Noto Sans CJK SC" w:hAnsi="Noto Sans CJK SC" w:eastAsia="Noto Sans CJK SC" w:cs="Noto Sans CJK SC"/>
          <w:b/>
          <w:i w:val="0"/>
          <w:color w:val="1F4E79"/>
          <w:sz w:val="28"/>
        </w:rPr>
        <w:t>References（参考文献）</w:t>
      </w:r>
    </w:p>
    <w:p>
      <w:pPr>
        <w:keepLines/>
      </w:pPr>
      <w:r>
        <w:rPr>
          <w:rFonts w:ascii="Noto Sans CJK SC" w:hAnsi="Noto Sans CJK SC" w:eastAsia="Noto Sans CJK SC" w:cs="Noto Sans CJK SC"/>
          <w:b w:val="0"/>
          <w:i w:val="0"/>
          <w:color w:val="1D2733"/>
          <w:sz w:val="20"/>
        </w:rPr>
        <w:t>原文共列出 28 条参考文献。为保持作者、题名、期刊、卷页、DOI 与网址的检索准确性，本解读保留正文中的引用编号 [1]–[28]，不对书目信息逐项中文化；完整参考文献表见所附原始 PDF 第 7–8 页。</w:t>
      </w:r>
    </w:p>
    <w:p>
      <w:pPr>
        <w:pStyle w:val="Layman"/>
        <w:shd w:fill="EFF6FF"/>
        <w:pBdr>
          <w:left w:val="single" w:sz="18" w:space="8" w:color="1F6FEB"/>
        </w:pBdr>
      </w:pPr>
      <w:r>
        <w:rPr>
          <w:rFonts w:ascii="Noto Sans CJK SC" w:hAnsi="Noto Sans CJK SC" w:eastAsia="Noto Sans CJK SC" w:cs="Noto Sans CJK SC"/>
          <w:b/>
          <w:i w:val="0"/>
          <w:color w:val="0070C0"/>
          <w:sz w:val="20"/>
        </w:rPr>
        <w:t>通俗解释：</w:t>
      </w:r>
      <w:r>
        <w:rPr>
          <w:rFonts w:ascii="Noto Sans CJK SC" w:hAnsi="Noto Sans CJK SC" w:eastAsia="Noto Sans CJK SC" w:cs="Noto Sans CJK SC"/>
          <w:b w:val="0"/>
          <w:i w:val="0"/>
          <w:color w:val="0070C0"/>
          <w:sz w:val="20"/>
        </w:rPr>
        <w:t>参考文献是检索信息而不是正文论证句。强行翻译英文题名反而可能使检索困难，因此保留原论文中的标准英文书目信息最稳妥。</w:t>
      </w:r>
    </w:p>
    <w:sectPr w:rsidR="00FC693F" w:rsidRPr="0006063C" w:rsidSect="00034616">
      <w:headerReference w:type="first" r:id="rId9"/>
      <w:headerReference w:type="default" r:id="rId10"/>
      <w:footerReference w:type="default" r:id="rId11"/>
      <w:pgSz w:w="12240" w:h="15840"/>
      <w:pgMar w:top="1181" w:right="1440" w:bottom="1152" w:left="1440" w:header="504"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667085"/>
        <w:sz w:val="17"/>
      </w:rPr>
      <w:t xml:space="preserve">第 </w:t>
    </w:r>
    <w:r>
      <w:rPr>
        <w:rFonts w:ascii="Noto Sans CJK SC" w:hAnsi="Noto Sans CJK SC" w:eastAsia="Noto Sans CJK SC" w:cs="Noto Sans CJK SC"/>
        <w:color w:val="667085"/>
        <w:sz w:val="17"/>
      </w:rPr>
      <w:fldChar w:fldCharType="begin"/>
      <w:instrText xml:space="preserve">PAGE</w:instrText>
      <w:fldChar w:fldCharType="separate"/>
      <w:t>1</w:t>
      <w:fldChar w:fldCharType="end"/>
    </w:r>
    <w:r>
      <w:rPr>
        <w:rFonts w:ascii="Noto Sans CJK SC" w:hAnsi="Noto Sans CJK SC" w:eastAsia="Noto Sans CJK SC" w:cs="Noto Sans CJK SC"/>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5" w:space="4" w:color="D0D5DD"/>
      </w:pBdr>
    </w:pPr>
    <w:r/>
    <w:r>
      <w:rPr>
        <w:rFonts w:ascii="Noto Sans CJK SC" w:hAnsi="Noto Sans CJK SC" w:eastAsia="Noto Sans CJK SC" w:cs="Noto Sans CJK SC"/>
        <w:color w:val="667085"/>
        <w:sz w:val="16"/>
      </w:rPr>
      <w:t>AI 数据中心作为电网互动型资产  ·  中文翻译与深度解读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ind w:left="548" w:hanging="260"/>
      </w:pPr>
    </w:lvl>
  </w:abstractNum>
  <w:abstractNum w:abstractNumId="10">
    <w:multiLevelType w:val="singleLevel"/>
    <w:lvl w:ilvl="0">
      <w:start w:val="1"/>
      <w:numFmt w:val="decimal"/>
      <w:lvlText w:val="%1."/>
      <w:lvlJc w:val="left"/>
      <w:pPr>
        <w:ind w:left="548" w:hanging="2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4" w:lineRule="auto"/>
      <w:ind w:firstLine="416"/>
      <w:jc w:val="both"/>
    </w:pPr>
    <w:rPr>
      <w:rFonts w:ascii="Noto Sans CJK SC" w:hAnsi="Noto Sans CJK SC" w:eastAsia="Noto Sans CJK SC"/>
      <w:color w:val="1D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ind w:firstLine="0"/>
      <w:outlineLvl w:val="0"/>
    </w:pPr>
    <w:rPr>
      <w:rFonts w:asciiTheme="majorHAnsi" w:eastAsiaTheme="majorEastAsia" w:hAnsiTheme="majorHAnsi" w:cstheme="majorBidi" w:ascii="Noto Sans CJK SC" w:hAnsi="Noto Sans CJK SC" w:eastAsia="Noto Sans CJK SC"/>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80" w:after="140"/>
      <w:ind w:firstLine="0"/>
      <w:outlineLvl w:val="1"/>
    </w:pPr>
    <w:rPr>
      <w:rFonts w:asciiTheme="majorHAnsi" w:eastAsiaTheme="majorEastAsia" w:hAnsiTheme="majorHAnsi" w:cstheme="majorBidi" w:ascii="Noto Sans CJK SC" w:hAnsi="Noto Sans CJK SC" w:eastAsia="Noto Sans CJK SC"/>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ind w:firstLine="0"/>
      <w:outlineLvl w:val="2"/>
    </w:pPr>
    <w:rPr>
      <w:rFonts w:asciiTheme="majorHAnsi" w:eastAsiaTheme="majorEastAsia" w:hAnsiTheme="majorHAnsi" w:cstheme="majorBidi" w:ascii="Noto Sans CJK SC" w:hAnsi="Noto Sans CJK SC" w:eastAsia="Noto Sans CJK SC"/>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7" w:lineRule="auto"/>
      <w:ind w:left="547" w:hanging="259"/>
      <w:contextualSpacing/>
    </w:pPr>
    <w:rPr>
      <w:rFonts w:ascii="Noto Sans CJK SC" w:hAnsi="Noto Sans CJK SC" w:eastAsia="Noto Sans CJK S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7" w:lineRule="auto"/>
      <w:ind w:left="547" w:hanging="259"/>
      <w:contextualSpacing/>
    </w:pPr>
    <w:rPr>
      <w:rFonts w:ascii="Noto Sans CJK SC" w:hAnsi="Noto Sans CJK SC" w:eastAsia="Noto Sans CJK S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yman">
    <w:name w:val="Layman"/>
    <w:pPr>
      <w:spacing w:before="40" w:after="160" w:line="307" w:lineRule="auto"/>
      <w:ind w:left="230" w:right="58" w:firstLine="0"/>
      <w:jc w:val="both"/>
    </w:pPr>
    <w:rPr>
      <w:rFonts w:ascii="Noto Sans CJK SC" w:hAnsi="Noto Sans CJK SC" w:eastAsia="Noto Sans CJK SC"/>
      <w:color w:val="0070C0"/>
      <w:sz w:val="20"/>
    </w:rPr>
  </w:style>
  <w:style w:type="paragraph" w:customStyle="1" w:styleId="SourceNote">
    <w:name w:val="Source Note"/>
    <w:pPr>
      <w:spacing w:before="60" w:after="160"/>
      <w:ind w:firstLine="0"/>
    </w:pPr>
    <w:rPr>
      <w:rFonts w:ascii="Noto Sans CJK SC" w:hAnsi="Noto Sans CJK SC" w:eastAsia="Noto Sans CJK SC"/>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github.com/ai-emerald/emerald-ai-demo-may-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数据中心作为电网互动型资产：逐段翻译与深度解读</dc:title>
  <dc:subject>Nature Energy 论文中文翻译、图表解释与批判性解读</dc:subject>
  <dc:creator>python-docx</dc:creator>
  <cp:keywords>AI data centre, demand response, GPU, grid-interactive, 中文翻译</cp:keywords>
  <dc:description>generated by python-docx</dc:description>
  <cp:lastModifiedBy/>
  <cp:revision>1</cp:revision>
  <dcterms:created xsi:type="dcterms:W3CDTF">2013-12-23T23:15:00Z</dcterms:created>
  <dcterms:modified xsi:type="dcterms:W3CDTF">2013-12-23T23:15:00Z</dcterms:modified>
  <cp:category/>
</cp:coreProperties>
</file>