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01.svg" ContentType="image/svg+xml"/>
  <Override PartName="/word/media/image103.svg" ContentType="image/svg+xml"/>
  <Override PartName="/word/media/image105.svg" ContentType="image/svg+xml"/>
  <Override PartName="/word/media/image107.svg" ContentType="image/svg+xml"/>
  <Override PartName="/word/media/image109.svg" ContentType="image/svg+xml"/>
  <Override PartName="/word/media/image11.svg" ContentType="image/svg+xml"/>
  <Override PartName="/word/media/image111.svg" ContentType="image/svg+xml"/>
  <Override PartName="/word/media/image113.svg" ContentType="image/svg+xml"/>
  <Override PartName="/word/media/image115.svg" ContentType="image/svg+xml"/>
  <Override PartName="/word/media/image117.svg" ContentType="image/svg+xml"/>
  <Override PartName="/word/media/image119.svg" ContentType="image/svg+xml"/>
  <Override PartName="/word/media/image121.svg" ContentType="image/svg+xml"/>
  <Override PartName="/word/media/image123.svg" ContentType="image/svg+xml"/>
  <Override PartName="/word/media/image126.svg" ContentType="image/svg+xml"/>
  <Override PartName="/word/media/image128.svg" ContentType="image/svg+xml"/>
  <Override PartName="/word/media/image13.svg" ContentType="image/svg+xml"/>
  <Override PartName="/word/media/image16.svg" ContentType="image/svg+xml"/>
  <Override PartName="/word/media/image18.svg" ContentType="image/svg+xml"/>
  <Override PartName="/word/media/image20.svg" ContentType="image/svg+xml"/>
  <Override PartName="/word/media/image22.svg" ContentType="image/svg+xml"/>
  <Override PartName="/word/media/image25.svg" ContentType="image/svg+xml"/>
  <Override PartName="/word/media/image27.svg" ContentType="image/svg+xml"/>
  <Override PartName="/word/media/image29.svg" ContentType="image/svg+xml"/>
  <Override PartName="/word/media/image32.svg" ContentType="image/svg+xml"/>
  <Override PartName="/word/media/image34.svg" ContentType="image/svg+xml"/>
  <Override PartName="/word/media/image36.svg" ContentType="image/svg+xml"/>
  <Override PartName="/word/media/image39.svg" ContentType="image/svg+xml"/>
  <Override PartName="/word/media/image4.svg" ContentType="image/svg+xml"/>
  <Override PartName="/word/media/image43.svg" ContentType="image/svg+xml"/>
  <Override PartName="/word/media/image45.svg" ContentType="image/svg+xml"/>
  <Override PartName="/word/media/image47.svg" ContentType="image/svg+xml"/>
  <Override PartName="/word/media/image49.svg" ContentType="image/svg+xml"/>
  <Override PartName="/word/media/image52.svg" ContentType="image/svg+xml"/>
  <Override PartName="/word/media/image54.svg" ContentType="image/svg+xml"/>
  <Override PartName="/word/media/image57.svg" ContentType="image/svg+xml"/>
  <Override PartName="/word/media/image59.svg" ContentType="image/svg+xml"/>
  <Override PartName="/word/media/image6.svg" ContentType="image/svg+xml"/>
  <Override PartName="/word/media/image62.svg" ContentType="image/svg+xml"/>
  <Override PartName="/word/media/image66.svg" ContentType="image/svg+xml"/>
  <Override PartName="/word/media/image68.svg" ContentType="image/svg+xml"/>
  <Override PartName="/word/media/image71.svg" ContentType="image/svg+xml"/>
  <Override PartName="/word/media/image73.svg" ContentType="image/svg+xml"/>
  <Override PartName="/word/media/image75.svg" ContentType="image/svg+xml"/>
  <Override PartName="/word/media/image77.svg" ContentType="image/svg+xml"/>
  <Override PartName="/word/media/image79.svg" ContentType="image/svg+xml"/>
  <Override PartName="/word/media/image81.svg" ContentType="image/svg+xml"/>
  <Override PartName="/word/media/image83.svg" ContentType="image/svg+xml"/>
  <Override PartName="/word/media/image85.svg" ContentType="image/svg+xml"/>
  <Override PartName="/word/media/image87.svg" ContentType="image/svg+xml"/>
  <Override PartName="/word/media/image89.svg" ContentType="image/svg+xml"/>
  <Override PartName="/word/media/image9.svg" ContentType="image/svg+xml"/>
  <Override PartName="/word/media/image91.svg" ContentType="image/svg+xml"/>
  <Override PartName="/word/media/image93.svg" ContentType="image/svg+xml"/>
  <Override PartName="/word/media/image95.svg" ContentType="image/svg+xml"/>
  <Override PartName="/word/media/image97.svg" ContentType="image/svg+xml"/>
  <Override PartName="/word/media/image9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9E72F7">
      <w:pPr>
        <w:pStyle w:val="4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(同步保存于</w:t>
      </w:r>
      <w:r>
        <w:rPr>
          <w:rFonts w:hint="eastAsia"/>
          <w:sz w:val="15"/>
          <w:szCs w:val="15"/>
          <w:lang w:val="en-US" w:eastAsia="zh-CN"/>
        </w:rPr>
        <w:fldChar w:fldCharType="begin"/>
      </w:r>
      <w:r>
        <w:rPr>
          <w:rFonts w:hint="eastAsia"/>
          <w:sz w:val="15"/>
          <w:szCs w:val="15"/>
          <w:lang w:val="en-US" w:eastAsia="zh-CN"/>
        </w:rPr>
        <w:instrText xml:space="preserve"> HYPERLINK "https://yhsome.github.io/)" </w:instrText>
      </w:r>
      <w:r>
        <w:rPr>
          <w:rFonts w:hint="eastAsia"/>
          <w:sz w:val="15"/>
          <w:szCs w:val="15"/>
          <w:lang w:val="en-US" w:eastAsia="zh-CN"/>
        </w:rPr>
        <w:fldChar w:fldCharType="separate"/>
      </w:r>
      <w:r>
        <w:rPr>
          <w:rStyle w:val="9"/>
          <w:rFonts w:hint="eastAsia"/>
          <w:sz w:val="15"/>
          <w:szCs w:val="15"/>
          <w:lang w:val="en-US" w:eastAsia="zh-CN"/>
        </w:rPr>
        <w:t>https://</w:t>
      </w:r>
      <w:r>
        <w:rPr>
          <w:rStyle w:val="9"/>
          <w:rFonts w:hint="eastAsia" w:ascii="宋体" w:hAnsi="宋体" w:eastAsia="宋体" w:cs="宋体"/>
          <w:sz w:val="15"/>
          <w:szCs w:val="15"/>
          <w:lang w:val="en-US" w:eastAsia="zh-CN"/>
        </w:rPr>
        <w:t>yhsome.github.io/</w:t>
      </w:r>
      <w:r>
        <w:rPr>
          <w:rStyle w:val="9"/>
          <w:rFonts w:hint="eastAsia"/>
          <w:sz w:val="15"/>
          <w:szCs w:val="15"/>
          <w:lang w:val="en-US" w:eastAsia="zh-CN"/>
        </w:rPr>
        <w:t>)</w:t>
      </w:r>
      <w:r>
        <w:rPr>
          <w:rFonts w:hint="eastAsia"/>
          <w:sz w:val="15"/>
          <w:szCs w:val="15"/>
          <w:lang w:val="en-US" w:eastAsia="zh-CN"/>
        </w:rPr>
        <w:fldChar w:fldCharType="end"/>
      </w:r>
    </w:p>
    <w:p w14:paraId="304E061B">
      <w:pPr>
        <w:pStyle w:val="4"/>
        <w:jc w:val="center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物理复习</w:t>
      </w:r>
    </w:p>
    <w:p w14:paraId="6F75F69C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一、光电效应核心规律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3518007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光强的影响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169E950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饱和光电流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：光强增大 → 光子数增多 → 光电子数量增多 → 饱和光电流增大  </w:t>
      </w:r>
    </w:p>
    <w:p w14:paraId="6DDD4B4F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公式：I饱和 = ne（n为单位时间逸出的光电子数，e为电子电荷量）  </w:t>
      </w:r>
    </w:p>
    <w:p w14:paraId="7CB660F4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实验现象：光强越大，光电流的“饱和值”越高。  </w:t>
      </w:r>
    </w:p>
    <w:p w14:paraId="117281E7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光电子数量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：光强越大，参与光电效应的电子数量越多（单个光子能量仍为hv）。  </w:t>
      </w:r>
    </w:p>
    <w:p w14:paraId="5B377050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光电子动能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：最大初动能与光强无关，仅由频率和逸出功决定。  </w:t>
      </w:r>
    </w:p>
    <w:p w14:paraId="64BF14C9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公式：Ek_max = hv - W₀  </w:t>
      </w:r>
    </w:p>
    <w:p w14:paraId="2E2C3A56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  - “光强越大，光电子动能</w:t>
      </w:r>
      <w:r>
        <w:rPr>
          <w:rFonts w:hint="eastAsia"/>
          <w:sz w:val="24"/>
          <w:szCs w:val="32"/>
          <w:lang w:val="en-US" w:eastAsia="zh-CN"/>
        </w:rPr>
        <w:t>不变</w:t>
      </w:r>
      <w:r>
        <w:rPr>
          <w:rFonts w:hint="eastAsia"/>
          <w:sz w:val="24"/>
          <w:szCs w:val="32"/>
        </w:rPr>
        <w:t xml:space="preserve">”  </w:t>
      </w:r>
    </w:p>
    <w:p w14:paraId="513608F7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遏止电压与截止频率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497BD1E9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遏止电压（U₀）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：与最大初动能相关（eU₀ = Ek_max），因此U₀与光强无关。  </w:t>
      </w:r>
    </w:p>
    <w:p w14:paraId="66A2774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图像分析：U-v图中，不同光强的曲线斜率相同，仅饱和电流不同。  </w:t>
      </w:r>
    </w:p>
    <w:p w14:paraId="5E52231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截止频率（v₀）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：由金属逸出功决定（v₀ = W₀/h），与光强无关。  </w:t>
      </w:r>
    </w:p>
    <w:p w14:paraId="79FA2F6A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  - “强光</w:t>
      </w:r>
      <w:r>
        <w:rPr>
          <w:rFonts w:hint="eastAsia"/>
          <w:sz w:val="24"/>
          <w:szCs w:val="32"/>
          <w:lang w:val="en-US" w:eastAsia="zh-CN"/>
        </w:rPr>
        <w:t>不</w:t>
      </w:r>
      <w:r>
        <w:rPr>
          <w:rFonts w:hint="eastAsia"/>
          <w:sz w:val="24"/>
          <w:szCs w:val="32"/>
        </w:rPr>
        <w:t>可以降低截止频率</w:t>
      </w:r>
      <w:bookmarkStart w:id="0" w:name="_GoBack"/>
      <w:bookmarkEnd w:id="0"/>
      <w:r>
        <w:rPr>
          <w:rFonts w:hint="eastAsia"/>
          <w:sz w:val="24"/>
          <w:szCs w:val="32"/>
        </w:rPr>
        <w:t>”</w:t>
      </w:r>
    </w:p>
    <w:p w14:paraId="760EA2DC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总结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  </w:t>
      </w:r>
    </w:p>
    <w:p w14:paraId="779D25BA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</w:t>
      </w:r>
      <w:r>
        <w:rPr>
          <w:rFonts w:hint="eastAsia"/>
          <w:b/>
          <w:bCs/>
          <w:color w:val="000000" w:themeColor="text1"/>
          <w:sz w:val="24"/>
          <w:szCs w:val="32"/>
          <w:lang w:val="en-US" w:eastAsia="zh-CN"/>
          <w14:textFill>
            <w14:solidFill>
              <w14:schemeClr w14:val="tx1"/>
            </w14:solidFill>
          </w14:textFill>
        </w:rPr>
        <w:t>频率可以改变逸出电子的动能，光强可以改变逸出电子的数量</w:t>
      </w:r>
    </w:p>
    <w:p w14:paraId="0E51C340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二、多用电表使用规则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663B1B01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表笔接法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BCDE70C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  <w:lang w:val="en-US" w:eastAsia="zh-CN"/>
        </w:rPr>
        <w:t>测电压/电流：</w:t>
      </w:r>
      <w:r>
        <w:rPr>
          <w:rFonts w:hint="eastAsia"/>
          <w:sz w:val="24"/>
          <w:szCs w:val="32"/>
        </w:rPr>
        <w:t>通用原则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b/>
          <w:bCs/>
          <w:sz w:val="24"/>
          <w:szCs w:val="32"/>
        </w:rPr>
        <w:t>红表笔接被测电路正极，黑表笔接负极</w:t>
      </w:r>
      <w:r>
        <w:rPr>
          <w:rFonts w:hint="eastAsia"/>
          <w:sz w:val="24"/>
          <w:szCs w:val="32"/>
        </w:rPr>
        <w:t xml:space="preserve">。  </w:t>
      </w:r>
    </w:p>
    <w:p w14:paraId="7B8AA822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测量电阻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：</w:t>
      </w:r>
      <w:r>
        <w:rPr>
          <w:rFonts w:hint="eastAsia"/>
          <w:b/>
          <w:bCs/>
          <w:sz w:val="24"/>
          <w:szCs w:val="32"/>
          <w:lang w:val="en-US" w:eastAsia="zh-CN"/>
        </w:rPr>
        <w:t>电流方向</w:t>
      </w:r>
      <w:r>
        <w:rPr>
          <w:rFonts w:hint="eastAsia"/>
          <w:b/>
          <w:bCs/>
          <w:sz w:val="24"/>
          <w:szCs w:val="32"/>
        </w:rPr>
        <w:t>同样遵循“红进黑出”，与内部电源方向一致。</w:t>
      </w:r>
      <w:r>
        <w:rPr>
          <w:rFonts w:hint="eastAsia"/>
          <w:sz w:val="24"/>
          <w:szCs w:val="32"/>
        </w:rPr>
        <w:t xml:space="preserve">  </w:t>
      </w:r>
    </w:p>
    <w:p w14:paraId="79151F31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示例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：测电池电压时，红表笔接电池正极，黑表笔接负极。  </w:t>
      </w:r>
    </w:p>
    <w:p w14:paraId="522608ED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核心原理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290D3D2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- 电压表/电流表的电流方向为“红进黑出”，与常规电表接法一致。 </w:t>
      </w:r>
    </w:p>
    <w:p w14:paraId="12F12FDA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三、原子物理基础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12C8DD5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元素符号标注规则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19C1088D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左下角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：质子数（原子序数），例如₆C表示碳原子有6个质子。  </w:t>
      </w:r>
    </w:p>
    <w:p w14:paraId="5A4FA3DB">
      <w:pPr>
        <w:spacing w:line="360" w:lineRule="auto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左上角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：质量数（质子数+中子数），例如¹²C表示碳原子质量数为12。  </w:t>
      </w:r>
    </w:p>
    <w:p w14:paraId="4BCCAB59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质能方程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5880AB1E">
      <w:pPr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公式：ΔE = Δmc²（能量变化与质量变化的关系）。  </w:t>
      </w:r>
    </w:p>
    <w:p w14:paraId="004A5035">
      <w:pPr>
        <w:rPr>
          <w:rFonts w:hint="eastAsia"/>
          <w:lang w:eastAsia="zh-CN"/>
        </w:rPr>
        <w:sectPr>
          <w:footerReference r:id="rId3" w:type="default"/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06C8EA79">
      <w:pPr>
        <w:rPr>
          <w:rFonts w:hint="eastAsia"/>
          <w:lang w:eastAsia="zh-CN"/>
        </w:rPr>
      </w:pPr>
    </w:p>
    <w:p w14:paraId="2DA434BF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72B207A7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四、光学规律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0D82102C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折射与全反射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675FBDE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折射角与折射率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：入射角固定时，介质折射率增大 → 折射角减小。</w:t>
      </w:r>
    </w:p>
    <w:p w14:paraId="156CEF25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</w:t>
      </w:r>
      <w:r>
        <w:rPr>
          <w:rFonts w:hint="eastAsia" w:eastAsiaTheme="minorEastAsia"/>
          <w:sz w:val="24"/>
          <w:szCs w:val="32"/>
          <w:lang w:eastAsia="zh-CN"/>
        </w:rPr>
        <w:drawing>
          <wp:inline distT="0" distB="0" distL="114300" distR="114300">
            <wp:extent cx="4076700" cy="2590800"/>
            <wp:effectExtent l="0" t="0" r="0" b="0"/>
            <wp:docPr id="1" name="图片 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无标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262C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 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全反射条件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：光从光密介质→光疏介质，且入射角≥临界角。  </w:t>
      </w:r>
    </w:p>
    <w:p w14:paraId="37D47393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     - 易错点：光疏→光密介质不会发生全反射。  </w:t>
      </w:r>
    </w:p>
    <w:p w14:paraId="4A1EAC1B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615D56C0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五、天体物理公式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A55C81B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黄金代换公式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3A53CDAF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- 表达式：GM = gR²  </w:t>
      </w:r>
    </w:p>
    <w:p w14:paraId="3F1CB640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推导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  </w:t>
      </w:r>
    </w:p>
    <w:p w14:paraId="7EEC8D7F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 - 万有引力提供重力：F = GMm/R² = mg → 消去m得 GM = gR²。  </w:t>
      </w:r>
    </w:p>
    <w:p w14:paraId="3C60E879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- 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应用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：简化天体表面重力加速度与天体质量、半径的计算。  </w:t>
      </w:r>
    </w:p>
    <w:p w14:paraId="672E87D7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4D3B0353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>易错点总结</w:t>
      </w:r>
      <w:r>
        <w:rPr>
          <w:rFonts w:hint="eastAsia"/>
          <w:sz w:val="24"/>
          <w:szCs w:val="32"/>
          <w:lang w:eastAsia="zh-CN"/>
        </w:rPr>
        <w:t>*</w:t>
      </w:r>
      <w:r>
        <w:rPr>
          <w:rFonts w:hint="eastAsia"/>
          <w:sz w:val="24"/>
          <w:szCs w:val="32"/>
        </w:rPr>
        <w:t xml:space="preserve">  </w:t>
      </w:r>
    </w:p>
    <w:p w14:paraId="6B39BFB3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1. 光电效应中，光强不影响光电子的动能和截止频率。  </w:t>
      </w:r>
    </w:p>
    <w:p w14:paraId="46D403A4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2. 多用电表测电阻时，红表笔连接内部电源负极（注意与电压/电流测量的区别）。  </w:t>
      </w:r>
    </w:p>
    <w:p w14:paraId="07659353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 xml:space="preserve">3. 全反射仅发生在光密→光疏介质，且需满足入射角≥临界角。  </w:t>
      </w:r>
    </w:p>
    <w:p w14:paraId="7B372BEF">
      <w:pPr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---</w:t>
      </w:r>
    </w:p>
    <w:p w14:paraId="53891A4B">
      <w:pPr>
        <w:rPr>
          <w:rFonts w:hint="eastAsia" w:eastAsiaTheme="minorEastAsia"/>
          <w:lang w:val="en-US" w:eastAsia="zh-CN"/>
        </w:rPr>
      </w:pPr>
    </w:p>
    <w:p w14:paraId="195A59C7">
      <w:p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083BD90B">
      <w:pPr>
        <w:rPr>
          <w:sz w:val="21"/>
          <w:szCs w:val="21"/>
        </w:rPr>
      </w:pPr>
      <w:r>
        <w:rPr>
          <w:sz w:val="21"/>
          <w:szCs w:val="21"/>
        </w:rPr>
        <w:t>当一个小球从静止开始沿光滑圆弧轨道滚落时，其受到的</w:t>
      </w:r>
      <w:r>
        <w:rPr>
          <w:b/>
          <w:sz w:val="21"/>
          <w:szCs w:val="21"/>
        </w:rPr>
        <w:t>支持力会持续增大</w:t>
      </w:r>
      <w:r>
        <w:rPr>
          <w:sz w:val="21"/>
          <w:szCs w:val="21"/>
        </w:rPr>
        <w:t>，这一现象可通过以下角度分析：</w:t>
      </w:r>
    </w:p>
    <w:p w14:paraId="117C8563">
      <w:pPr>
        <w:pBdr>
          <w:bottom w:val="single" w:color="020201" w:sz="4" w:space="0"/>
        </w:pBdr>
        <w:rPr>
          <w:sz w:val="21"/>
          <w:szCs w:val="21"/>
        </w:rPr>
      </w:pPr>
    </w:p>
    <w:p w14:paraId="0E5C0600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1. 受力分析与向心力</w:t>
      </w:r>
    </w:p>
    <w:p w14:paraId="7D4F0500">
      <w:pPr>
        <w:rPr>
          <w:sz w:val="21"/>
          <w:szCs w:val="21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4123690</wp:posOffset>
            </wp:positionH>
            <wp:positionV relativeFrom="paragraph">
              <wp:posOffset>156210</wp:posOffset>
            </wp:positionV>
            <wp:extent cx="2248535" cy="2218055"/>
            <wp:effectExtent l="0" t="0" r="18415" b="10795"/>
            <wp:wrapSquare wrapText="bothSides"/>
            <wp:docPr id="9" name="图片 9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1"/>
                    <pic:cNvPicPr>
                      <a:picLocks noChangeAspect="1"/>
                    </pic:cNvPicPr>
                  </pic:nvPicPr>
                  <pic:blipFill>
                    <a:blip r:embed="rId6"/>
                    <a:srcRect l="2346" t="3240" r="5196" b="5549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小球在轨道上任一位置时，受竖直向下的重力</w:t>
      </w:r>
      <w:r>
        <w:rPr>
          <w:sz w:val="21"/>
          <w:szCs w:val="21"/>
        </w:rPr>
        <w:drawing>
          <wp:inline distT="0" distB="0" distL="0" distR="0">
            <wp:extent cx="238125" cy="114300"/>
            <wp:effectExtent l="0" t="0" r="9525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和指向圆心的支持力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descript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作用。根据圆周运动的动力学规律，</w:t>
      </w:r>
      <w:r>
        <w:rPr>
          <w:b/>
          <w:sz w:val="21"/>
          <w:szCs w:val="21"/>
        </w:rPr>
        <w:t>沿半径方向的合力提供向心力</w:t>
      </w:r>
      <w:r>
        <w:rPr>
          <w:sz w:val="21"/>
          <w:szCs w:val="21"/>
        </w:rPr>
        <w:t>：</w:t>
      </w:r>
    </w:p>
    <w:p w14:paraId="26DAEC44"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581150" cy="38100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915"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如图，</w:t>
      </w:r>
      <w:r>
        <w:rPr>
          <w:sz w:val="21"/>
          <w:szCs w:val="21"/>
        </w:rPr>
        <w:t>其中：</w:t>
      </w:r>
    </w:p>
    <w:p w14:paraId="7197F58D"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为小球当前位置与轨道圆心连线与竖直方向的夹角；</w:t>
      </w:r>
    </w:p>
    <w:p w14:paraId="3F10E05A"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为小球在该位置的瞬时速度；</w:t>
      </w:r>
    </w:p>
    <w:p w14:paraId="61062B20">
      <w:pPr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33350" cy="123825"/>
            <wp:effectExtent l="0" t="0" r="0" b="9525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为圆弧轨道半径。</w:t>
      </w:r>
    </w:p>
    <w:p w14:paraId="3C8F97C9">
      <w:pPr>
        <w:rPr>
          <w:sz w:val="21"/>
          <w:szCs w:val="21"/>
        </w:rPr>
      </w:pPr>
      <w:r>
        <w:rPr>
          <w:sz w:val="21"/>
          <w:szCs w:val="21"/>
        </w:rPr>
        <w:t>随着小球从静止滚落，</w:t>
      </w:r>
      <w:r>
        <w:rPr>
          <w:b/>
          <w:sz w:val="21"/>
          <w:szCs w:val="21"/>
        </w:rPr>
        <w:t>速度</w:t>
      </w: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逐渐增大</w:t>
      </w:r>
      <w:r>
        <w:rPr>
          <w:sz w:val="21"/>
          <w:szCs w:val="21"/>
        </w:rPr>
        <w:t>（机械能守恒），同时夹角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逐渐减小（即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增大）。这两项共同导致：</w:t>
      </w:r>
    </w:p>
    <w:p w14:paraId="61B65005">
      <w:pPr>
        <w:numPr>
          <w:ilvl w:val="0"/>
          <w:numId w:val="2"/>
        </w:numPr>
        <w:rPr>
          <w:sz w:val="21"/>
          <w:szCs w:val="21"/>
        </w:rPr>
      </w:pPr>
      <w:r>
        <w:rPr>
          <w:b/>
          <w:sz w:val="21"/>
          <w:szCs w:val="21"/>
        </w:rPr>
        <w:t>向心力需求</w:t>
      </w:r>
      <w:r>
        <w:rPr>
          <w:sz w:val="21"/>
          <w:szCs w:val="21"/>
        </w:rPr>
        <w:drawing>
          <wp:inline distT="0" distB="0" distL="0" distR="0">
            <wp:extent cx="323850" cy="314325"/>
            <wp:effectExtent l="0" t="0" r="0" b="9525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escript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增大</w:t>
      </w:r>
      <w:r>
        <w:rPr>
          <w:sz w:val="21"/>
          <w:szCs w:val="21"/>
        </w:rPr>
        <w:t>（因</w:t>
      </w:r>
      <w:r>
        <w:rPr>
          <w:sz w:val="21"/>
          <w:szCs w:val="21"/>
        </w:rPr>
        <w:drawing>
          <wp:inline distT="0" distB="0" distL="0" distR="0">
            <wp:extent cx="161925" cy="161925"/>
            <wp:effectExtent l="0" t="0" r="9525" b="9525"/>
            <wp:docPr id="3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escript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增加）；</w:t>
      </w:r>
    </w:p>
    <w:p w14:paraId="65C1098B">
      <w:pPr>
        <w:numPr>
          <w:ilvl w:val="0"/>
          <w:numId w:val="2"/>
        </w:numPr>
        <w:rPr>
          <w:sz w:val="21"/>
          <w:szCs w:val="21"/>
        </w:rPr>
      </w:pPr>
      <w:r>
        <w:rPr>
          <w:b/>
          <w:sz w:val="21"/>
          <w:szCs w:val="21"/>
        </w:rPr>
        <w:t>重力径向分量的反向作用</w:t>
      </w:r>
      <w:r>
        <w:rPr>
          <w:sz w:val="21"/>
          <w:szCs w:val="21"/>
        </w:rPr>
        <w:drawing>
          <wp:inline distT="0" distB="0" distL="0" distR="0">
            <wp:extent cx="628650" cy="161925"/>
            <wp:effectExtent l="0" t="0" r="0" b="9525"/>
            <wp:docPr id="3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escript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增大</w:t>
      </w:r>
      <w:r>
        <w:rPr>
          <w:sz w:val="21"/>
          <w:szCs w:val="21"/>
        </w:rPr>
        <w:t>（因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3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script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增大）。</w:t>
      </w:r>
    </w:p>
    <w:p w14:paraId="53033CCC">
      <w:pPr>
        <w:rPr>
          <w:sz w:val="21"/>
          <w:szCs w:val="21"/>
        </w:rPr>
      </w:pPr>
      <w:r>
        <w:rPr>
          <w:b/>
          <w:sz w:val="21"/>
          <w:szCs w:val="21"/>
        </w:rPr>
        <w:t>支持力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4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descript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必须同时抵消增大的</w:t>
      </w:r>
      <w:r>
        <w:rPr>
          <w:sz w:val="21"/>
          <w:szCs w:val="21"/>
        </w:rPr>
        <w:drawing>
          <wp:inline distT="0" distB="0" distL="0" distR="0">
            <wp:extent cx="628650" cy="161925"/>
            <wp:effectExtent l="0" t="0" r="0" b="9525"/>
            <wp:docPr id="4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escript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并提供更大的向心力</w:t>
      </w:r>
      <w:r>
        <w:rPr>
          <w:sz w:val="21"/>
          <w:szCs w:val="21"/>
        </w:rPr>
        <w:t>，因此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4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escript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会持续增大。</w:t>
      </w:r>
    </w:p>
    <w:p w14:paraId="16568E65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2. 具体位置分析</w:t>
      </w:r>
    </w:p>
    <w:p w14:paraId="4BC0A0B3">
      <w:pPr>
        <w:numPr>
          <w:ilvl w:val="0"/>
          <w:numId w:val="3"/>
        </w:numPr>
        <w:rPr>
          <w:sz w:val="21"/>
          <w:szCs w:val="21"/>
        </w:rPr>
      </w:pPr>
      <w:r>
        <w:rPr>
          <w:b/>
          <w:sz w:val="21"/>
          <w:szCs w:val="21"/>
        </w:rPr>
        <w:t>初始释放点（</w:t>
      </w:r>
      <w:r>
        <w:rPr>
          <w:sz w:val="21"/>
          <w:szCs w:val="21"/>
        </w:rPr>
        <w:drawing>
          <wp:inline distT="0" distB="0" distL="0" distR="0">
            <wp:extent cx="581025" cy="142875"/>
            <wp:effectExtent l="0" t="0" r="9525" b="9525"/>
            <wp:docPr id="5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descript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）</w:t>
      </w:r>
      <w:r>
        <w:rPr>
          <w:sz w:val="21"/>
          <w:szCs w:val="21"/>
        </w:rPr>
        <w:t>：</w:t>
      </w:r>
      <w:r>
        <w:rPr>
          <w:sz w:val="21"/>
          <w:szCs w:val="21"/>
        </w:rPr>
        <w:drawing>
          <wp:inline distT="0" distB="0" distL="0" distR="0">
            <wp:extent cx="676275" cy="142875"/>
            <wp:effectExtent l="0" t="0" r="9525" b="9525"/>
            <wp:docPr id="5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escript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，此时支持力仅需提供初始向心力（速度接近零时</w:t>
      </w:r>
      <w:r>
        <w:rPr>
          <w:sz w:val="21"/>
          <w:szCs w:val="21"/>
        </w:rPr>
        <w:drawing>
          <wp:inline distT="0" distB="0" distL="0" distR="0">
            <wp:extent cx="1352550" cy="161925"/>
            <wp:effectExtent l="0" t="0" r="0" b="9525"/>
            <wp:docPr id="5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escript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）。</w:t>
      </w:r>
    </w:p>
    <w:p w14:paraId="46C1A12B">
      <w:pPr>
        <w:numPr>
          <w:ilvl w:val="0"/>
          <w:numId w:val="3"/>
        </w:numPr>
        <w:rPr>
          <w:sz w:val="21"/>
          <w:szCs w:val="21"/>
        </w:rPr>
      </w:pPr>
      <w:r>
        <w:rPr>
          <w:b/>
          <w:sz w:val="21"/>
          <w:szCs w:val="21"/>
        </w:rPr>
        <w:t>中间位置（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5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escript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逐渐减小）</w:t>
      </w:r>
      <w:r>
        <w:rPr>
          <w:sz w:val="21"/>
          <w:szCs w:val="21"/>
        </w:rPr>
        <w:t>：速度</w:t>
      </w: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6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descript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因重力做功而增大，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6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descript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增大，导致方程右侧两项均增大，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6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descript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随之上升。</w:t>
      </w:r>
    </w:p>
    <w:p w14:paraId="0C8E8DF2">
      <w:pPr>
        <w:numPr>
          <w:ilvl w:val="0"/>
          <w:numId w:val="3"/>
        </w:numPr>
        <w:rPr>
          <w:sz w:val="21"/>
          <w:szCs w:val="21"/>
        </w:rPr>
      </w:pPr>
      <w:r>
        <w:rPr>
          <w:b/>
          <w:sz w:val="21"/>
          <w:szCs w:val="21"/>
        </w:rPr>
        <w:t>轨道最低点（</w:t>
      </w:r>
      <w:r>
        <w:rPr>
          <w:sz w:val="21"/>
          <w:szCs w:val="21"/>
        </w:rPr>
        <w:drawing>
          <wp:inline distT="0" distB="0" distL="0" distR="0">
            <wp:extent cx="485775" cy="142875"/>
            <wp:effectExtent l="0" t="0" r="9525" b="9525"/>
            <wp:docPr id="7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descript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1"/>
          <w:szCs w:val="21"/>
        </w:rPr>
        <w:t>）</w:t>
      </w:r>
      <w:r>
        <w:rPr>
          <w:sz w:val="21"/>
          <w:szCs w:val="21"/>
        </w:rPr>
        <w:t>：</w:t>
      </w:r>
      <w:r>
        <w:rPr>
          <w:sz w:val="21"/>
          <w:szCs w:val="21"/>
        </w:rPr>
        <w:drawing>
          <wp:inline distT="0" distB="0" distL="0" distR="0">
            <wp:extent cx="676275" cy="142875"/>
            <wp:effectExtent l="0" t="0" r="9525" b="9525"/>
            <wp:docPr id="7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descript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，速度达到最大值</w:t>
      </w:r>
      <w:r>
        <w:rPr>
          <w:sz w:val="21"/>
          <w:szCs w:val="21"/>
        </w:rPr>
        <w:drawing>
          <wp:inline distT="0" distB="0" distL="0" distR="0">
            <wp:extent cx="333375" cy="104775"/>
            <wp:effectExtent l="0" t="0" r="9525" b="9525"/>
            <wp:docPr id="7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descript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，此时支持力达到峰值：</w:t>
      </w:r>
    </w:p>
    <w:p w14:paraId="01FD6E38">
      <w:pPr>
        <w:ind w:leftChars="220"/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1600200" cy="381000"/>
            <wp:effectExtent l="0" t="0" r="0" b="0"/>
            <wp:docPr id="8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descrip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693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3. 能量守恒与速度增长的数学关系</w:t>
      </w:r>
    </w:p>
    <w:p w14:paraId="7398BEFE">
      <w:pPr>
        <w:rPr>
          <w:sz w:val="21"/>
          <w:szCs w:val="21"/>
        </w:rPr>
      </w:pPr>
      <w:r>
        <w:rPr>
          <w:sz w:val="21"/>
          <w:szCs w:val="21"/>
        </w:rPr>
        <w:t>由于轨道光滑，机械能守恒。设小球从高度</w:t>
      </w:r>
      <w:r>
        <w:rPr>
          <w:sz w:val="21"/>
          <w:szCs w:val="21"/>
        </w:rPr>
        <w:drawing>
          <wp:inline distT="0" distB="0" distL="0" distR="0">
            <wp:extent cx="1276350" cy="180975"/>
            <wp:effectExtent l="0" t="0" r="0" b="9525"/>
            <wp:docPr id="8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descript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处释放，则有：</w:t>
      </w:r>
    </w:p>
    <w:p w14:paraId="081B2B1E"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067050" cy="342900"/>
            <wp:effectExtent l="0" t="0" r="0" b="0"/>
            <wp:docPr id="8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descrip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52BC">
      <w:pPr>
        <w:rPr>
          <w:sz w:val="21"/>
          <w:szCs w:val="21"/>
        </w:rPr>
      </w:pPr>
      <w:r>
        <w:rPr>
          <w:sz w:val="21"/>
          <w:szCs w:val="21"/>
        </w:rPr>
        <w:t>将</w:t>
      </w:r>
      <w:r>
        <w:rPr>
          <w:sz w:val="21"/>
          <w:szCs w:val="21"/>
        </w:rPr>
        <w:drawing>
          <wp:inline distT="0" distB="0" distL="0" distR="0">
            <wp:extent cx="85725" cy="85725"/>
            <wp:effectExtent l="0" t="0" r="9525" b="9525"/>
            <wp:docPr id="8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descript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代入支持力公式：</w:t>
      </w:r>
    </w:p>
    <w:p w14:paraId="591048E4"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838575" cy="371475"/>
            <wp:effectExtent l="0" t="0" r="9525" b="9525"/>
            <wp:docPr id="9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descrip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0729">
      <w:pPr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9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descript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从</w:t>
      </w:r>
      <w:r>
        <w:rPr>
          <w:sz w:val="21"/>
          <w:szCs w:val="21"/>
        </w:rPr>
        <w:drawing>
          <wp:inline distT="0" distB="0" distL="0" distR="0">
            <wp:extent cx="257175" cy="133350"/>
            <wp:effectExtent l="0" t="0" r="9525" b="0"/>
            <wp:docPr id="9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descript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减小到</w:t>
      </w:r>
      <w:r>
        <w:rPr>
          <w:sz w:val="21"/>
          <w:szCs w:val="21"/>
        </w:rPr>
        <w:drawing>
          <wp:inline distT="0" distB="0" distL="0" distR="0">
            <wp:extent cx="171450" cy="133350"/>
            <wp:effectExtent l="0" t="0" r="0" b="0"/>
            <wp:docPr id="10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descript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时，</w:t>
      </w:r>
      <w:r>
        <w:rPr>
          <w:sz w:val="21"/>
          <w:szCs w:val="21"/>
        </w:rPr>
        <w:drawing>
          <wp:inline distT="0" distB="0" distL="0" distR="0">
            <wp:extent cx="352425" cy="123825"/>
            <wp:effectExtent l="0" t="0" r="9525" b="9525"/>
            <wp:docPr id="10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descript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从0增加到1，故</w:t>
      </w:r>
      <w:r>
        <w:rPr>
          <w:sz w:val="21"/>
          <w:szCs w:val="21"/>
        </w:rPr>
        <w:drawing>
          <wp:inline distT="0" distB="0" distL="0" distR="0">
            <wp:extent cx="161925" cy="123825"/>
            <wp:effectExtent l="0" t="0" r="9525" b="9525"/>
            <wp:docPr id="10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descript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从</w:t>
      </w:r>
      <w:r>
        <w:rPr>
          <w:sz w:val="21"/>
          <w:szCs w:val="21"/>
        </w:rPr>
        <w:drawing>
          <wp:inline distT="0" distB="0" distL="0" distR="0">
            <wp:extent cx="466725" cy="152400"/>
            <wp:effectExtent l="0" t="0" r="9525" b="0"/>
            <wp:docPr id="1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descript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（理论值，实际初始位置支持力为零）逐渐增大到</w:t>
      </w:r>
      <w:r>
        <w:rPr>
          <w:sz w:val="21"/>
          <w:szCs w:val="21"/>
        </w:rPr>
        <w:drawing>
          <wp:inline distT="0" distB="0" distL="0" distR="0">
            <wp:extent cx="238125" cy="114300"/>
            <wp:effectExtent l="0" t="0" r="9525" b="0"/>
            <wp:docPr id="11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descript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（最低点时</w:t>
      </w:r>
      <w:r>
        <w:rPr>
          <w:sz w:val="21"/>
          <w:szCs w:val="21"/>
        </w:rPr>
        <w:drawing>
          <wp:inline distT="0" distB="0" distL="0" distR="0">
            <wp:extent cx="1000125" cy="314325"/>
            <wp:effectExtent l="0" t="0" r="9525" b="9525"/>
            <wp:docPr id="1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descript"/>
                    <pic:cNvPicPr/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）。</w:t>
      </w:r>
    </w:p>
    <w:p w14:paraId="7057302A">
      <w:pPr>
        <w:pStyle w:val="2"/>
        <w:rPr>
          <w:sz w:val="22"/>
          <w:szCs w:val="21"/>
        </w:rPr>
      </w:pPr>
      <w:r>
        <w:rPr>
          <w:b/>
          <w:sz w:val="22"/>
          <w:szCs w:val="21"/>
        </w:rPr>
        <w:t>4. 动态平衡的直观理解</w:t>
      </w:r>
    </w:p>
    <w:p w14:paraId="6BF2F330">
      <w:pPr>
        <w:numPr>
          <w:ilvl w:val="0"/>
          <w:numId w:val="4"/>
        </w:numPr>
        <w:rPr>
          <w:sz w:val="21"/>
          <w:szCs w:val="21"/>
        </w:rPr>
      </w:pPr>
      <w:r>
        <w:rPr>
          <w:b/>
          <w:sz w:val="21"/>
          <w:szCs w:val="21"/>
        </w:rPr>
        <w:t>速度增大主导</w:t>
      </w:r>
      <w:r>
        <w:rPr>
          <w:sz w:val="21"/>
          <w:szCs w:val="21"/>
        </w:rPr>
        <w:t>：尽管重力在径向的分量</w:t>
      </w:r>
      <w:r>
        <w:rPr>
          <w:sz w:val="21"/>
          <w:szCs w:val="21"/>
        </w:rPr>
        <w:drawing>
          <wp:inline distT="0" distB="0" distL="0" distR="0">
            <wp:extent cx="628650" cy="161925"/>
            <wp:effectExtent l="0" t="0" r="0" b="9525"/>
            <wp:docPr id="1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descript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随</w:t>
      </w:r>
      <w:r>
        <w:rPr>
          <w:sz w:val="21"/>
          <w:szCs w:val="21"/>
        </w:rPr>
        <w:drawing>
          <wp:inline distT="0" distB="0" distL="0" distR="0">
            <wp:extent cx="85725" cy="123825"/>
            <wp:effectExtent l="0" t="0" r="9525" b="9525"/>
            <wp:docPr id="1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descript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>减小而增大，但速度的平方增长（动能来自重力势能）对向心力的贡献更显著，导致支持力的增幅主要由速度项驱动。</w:t>
      </w:r>
    </w:p>
    <w:p w14:paraId="3B270F7A">
      <w:pPr>
        <w:numPr>
          <w:ilvl w:val="0"/>
          <w:numId w:val="4"/>
        </w:numPr>
        <w:rPr>
          <w:sz w:val="21"/>
          <w:szCs w:val="21"/>
        </w:rPr>
      </w:pPr>
      <w:r>
        <w:rPr>
          <w:b/>
          <w:sz w:val="21"/>
          <w:szCs w:val="21"/>
        </w:rPr>
        <w:t>几何位置变化辅助</w:t>
      </w:r>
      <w:r>
        <w:rPr>
          <w:sz w:val="21"/>
          <w:szCs w:val="21"/>
        </w:rPr>
        <w:t>：小球越靠近轨道底部，其位置越接近圆心，轨道需提供更大的法向约束力以维持圆周运动轨迹。</w:t>
      </w:r>
    </w:p>
    <w:p w14:paraId="3EEF4A4F">
      <w:pPr>
        <w:rPr>
          <w:b/>
          <w:sz w:val="22"/>
          <w:szCs w:val="28"/>
        </w:r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232FD93B">
      <w:pPr>
        <w:rPr>
          <w:sz w:val="22"/>
          <w:szCs w:val="28"/>
        </w:rPr>
      </w:pPr>
      <w:r>
        <w:rPr>
          <w:b/>
          <w:sz w:val="22"/>
          <w:szCs w:val="28"/>
        </w:rPr>
        <w:t>用户:</w:t>
      </w:r>
    </w:p>
    <w:p w14:paraId="2E6FB67E">
      <w:pPr>
        <w:rPr>
          <w:sz w:val="22"/>
          <w:szCs w:val="28"/>
        </w:rPr>
      </w:pPr>
      <w:r>
        <w:rPr>
          <w:sz w:val="22"/>
          <w:szCs w:val="28"/>
        </w:rPr>
        <w:t>对于都是圆周运动的中心天体相同的俩物体，是不是轨道半径越大，线速度就越</w:t>
      </w:r>
      <w:r>
        <w:rPr>
          <w:rFonts w:hint="eastAsia"/>
          <w:sz w:val="22"/>
          <w:szCs w:val="28"/>
          <w:lang w:val="en-US" w:eastAsia="zh-CN"/>
        </w:rPr>
        <w:t>小</w:t>
      </w:r>
      <w:r>
        <w:rPr>
          <w:sz w:val="22"/>
          <w:szCs w:val="28"/>
        </w:rPr>
        <w:t>，角速度呢？</w:t>
      </w:r>
    </w:p>
    <w:p w14:paraId="479BEB7B">
      <w:pPr>
        <w:rPr>
          <w:sz w:val="22"/>
          <w:szCs w:val="28"/>
        </w:rPr>
      </w:pPr>
      <w:r>
        <w:rPr>
          <w:b/>
          <w:sz w:val="22"/>
          <w:szCs w:val="28"/>
        </w:rPr>
        <w:t>元宝:</w:t>
      </w:r>
    </w:p>
    <w:p w14:paraId="57CB111D">
      <w:pPr>
        <w:rPr>
          <w:sz w:val="22"/>
          <w:szCs w:val="28"/>
        </w:rPr>
      </w:pPr>
      <w:r>
        <w:rPr>
          <w:sz w:val="22"/>
          <w:szCs w:val="28"/>
        </w:rPr>
        <w:t>对于绕同一中心天体做圆周运动的两个物体，轨道半径与线速度、角速度的关系遵循以下规律：</w:t>
      </w:r>
    </w:p>
    <w:p w14:paraId="3BF0DC94">
      <w:pPr>
        <w:pBdr>
          <w:bottom w:val="single" w:color="020201" w:sz="4" w:space="0"/>
        </w:pBdr>
        <w:rPr>
          <w:sz w:val="22"/>
          <w:szCs w:val="28"/>
        </w:rPr>
      </w:pPr>
    </w:p>
    <w:p w14:paraId="3E14636B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1. 线速度与轨道半径的关系</w:t>
      </w:r>
    </w:p>
    <w:p w14:paraId="4E233B69">
      <w:pPr>
        <w:rPr>
          <w:sz w:val="22"/>
          <w:szCs w:val="28"/>
        </w:rPr>
      </w:pPr>
      <w:r>
        <w:rPr>
          <w:sz w:val="22"/>
          <w:szCs w:val="28"/>
        </w:rPr>
        <w:t>线速度</w:t>
      </w:r>
      <w:r>
        <w:rPr>
          <w:sz w:val="22"/>
          <w:szCs w:val="28"/>
        </w:rPr>
        <w:drawing>
          <wp:inline distT="0" distB="0" distL="0" distR="0">
            <wp:extent cx="85725" cy="85725"/>
            <wp:effectExtent l="0" t="0" r="9525" b="9525"/>
            <wp:docPr id="3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escript"/>
                    <pic:cNvPicPr/>
                  </pic:nvPicPr>
                  <pic:blipFill>
                    <a:blip r:embed="rId55">
                      <a:extLs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随轨道半径</w:t>
      </w:r>
      <w:r>
        <w:rPr>
          <w:sz w:val="22"/>
          <w:szCs w:val="28"/>
        </w:rPr>
        <w:drawing>
          <wp:inline distT="0" distB="0" distL="0" distR="0">
            <wp:extent cx="76200" cy="85725"/>
            <wp:effectExtent l="0" t="0" r="0" b="9525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57">
                      <a:extLs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的增大而</w:t>
      </w:r>
      <w:r>
        <w:rPr>
          <w:b/>
          <w:sz w:val="22"/>
          <w:szCs w:val="28"/>
        </w:rPr>
        <w:t>减小</w:t>
      </w:r>
      <w:r>
        <w:rPr>
          <w:sz w:val="22"/>
          <w:szCs w:val="28"/>
        </w:rPr>
        <w:t>。</w:t>
      </w:r>
    </w:p>
    <w:p w14:paraId="1091E762">
      <w:pPr>
        <w:numPr>
          <w:ilvl w:val="0"/>
          <w:numId w:val="1"/>
        </w:numPr>
        <w:rPr>
          <w:sz w:val="22"/>
          <w:szCs w:val="28"/>
        </w:rPr>
      </w:pPr>
      <w:r>
        <w:rPr>
          <w:b/>
          <w:sz w:val="22"/>
          <w:szCs w:val="28"/>
        </w:rPr>
        <w:t>公式推导</w:t>
      </w:r>
      <w:r>
        <w:rPr>
          <w:sz w:val="22"/>
          <w:szCs w:val="28"/>
        </w:rPr>
        <w:t>：根据万有引力提供向心力：</w:t>
      </w:r>
    </w:p>
    <w:p w14:paraId="4ACCDBA7">
      <w:pPr>
        <w:ind w:leftChars="220"/>
        <w:jc w:val="center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2514600" cy="419100"/>
            <wp:effectExtent l="0" t="0" r="0" b="0"/>
            <wp:docPr id="3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descrip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F14A">
      <w:pPr>
        <w:ind w:leftChars="220"/>
        <w:rPr>
          <w:sz w:val="22"/>
          <w:szCs w:val="28"/>
        </w:rPr>
      </w:pPr>
      <w:r>
        <w:rPr>
          <w:sz w:val="22"/>
          <w:szCs w:val="28"/>
        </w:rPr>
        <w:t>可见，</w:t>
      </w:r>
      <w:r>
        <w:rPr>
          <w:sz w:val="22"/>
          <w:szCs w:val="28"/>
        </w:rPr>
        <w:drawing>
          <wp:inline distT="0" distB="0" distL="0" distR="0">
            <wp:extent cx="476250" cy="314325"/>
            <wp:effectExtent l="0" t="0" r="0" b="9525"/>
            <wp:docPr id="3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descript"/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，即半径越大，线速度越小。</w:t>
      </w:r>
    </w:p>
    <w:p w14:paraId="1BEA7EE5">
      <w:pPr>
        <w:pBdr>
          <w:bottom w:val="single" w:color="020201" w:sz="4" w:space="0"/>
        </w:pBdr>
        <w:rPr>
          <w:sz w:val="22"/>
          <w:szCs w:val="28"/>
        </w:rPr>
      </w:pPr>
    </w:p>
    <w:p w14:paraId="70482E36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2. 角速度与轨道半径的关系</w:t>
      </w:r>
    </w:p>
    <w:p w14:paraId="2A91B475">
      <w:pPr>
        <w:rPr>
          <w:sz w:val="22"/>
          <w:szCs w:val="28"/>
        </w:rPr>
      </w:pPr>
      <w:r>
        <w:rPr>
          <w:sz w:val="22"/>
          <w:szCs w:val="28"/>
        </w:rPr>
        <w:t>角速度</w:t>
      </w:r>
      <w:r>
        <w:rPr>
          <w:sz w:val="22"/>
          <w:szCs w:val="28"/>
        </w:rPr>
        <w:drawing>
          <wp:inline distT="0" distB="0" distL="0" distR="0">
            <wp:extent cx="114300" cy="85725"/>
            <wp:effectExtent l="0" t="0" r="0" b="9525"/>
            <wp:docPr id="3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descript"/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同样随轨道半径</w:t>
      </w:r>
      <w:r>
        <w:rPr>
          <w:sz w:val="22"/>
          <w:szCs w:val="28"/>
        </w:rPr>
        <w:drawing>
          <wp:inline distT="0" distB="0" distL="0" distR="0">
            <wp:extent cx="76200" cy="85725"/>
            <wp:effectExtent l="0" t="0" r="0" b="9525"/>
            <wp:docPr id="3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escript"/>
                    <pic:cNvPicPr/>
                  </pic:nvPicPr>
                  <pic:blipFill>
                    <a:blip r:embed="rId57">
                      <a:extLst>
                        <a:ext uri="{96DAC541-7B7A-43D3-8B79-37D633B846F1}">
                          <asvg:svgBlip xmlns:asvg="http://schemas.microsoft.com/office/drawing/2016/SVG/main" r:embed="rId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的增大而</w:t>
      </w:r>
      <w:r>
        <w:rPr>
          <w:b/>
          <w:sz w:val="22"/>
          <w:szCs w:val="28"/>
        </w:rPr>
        <w:t>减小</w:t>
      </w:r>
      <w:r>
        <w:rPr>
          <w:sz w:val="22"/>
          <w:szCs w:val="28"/>
        </w:rPr>
        <w:t>。</w:t>
      </w:r>
    </w:p>
    <w:p w14:paraId="3FEFA606">
      <w:pPr>
        <w:numPr>
          <w:ilvl w:val="0"/>
          <w:numId w:val="2"/>
        </w:numPr>
        <w:rPr>
          <w:sz w:val="22"/>
          <w:szCs w:val="28"/>
        </w:rPr>
      </w:pPr>
      <w:r>
        <w:rPr>
          <w:b/>
          <w:sz w:val="22"/>
          <w:szCs w:val="28"/>
        </w:rPr>
        <w:t>公式推导</w:t>
      </w:r>
      <w:r>
        <w:rPr>
          <w:sz w:val="22"/>
          <w:szCs w:val="28"/>
        </w:rPr>
        <w:t>：由万有引力提供向心力：</w:t>
      </w:r>
    </w:p>
    <w:p w14:paraId="3F2D39EB">
      <w:pPr>
        <w:ind w:leftChars="220"/>
        <w:jc w:val="center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2562225" cy="419100"/>
            <wp:effectExtent l="0" t="0" r="9525" b="0"/>
            <wp:docPr id="3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descrip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207A">
      <w:pPr>
        <w:ind w:leftChars="220"/>
        <w:rPr>
          <w:sz w:val="22"/>
          <w:szCs w:val="28"/>
        </w:rPr>
      </w:pPr>
      <w:r>
        <w:rPr>
          <w:sz w:val="22"/>
          <w:szCs w:val="28"/>
        </w:rPr>
        <w:t>可见，</w:t>
      </w:r>
      <w:r>
        <w:rPr>
          <w:sz w:val="22"/>
          <w:szCs w:val="28"/>
        </w:rPr>
        <w:drawing>
          <wp:inline distT="0" distB="0" distL="0" distR="0">
            <wp:extent cx="552450" cy="314325"/>
            <wp:effectExtent l="0" t="0" r="0" b="9525"/>
            <wp:docPr id="4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escript"/>
                    <pic:cNvPicPr/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，即半径越大，角速度越小。</w:t>
      </w:r>
    </w:p>
    <w:p w14:paraId="2BBAA5A0">
      <w:pPr>
        <w:pBdr>
          <w:bottom w:val="single" w:color="020201" w:sz="4" w:space="0"/>
        </w:pBdr>
        <w:rPr>
          <w:sz w:val="22"/>
          <w:szCs w:val="28"/>
        </w:rPr>
      </w:pPr>
    </w:p>
    <w:p w14:paraId="690DC772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3. 对比总结</w:t>
      </w:r>
    </w:p>
    <w:tbl>
      <w:tblPr>
        <w:tblStyle w:val="6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800"/>
        <w:gridCol w:w="1800"/>
      </w:tblGrid>
      <w:tr w14:paraId="21241027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B8A6850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物理量</w:t>
            </w:r>
          </w:p>
        </w:tc>
        <w:tc>
          <w:tcPr>
            <w:tcW w:w="1800" w:type="dxa"/>
            <w:vAlign w:val="center"/>
          </w:tcPr>
          <w:p w14:paraId="3EAA5DD4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与轨道半径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76200" cy="85725"/>
                  <wp:effectExtent l="0" t="0" r="0" b="9525"/>
                  <wp:docPr id="42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descr="descript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的关系</w:t>
            </w:r>
          </w:p>
        </w:tc>
        <w:tc>
          <w:tcPr>
            <w:tcW w:w="1800" w:type="dxa"/>
            <w:vAlign w:val="center"/>
          </w:tcPr>
          <w:p w14:paraId="7E92072E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变化趋势</w:t>
            </w:r>
          </w:p>
        </w:tc>
      </w:tr>
      <w:tr w14:paraId="2110E153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50A1E4A7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线速度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85725" cy="85725"/>
                  <wp:effectExtent l="0" t="0" r="9525" b="9525"/>
                  <wp:docPr id="43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 descr="descript"/>
                          <pic:cNvPicPr/>
                        </pic:nvPicPr>
                        <pic:blipFill>
                          <a:blip r:embed="rId67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7231F05C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drawing>
                <wp:inline distT="0" distB="0" distL="0" distR="0">
                  <wp:extent cx="476250" cy="314325"/>
                  <wp:effectExtent l="0" t="0" r="0" b="9525"/>
                  <wp:docPr id="45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descr="descript"/>
                          <pic:cNvPicPr/>
                        </pic:nvPicPr>
                        <pic:blipFill>
                          <a:blip r:embed="rId68">
                            <a:extLs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0D904DF1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半径越大，线速度越小</w:t>
            </w:r>
          </w:p>
        </w:tc>
      </w:tr>
      <w:tr w14:paraId="2C41712F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0B7914DB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角速度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114300" cy="85725"/>
                  <wp:effectExtent l="0" t="0" r="0" b="9525"/>
                  <wp:docPr id="46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 descr="descript"/>
                          <pic:cNvPicPr/>
                        </pic:nvPicPr>
                        <pic:blipFill>
                          <a:blip r:embed="rId62">
                            <a:extLs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14E95631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drawing>
                <wp:inline distT="0" distB="0" distL="0" distR="0">
                  <wp:extent cx="552450" cy="314325"/>
                  <wp:effectExtent l="0" t="0" r="0" b="9525"/>
                  <wp:docPr id="48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descr="descript"/>
                          <pic:cNvPicPr/>
                        </pic:nvPicPr>
                        <pic:blipFill>
                          <a:blip r:embed="rId65">
                            <a:extLst>
                              <a:ext uri="{96DAC541-7B7A-43D3-8B79-37D633B846F1}">
                                <asvg:svgBlip xmlns:asvg="http://schemas.microsoft.com/office/drawing/2016/SVG/main" r:embed="rId6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712871B4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半径越大，角速度越小</w:t>
            </w:r>
          </w:p>
        </w:tc>
      </w:tr>
      <w:tr w14:paraId="17867B26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4E227B29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周期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123825" cy="123825"/>
                  <wp:effectExtent l="0" t="0" r="9525" b="9525"/>
                  <wp:docPr id="49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 descr="descript"/>
                          <pic:cNvPicPr/>
                        </pic:nvPicPr>
                        <pic:blipFill>
                          <a:blip r:embed="rId69">
                            <a:extLst>
                              <a:ext uri="{96DAC541-7B7A-43D3-8B79-37D633B846F1}">
                                <asvg:svgBlip xmlns:asvg="http://schemas.microsoft.com/office/drawing/2016/SVG/main" r:embed="rId7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43886354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drawing>
                <wp:inline distT="0" distB="0" distL="0" distR="0">
                  <wp:extent cx="704850" cy="228600"/>
                  <wp:effectExtent l="0" t="0" r="0" b="0"/>
                  <wp:docPr id="51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descr="descript"/>
                          <pic:cNvPicPr/>
                        </pic:nvPicPr>
                        <pic:blipFill>
                          <a:blip r:embed="rId71">
                            <a:extLst>
                              <a:ext uri="{96DAC541-7B7A-43D3-8B79-37D633B846F1}">
                                <asvg:svgBlip xmlns:asvg="http://schemas.microsoft.com/office/drawing/2016/SVG/main" r:embed="rId7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  <w:vAlign w:val="center"/>
          </w:tcPr>
          <w:p w14:paraId="2D2E4A68">
            <w:pPr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半径越大，周期越长</w:t>
            </w:r>
          </w:p>
        </w:tc>
      </w:tr>
    </w:tbl>
    <w:p w14:paraId="6757D7E3">
      <w:pPr>
        <w:rPr>
          <w:sz w:val="22"/>
          <w:szCs w:val="28"/>
        </w:rPr>
      </w:pPr>
    </w:p>
    <w:p w14:paraId="4159A217">
      <w:pPr>
        <w:rPr>
          <w:sz w:val="22"/>
          <w:szCs w:val="28"/>
        </w:rPr>
      </w:pPr>
      <w:r>
        <w:rPr>
          <w:b/>
          <w:sz w:val="22"/>
          <w:szCs w:val="28"/>
        </w:rPr>
        <w:t>关键结论</w:t>
      </w:r>
      <w:r>
        <w:rPr>
          <w:sz w:val="22"/>
          <w:szCs w:val="28"/>
        </w:rPr>
        <w:t>：轨道半径越大，线速度和角速度均</w:t>
      </w:r>
      <w:r>
        <w:rPr>
          <w:b/>
          <w:sz w:val="22"/>
          <w:szCs w:val="28"/>
        </w:rPr>
        <w:t>越小</w:t>
      </w:r>
      <w:r>
        <w:rPr>
          <w:sz w:val="22"/>
          <w:szCs w:val="28"/>
        </w:rPr>
        <w:t>，而周期越长。这一规律可概括为“高轨低速周期长，低轨高速周期短”。</w:t>
      </w:r>
    </w:p>
    <w:p w14:paraId="6B637573">
      <w:pPr>
        <w:pBdr>
          <w:bottom w:val="single" w:color="020201" w:sz="4" w:space="0"/>
        </w:pBdr>
        <w:rPr>
          <w:sz w:val="22"/>
          <w:szCs w:val="28"/>
        </w:rPr>
      </w:pPr>
    </w:p>
    <w:p w14:paraId="762CE6C3">
      <w:pPr>
        <w:pStyle w:val="2"/>
        <w:rPr>
          <w:sz w:val="32"/>
          <w:szCs w:val="28"/>
        </w:rPr>
      </w:pPr>
      <w:r>
        <w:rPr>
          <w:b/>
          <w:sz w:val="32"/>
          <w:szCs w:val="28"/>
        </w:rPr>
        <w:t>4. 物理机制解释</w:t>
      </w:r>
    </w:p>
    <w:p w14:paraId="54785995">
      <w:pPr>
        <w:numPr>
          <w:ilvl w:val="0"/>
          <w:numId w:val="3"/>
        </w:numPr>
        <w:rPr>
          <w:sz w:val="22"/>
          <w:szCs w:val="28"/>
        </w:rPr>
      </w:pPr>
      <w:r>
        <w:rPr>
          <w:b/>
          <w:sz w:val="22"/>
          <w:szCs w:val="28"/>
        </w:rPr>
        <w:t>向心力平衡</w:t>
      </w:r>
      <w:r>
        <w:rPr>
          <w:sz w:val="22"/>
          <w:szCs w:val="28"/>
        </w:rPr>
        <w:t>：轨道半径增大时，万有引力（向心力）减小，导致所需的线速度和角速度必须降低以维持平衡。</w:t>
      </w:r>
    </w:p>
    <w:p w14:paraId="457988C3">
      <w:pPr>
        <w:numPr>
          <w:ilvl w:val="0"/>
          <w:numId w:val="3"/>
        </w:numPr>
        <w:rPr>
          <w:rFonts w:hint="eastAsia" w:ascii="Segoe UI" w:hAnsi="Segoe UI" w:eastAsia="宋体" w:cs="Segoe UI"/>
          <w:i w:val="0"/>
          <w:iCs w:val="0"/>
          <w:caps w:val="0"/>
          <w:spacing w:val="0"/>
          <w:sz w:val="21"/>
          <w:szCs w:val="21"/>
          <w:shd w:val="clear" w:fill="F6F6F6"/>
          <w:lang w:eastAsia="zh-CN"/>
        </w:r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b/>
          <w:sz w:val="22"/>
          <w:szCs w:val="28"/>
        </w:rPr>
        <w:t>能量守恒</w:t>
      </w:r>
      <w:r>
        <w:rPr>
          <w:sz w:val="22"/>
          <w:szCs w:val="28"/>
        </w:rPr>
        <w:t>：半径越大，卫星的动能（与</w:t>
      </w:r>
      <w:r>
        <w:rPr>
          <w:sz w:val="22"/>
          <w:szCs w:val="28"/>
        </w:rPr>
        <w:drawing>
          <wp:inline distT="0" distB="0" distL="0" distR="0">
            <wp:extent cx="161925" cy="161925"/>
            <wp:effectExtent l="0" t="0" r="9525" b="9525"/>
            <wp:docPr id="5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descript"/>
                    <pic:cNvPicPr/>
                  </pic:nvPicPr>
                  <pic:blipFill>
                    <a:blip r:embed="rId7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相关）和角动能（与</w:t>
      </w:r>
      <w:r>
        <w:rPr>
          <w:sz w:val="22"/>
          <w:szCs w:val="28"/>
        </w:rPr>
        <w:drawing>
          <wp:inline distT="0" distB="0" distL="0" distR="0">
            <wp:extent cx="190500" cy="161925"/>
            <wp:effectExtent l="0" t="0" r="0" b="9525"/>
            <wp:docPr id="5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descript"/>
                    <pic:cNvPicPr/>
                  </pic:nvPicPr>
                  <pic:blipFill>
                    <a:blip r:embed="rId74">
                      <a:extLst>
                        <a:ext uri="{96DAC541-7B7A-43D3-8B79-37D633B846F1}">
                          <asvg:svgBlip xmlns:asvg="http://schemas.microsoft.com/office/drawing/2016/SVG/main" r:embed="rId7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相关）均减小，符合机械能守恒。</w:t>
      </w:r>
    </w:p>
    <w:p w14:paraId="0D88F2D2">
      <w:pPr>
        <w:pStyle w:val="2"/>
        <w:rPr>
          <w:rFonts w:hint="default" w:eastAsiaTheme="minorEastAsia"/>
          <w:sz w:val="22"/>
          <w:szCs w:val="28"/>
          <w:highlight w:val="none"/>
          <w:lang w:val="en-US" w:eastAsia="zh-CN"/>
        </w:rPr>
      </w:pPr>
      <w:r>
        <w:rPr>
          <w:rFonts w:hint="eastAsia"/>
          <w:b/>
          <w:sz w:val="32"/>
          <w:szCs w:val="28"/>
          <w:lang w:val="en-US" w:eastAsia="zh-CN"/>
        </w:rPr>
        <w:t>同步卫星相关</w:t>
      </w:r>
    </w:p>
    <w:p w14:paraId="78AF81EC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地球的同步轨道半径约为**42,164公里**。这一数值是根据地球质量、引力常数以及轨道周期计算得出的。同步轨道周期必须与地球自转周期一致（23小时56分4秒），因此卫星绕地球运行的角速度与地球自转角速度相同。</w:t>
      </w:r>
    </w:p>
    <w:p w14:paraId="7A2A7550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补充说明：</w:t>
      </w:r>
    </w:p>
    <w:p w14:paraId="6E344FCD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1. **轨道高度**：同步轨道半径减去地球平均半径（约6,378公里），可得卫星距地面的高度约为**35,786公里**。</w:t>
      </w:r>
    </w:p>
    <w:p w14:paraId="0BA76A96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2. **地球静止轨道**：若同步轨道倾角为0°（即位于赤道平面），则卫星相对于地面静止，称为地球静止轨道，其半径和高度与同步轨道相同。</w:t>
      </w:r>
    </w:p>
    <w:p w14:paraId="28FA1AE1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3. **应用**：该轨道常用于通信卫星、气象卫星等，例如中国的风云系列卫星、美国的GOES卫星等。</w:t>
      </w:r>
    </w:p>
    <w:p w14:paraId="2B6C3ACC">
      <w:pPr>
        <w:rPr>
          <w:rFonts w:hint="eastAsia"/>
          <w:sz w:val="22"/>
          <w:szCs w:val="28"/>
          <w:highlight w:val="none"/>
        </w:rPr>
      </w:pPr>
      <w:r>
        <w:rPr>
          <w:rFonts w:hint="eastAsia"/>
          <w:sz w:val="22"/>
          <w:szCs w:val="28"/>
          <w:highlight w:val="none"/>
        </w:rPr>
        <w:t>这一数值的推导可通过万有引力公式与向心力公式联立得到，其中涉及地球质量（5.9736×10²⁴ kg）和引力常数（6.67428×10⁻¹¹ m³·kg⁻¹·s⁻²）等参数。</w:t>
      </w:r>
    </w:p>
    <w:p w14:paraId="3EE0AF27">
      <w:pPr>
        <w:rPr>
          <w:rFonts w:hint="eastAsia"/>
          <w:sz w:val="22"/>
          <w:szCs w:val="28"/>
        </w:rPr>
      </w:pPr>
    </w:p>
    <w:p w14:paraId="6C3AF88B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  <w:t>地球静止轨道是同步轨道的一种特例，两者核心区别在于</w:t>
      </w: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6F6F6"/>
          <w:vertAlign w:val="baseline"/>
        </w:rPr>
        <w:t>轨道倾角是否为0°和是否固定在赤道上空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  <w:t>。静止轨道卫星适用于需要“静止”观测的场景，而其他同步轨道卫星则更灵活，可满足不同区域的周期性覆盖需求</w:t>
      </w:r>
    </w:p>
    <w:p w14:paraId="2627F610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</w:p>
    <w:p w14:paraId="1DA59611">
      <w:pP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  <w:t>三颗同步卫星通过赤道上空的均匀分布，能够实现全球地区的连续覆盖。这一结论基于同步卫星的几何覆盖特性，并在通信和遥感领域得到广泛应用</w:t>
      </w:r>
    </w:p>
    <w:p w14:paraId="4B4B2789">
      <w:pP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6F6F6"/>
        </w:rPr>
      </w:pPr>
    </w:p>
    <w:p w14:paraId="6FA27970">
      <w:pPr>
        <w:rPr>
          <w:sz w:val="22"/>
          <w:szCs w:val="28"/>
        </w:rPr>
      </w:pPr>
      <w:r>
        <w:rPr>
          <w:sz w:val="22"/>
          <w:szCs w:val="28"/>
        </w:rPr>
        <w:t>二、宇宙速度​</w:t>
      </w:r>
    </w:p>
    <w:p w14:paraId="26BAB8BB"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​第一宇宙速度（环绕速度）：7.9 km/s（近地轨道）。</w:t>
      </w:r>
    </w:p>
    <w:p w14:paraId="5A9B19FE"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​第二宇宙速度（逃逸速度）：11.2 km/s（脱离地球）。</w:t>
      </w:r>
    </w:p>
    <w:p w14:paraId="1C4B0AC8">
      <w:pPr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​第三宇宙速度（太阳逃逸）：16.7 km/s（脱离太阳系）。</w:t>
      </w:r>
    </w:p>
    <w:p w14:paraId="0C32D6D0">
      <w:pPr>
        <w:rPr>
          <w:rFonts w:hint="eastAsia"/>
          <w:sz w:val="22"/>
          <w:szCs w:val="28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E5E5E5"/>
        </w:rPr>
        <w:t>几种速度都是仅仅考虑从地球平抛出去的速度，不考虑先环绕地球，再加速</w:t>
      </w:r>
    </w:p>
    <w:p w14:paraId="587F2638">
      <w:pPr>
        <w:sectPr>
          <w:pgSz w:w="11906" w:h="16838"/>
          <w:pgMar w:top="720" w:right="720" w:bottom="720" w:left="720" w:header="851" w:footer="992" w:gutter="0"/>
          <w:pgNumType w:fmt="decimal"/>
          <w:cols w:space="425" w:num="1"/>
          <w:docGrid w:type="lines" w:linePitch="312" w:charSpace="0"/>
        </w:sectPr>
      </w:pPr>
    </w:p>
    <w:p w14:paraId="48843323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一、光电效应</w:t>
      </w:r>
    </w:p>
    <w:p w14:paraId="74AB2F6B"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基本规律</w:t>
      </w:r>
    </w:p>
    <w:p w14:paraId="77B74795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截止频率（极限频率）</w:t>
      </w:r>
      <w:r>
        <w:rPr>
          <w:sz w:val="22"/>
          <w:szCs w:val="28"/>
        </w:rPr>
        <w:t>：</w:t>
      </w:r>
      <w:r>
        <w:rPr>
          <w:sz w:val="22"/>
          <w:szCs w:val="28"/>
        </w:rPr>
        <w:drawing>
          <wp:inline distT="0" distB="0" distL="0" distR="0">
            <wp:extent cx="638175" cy="323850"/>
            <wp:effectExtent l="0" t="0" r="9525" b="0"/>
            <wp:docPr id="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，只有入射光频率 </w:t>
      </w:r>
      <w:r>
        <w:rPr>
          <w:sz w:val="22"/>
          <w:szCs w:val="28"/>
        </w:rPr>
        <w:drawing>
          <wp:inline distT="0" distB="0" distL="0" distR="0">
            <wp:extent cx="514350" cy="142875"/>
            <wp:effectExtent l="0" t="0" r="0" b="9525"/>
            <wp:docPr id="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escript"/>
                    <pic:cNvPicPr/>
                  </pic:nvPicPr>
                  <pic:blipFill>
                    <a:blip r:embed="rId78">
                      <a:extLs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时才能产生光电流。</w:t>
      </w:r>
    </w:p>
    <w:p w14:paraId="4FA2F663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遏止电压公式</w:t>
      </w:r>
      <w:r>
        <w:rPr>
          <w:sz w:val="22"/>
          <w:szCs w:val="28"/>
        </w:rPr>
        <w:t>：</w:t>
      </w:r>
      <w:r>
        <w:rPr>
          <w:sz w:val="22"/>
          <w:szCs w:val="28"/>
        </w:rPr>
        <w:drawing>
          <wp:inline distT="0" distB="0" distL="0" distR="0">
            <wp:extent cx="1200150" cy="152400"/>
            <wp:effectExtent l="0" t="0" r="0" b="0"/>
            <wp:docPr id="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>
                    <a:blip r:embed="rId80">
                      <a:extLs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，即 </w:t>
      </w:r>
      <w:r>
        <w:rPr>
          <w:sz w:val="22"/>
          <w:szCs w:val="28"/>
        </w:rPr>
        <w:drawing>
          <wp:inline distT="0" distB="0" distL="0" distR="0">
            <wp:extent cx="1076325" cy="323850"/>
            <wp:effectExtent l="0" t="0" r="9525" b="0"/>
            <wp:docPr id="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descript"/>
                    <pic:cNvPicPr/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。</w:t>
      </w:r>
    </w:p>
    <w:p w14:paraId="1DCB8BEC"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光电流与光强关系</w:t>
      </w:r>
      <w:r>
        <w:rPr>
          <w:sz w:val="22"/>
          <w:szCs w:val="28"/>
        </w:rPr>
        <w:t>：频率一定时，光强越大，饱和光电流越大（光子数多→光电子多）。</w:t>
      </w:r>
    </w:p>
    <w:p w14:paraId="63B9CCB5"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实验图像分析</w:t>
      </w:r>
    </w:p>
    <w:p w14:paraId="7A1EF5CD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457200" cy="142875"/>
            <wp:effectExtent l="0" t="0" r="0" b="9525"/>
            <wp:docPr id="1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>
                    <a:blip r:embed="rId84">
                      <a:extLs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  <w:szCs w:val="28"/>
        </w:rPr>
        <w:t xml:space="preserve"> 图像</w:t>
      </w:r>
      <w:r>
        <w:rPr>
          <w:sz w:val="22"/>
          <w:szCs w:val="28"/>
        </w:rPr>
        <w:t xml:space="preserve">：显示光电流随电压的变化，饱和光电流 </w:t>
      </w:r>
      <w:r>
        <w:rPr>
          <w:sz w:val="22"/>
          <w:szCs w:val="28"/>
        </w:rPr>
        <w:drawing>
          <wp:inline distT="0" distB="0" distL="0" distR="0">
            <wp:extent cx="209550" cy="152400"/>
            <wp:effectExtent l="0" t="0" r="0" b="0"/>
            <wp:docPr id="1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descript"/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由光强决定，遏止电压 </w:t>
      </w:r>
      <w:r>
        <w:rPr>
          <w:sz w:val="22"/>
          <w:szCs w:val="28"/>
        </w:rPr>
        <w:drawing>
          <wp:inline distT="0" distB="0" distL="0" distR="0">
            <wp:extent cx="200025" cy="152400"/>
            <wp:effectExtent l="0" t="0" r="9525" b="0"/>
            <wp:docPr id="1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>
                    <a:blip r:embed="rId88">
                      <a:extLs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由频率决定。</w:t>
      </w:r>
    </w:p>
    <w:p w14:paraId="11E5DF9A"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533400" cy="152400"/>
            <wp:effectExtent l="0" t="0" r="0" b="0"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descript"/>
                    <pic:cNvPicPr/>
                  </pic:nvPicPr>
                  <pic:blipFill>
                    <a:blip r:embed="rId90">
                      <a:extLs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  <w:szCs w:val="28"/>
        </w:rPr>
        <w:t xml:space="preserve"> 图像</w:t>
      </w:r>
      <w:r>
        <w:rPr>
          <w:sz w:val="22"/>
          <w:szCs w:val="28"/>
        </w:rPr>
        <w:t xml:space="preserve">：直线斜率等于普朗克常量 </w:t>
      </w:r>
      <w:r>
        <w:rPr>
          <w:sz w:val="22"/>
          <w:szCs w:val="28"/>
        </w:rPr>
        <w:drawing>
          <wp:inline distT="0" distB="0" distL="0" distR="0">
            <wp:extent cx="104775" cy="133350"/>
            <wp:effectExtent l="0" t="0" r="9525" b="0"/>
            <wp:docPr id="1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>
                    <a:blip r:embed="rId92">
                      <a:extLst>
                        <a:ext uri="{96DAC541-7B7A-43D3-8B79-37D633B846F1}">
                          <asvg:svgBlip xmlns:asvg="http://schemas.microsoft.com/office/drawing/2016/SVG/main" r:embed="rId9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，横轴截距为截止频率 </w:t>
      </w:r>
      <w:r>
        <w:rPr>
          <w:sz w:val="22"/>
          <w:szCs w:val="28"/>
        </w:rPr>
        <w:drawing>
          <wp:inline distT="0" distB="0" distL="0" distR="0">
            <wp:extent cx="171450" cy="114300"/>
            <wp:effectExtent l="0" t="0" r="0" b="0"/>
            <wp:docPr id="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descript"/>
                    <pic:cNvPicPr/>
                  </pic:nvPicPr>
                  <pic:blipFill>
                    <a:blip r:embed="rId94">
                      <a:extLs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。</w:t>
      </w:r>
    </w:p>
    <w:p w14:paraId="742D3190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6881EE76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二、原子物理与核反应</w:t>
      </w:r>
    </w:p>
    <w:p w14:paraId="78F3A20A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原子核组成</w:t>
      </w:r>
    </w:p>
    <w:p w14:paraId="57BF9615"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质子（</w:t>
      </w:r>
      <w:r>
        <w:rPr>
          <w:sz w:val="22"/>
          <w:szCs w:val="28"/>
        </w:rPr>
        <w:drawing>
          <wp:inline distT="0" distB="0" distL="0" distR="0">
            <wp:extent cx="219075" cy="209550"/>
            <wp:effectExtent l="0" t="0" r="9525" b="0"/>
            <wp:docPr id="2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>
                    <a:blip r:embed="rId96">
                      <a:extLst>
                        <a:ext uri="{96DAC541-7B7A-43D3-8B79-37D633B846F1}">
                          <asvg:svgBlip xmlns:asvg="http://schemas.microsoft.com/office/drawing/2016/SVG/main" r:embed="rId9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）、中子（</w:t>
      </w:r>
      <w:r>
        <w:rPr>
          <w:sz w:val="22"/>
          <w:szCs w:val="28"/>
        </w:rPr>
        <w:drawing>
          <wp:inline distT="0" distB="0" distL="0" distR="0">
            <wp:extent cx="180975" cy="209550"/>
            <wp:effectExtent l="0" t="0" r="9525" b="0"/>
            <wp:docPr id="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descript"/>
                    <pic:cNvPicPr/>
                  </pic:nvPicPr>
                  <pic:blipFill>
                    <a:blip r:embed="rId98">
                      <a:extLs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）、电子（</w:t>
      </w:r>
      <w:r>
        <w:rPr>
          <w:sz w:val="22"/>
          <w:szCs w:val="28"/>
        </w:rPr>
        <w:drawing>
          <wp:inline distT="0" distB="0" distL="0" distR="0">
            <wp:extent cx="257175" cy="219075"/>
            <wp:effectExtent l="0" t="0" r="9525" b="9525"/>
            <wp:docPr id="2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descript"/>
                    <pic:cNvPicPr/>
                  </pic:nvPicPr>
                  <pic:blipFill>
                    <a:blip r:embed="rId100">
                      <a:extLs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），质量数 </w:t>
      </w:r>
      <w:r>
        <w:rPr>
          <w:sz w:val="22"/>
          <w:szCs w:val="28"/>
        </w:rPr>
        <w:drawing>
          <wp:inline distT="0" distB="0" distL="0" distR="0">
            <wp:extent cx="895350" cy="142875"/>
            <wp:effectExtent l="0" t="0" r="0" b="9525"/>
            <wp:docPr id="2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descript"/>
                    <pic:cNvPicPr/>
                  </pic:nvPicPr>
                  <pic:blipFill>
                    <a:blip r:embed="rId102">
                      <a:extLst>
                        <a:ext uri="{96DAC541-7B7A-43D3-8B79-37D633B846F1}">
                          <asvg:svgBlip xmlns:asvg="http://schemas.microsoft.com/office/drawing/2016/SVG/main" r:embed="rId10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（</w:t>
      </w:r>
      <w:r>
        <w:rPr>
          <w:sz w:val="22"/>
          <w:szCs w:val="28"/>
        </w:rPr>
        <w:drawing>
          <wp:inline distT="0" distB="0" distL="0" distR="0">
            <wp:extent cx="133350" cy="123825"/>
            <wp:effectExtent l="0" t="0" r="0" b="9525"/>
            <wp:docPr id="2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descript"/>
                    <pic:cNvPicPr/>
                  </pic:nvPicPr>
                  <pic:blipFill>
                    <a:blip r:embed="rId104">
                      <a:extLst>
                        <a:ext uri="{96DAC541-7B7A-43D3-8B79-37D633B846F1}">
                          <asvg:svgBlip xmlns:asvg="http://schemas.microsoft.com/office/drawing/2016/SVG/main" r:embed="rId10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: 质子数，</w:t>
      </w:r>
      <w:r>
        <w:rPr>
          <w:sz w:val="22"/>
          <w:szCs w:val="28"/>
        </w:rPr>
        <w:drawing>
          <wp:inline distT="0" distB="0" distL="0" distR="0">
            <wp:extent cx="161925" cy="123825"/>
            <wp:effectExtent l="0" t="0" r="9525" b="9525"/>
            <wp:docPr id="2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escript"/>
                    <pic:cNvPicPr/>
                  </pic:nvPicPr>
                  <pic:blipFill>
                    <a:blip r:embed="rId106">
                      <a:extLs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: 中子数）。</w:t>
      </w:r>
    </w:p>
    <w:p w14:paraId="5895A6E4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核反应方程书写规则</w:t>
      </w:r>
    </w:p>
    <w:p w14:paraId="1AF3FA4B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守恒量</w:t>
      </w:r>
      <w:r>
        <w:rPr>
          <w:sz w:val="22"/>
          <w:szCs w:val="28"/>
        </w:rPr>
        <w:t>：质量数守恒、电荷数守恒。</w:t>
      </w:r>
    </w:p>
    <w:p w14:paraId="37DBA379">
      <w:pPr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衰变类型</w:t>
      </w:r>
      <w:r>
        <w:rPr>
          <w:sz w:val="22"/>
          <w:szCs w:val="28"/>
        </w:rPr>
        <w:t>：</w:t>
      </w:r>
    </w:p>
    <w:p w14:paraId="7982F199">
      <w:pPr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α衰变</w:t>
      </w:r>
      <w:r>
        <w:rPr>
          <w:sz w:val="22"/>
          <w:szCs w:val="28"/>
        </w:rPr>
        <w:t xml:space="preserve">：释放 </w:t>
      </w:r>
      <w:r>
        <w:rPr>
          <w:sz w:val="22"/>
          <w:szCs w:val="28"/>
        </w:rPr>
        <w:drawing>
          <wp:inline distT="0" distB="0" distL="0" distR="0">
            <wp:extent cx="295275" cy="209550"/>
            <wp:effectExtent l="0" t="0" r="9525" b="0"/>
            <wp:docPr id="3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escript"/>
                    <pic:cNvPicPr/>
                  </pic:nvPicPr>
                  <pic:blipFill>
                    <a:blip r:embed="rId108">
                      <a:extLs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（质量数-4，电荷数-2）。</w:t>
      </w:r>
    </w:p>
    <w:p w14:paraId="53F916CF">
      <w:pPr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β⁻衰变</w:t>
      </w:r>
      <w:r>
        <w:rPr>
          <w:sz w:val="22"/>
          <w:szCs w:val="28"/>
        </w:rPr>
        <w:t xml:space="preserve">：中子→质子，释放 </w:t>
      </w:r>
      <w:r>
        <w:rPr>
          <w:sz w:val="22"/>
          <w:szCs w:val="28"/>
        </w:rPr>
        <w:drawing>
          <wp:inline distT="0" distB="0" distL="0" distR="0">
            <wp:extent cx="257175" cy="219075"/>
            <wp:effectExtent l="0" t="0" r="9525" b="9525"/>
            <wp:docPr id="5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descript"/>
                    <pic:cNvPicPr/>
                  </pic:nvPicPr>
                  <pic:blipFill>
                    <a:blip r:embed="rId100">
                      <a:extLs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（电荷数+1）。</w:t>
      </w:r>
    </w:p>
    <w:p w14:paraId="4B173F46">
      <w:pPr>
        <w:pageBreakBefore w:val="0"/>
        <w:widowControl w:val="0"/>
        <w:numPr>
          <w:ilvl w:val="1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γ衰变</w:t>
      </w:r>
      <w:r>
        <w:rPr>
          <w:sz w:val="22"/>
          <w:szCs w:val="28"/>
        </w:rPr>
        <w:t>：不改变质量数和电荷数，仅释放能量。</w:t>
      </w:r>
    </w:p>
    <w:p w14:paraId="6401A6FD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半衰期</w:t>
      </w:r>
    </w:p>
    <w:p w14:paraId="4AB0018F"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公式：</w:t>
      </w:r>
      <w:r>
        <w:rPr>
          <w:sz w:val="22"/>
          <w:szCs w:val="28"/>
        </w:rPr>
        <w:drawing>
          <wp:inline distT="0" distB="0" distL="0" distR="0">
            <wp:extent cx="857250" cy="323850"/>
            <wp:effectExtent l="0" t="0" r="0" b="0"/>
            <wp:docPr id="5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descript"/>
                    <pic:cNvPicPr/>
                  </pic:nvPicPr>
                  <pic:blipFill>
                    <a:blip r:embed="rId110">
                      <a:extLs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，</w:t>
      </w:r>
      <w:r>
        <w:rPr>
          <w:sz w:val="22"/>
          <w:szCs w:val="28"/>
        </w:rPr>
        <w:drawing>
          <wp:inline distT="0" distB="0" distL="0" distR="0">
            <wp:extent cx="133350" cy="123825"/>
            <wp:effectExtent l="0" t="0" r="0" b="9525"/>
            <wp:docPr id="5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descript"/>
                    <pic:cNvPicPr/>
                  </pic:nvPicPr>
                  <pic:blipFill>
                    <a:blip r:embed="rId112">
                      <a:extLst>
                        <a:ext uri="{96DAC541-7B7A-43D3-8B79-37D633B846F1}">
                          <asvg:svgBlip xmlns:asvg="http://schemas.microsoft.com/office/drawing/2016/SVG/main" r:embed="rId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为半衰期，与外界条件无关。</w:t>
      </w:r>
    </w:p>
    <w:p w14:paraId="757754CA"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比结合能</w:t>
      </w:r>
    </w:p>
    <w:p w14:paraId="09ED3D1E">
      <w:pPr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定义：原子核总结合能 / 核子数，比结合能越大，原子核越稳定（如铁-56最稳定）。</w:t>
      </w:r>
    </w:p>
    <w:p w14:paraId="556B2F34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1F720199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三、单摆与LC振荡电路</w:t>
      </w:r>
    </w:p>
    <w:p w14:paraId="5221020D"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单摆周期公式</w:t>
      </w:r>
    </w:p>
    <w:p w14:paraId="3EDA0F83"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0" distR="0">
            <wp:extent cx="552450" cy="323850"/>
            <wp:effectExtent l="0" t="0" r="0" b="0"/>
            <wp:docPr id="6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descript"/>
                    <pic:cNvPicPr/>
                  </pic:nvPicPr>
                  <pic:blipFill>
                    <a:blip r:embed="rId114">
                      <a:extLst>
                        <a:ext uri="{96DAC541-7B7A-43D3-8B79-37D633B846F1}">
                          <asvg:svgBlip xmlns:asvg="http://schemas.microsoft.com/office/drawing/2016/SVG/main" r:embed="rId1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，适用条件：摆角 &lt; 10°，摆长 </w:t>
      </w:r>
      <w:r>
        <w:rPr>
          <w:sz w:val="22"/>
          <w:szCs w:val="28"/>
        </w:rPr>
        <w:drawing>
          <wp:inline distT="0" distB="0" distL="0" distR="0">
            <wp:extent cx="123825" cy="123825"/>
            <wp:effectExtent l="0" t="0" r="9525" b="9525"/>
            <wp:docPr id="6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descript"/>
                    <pic:cNvPicPr/>
                  </pic:nvPicPr>
                  <pic:blipFill>
                    <a:blip r:embed="rId116">
                      <a:extLs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为悬点到摆球质心的距离。</w:t>
      </w:r>
    </w:p>
    <w:p w14:paraId="21755A23"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等效重力加速度</w:t>
      </w:r>
      <w:r>
        <w:rPr>
          <w:sz w:val="22"/>
          <w:szCs w:val="28"/>
        </w:rPr>
        <w:t xml:space="preserve">：在加速参考系中 </w:t>
      </w:r>
      <w:r>
        <w:rPr>
          <w:sz w:val="22"/>
          <w:szCs w:val="28"/>
        </w:rPr>
        <w:drawing>
          <wp:inline distT="0" distB="0" distL="0" distR="0">
            <wp:extent cx="790575" cy="180975"/>
            <wp:effectExtent l="0" t="0" r="9525" b="9525"/>
            <wp:docPr id="6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descript"/>
                    <pic:cNvPicPr/>
                  </pic:nvPicPr>
                  <pic:blipFill>
                    <a:blip r:embed="rId118">
                      <a:extLst>
                        <a:ext uri="{96DAC541-7B7A-43D3-8B79-37D633B846F1}">
                          <asvg:svgBlip xmlns:asvg="http://schemas.microsoft.com/office/drawing/2016/SVG/main" r:embed="rId1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（如电梯加速上升时 </w:t>
      </w:r>
      <w:r>
        <w:rPr>
          <w:sz w:val="22"/>
          <w:szCs w:val="28"/>
        </w:rPr>
        <w:drawing>
          <wp:inline distT="0" distB="0" distL="0" distR="0">
            <wp:extent cx="790575" cy="180975"/>
            <wp:effectExtent l="0" t="0" r="9525" b="9525"/>
            <wp:docPr id="6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descript"/>
                    <pic:cNvPicPr/>
                  </pic:nvPicPr>
                  <pic:blipFill>
                    <a:blip r:embed="rId120">
                      <a:extLs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）。</w:t>
      </w:r>
    </w:p>
    <w:p w14:paraId="035E3945"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LC振荡电路</w:t>
      </w:r>
    </w:p>
    <w:p w14:paraId="644F8CC0"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周期公式</w:t>
      </w:r>
      <w:r>
        <w:rPr>
          <w:sz w:val="22"/>
          <w:szCs w:val="28"/>
        </w:rPr>
        <w:t>：</w:t>
      </w:r>
      <w:r>
        <w:rPr>
          <w:sz w:val="22"/>
          <w:szCs w:val="28"/>
        </w:rPr>
        <w:drawing>
          <wp:inline distT="0" distB="0" distL="0" distR="0">
            <wp:extent cx="990600" cy="200025"/>
            <wp:effectExtent l="0" t="0" r="0" b="9525"/>
            <wp:docPr id="6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descript"/>
                    <pic:cNvPicPr/>
                  </pic:nvPicPr>
                  <pic:blipFill>
                    <a:blip r:embed="rId122">
                      <a:extLs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，频率 </w:t>
      </w:r>
      <w:r>
        <w:rPr>
          <w:sz w:val="22"/>
          <w:szCs w:val="28"/>
        </w:rPr>
        <w:drawing>
          <wp:inline distT="0" distB="0" distL="0" distR="0">
            <wp:extent cx="781050" cy="323850"/>
            <wp:effectExtent l="0" t="0" r="0" b="0"/>
            <wp:docPr id="6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escript"/>
                    <pic:cNvPicPr/>
                  </pic:nvPicPr>
                  <pic:blipFill>
                    <a:blip r:embed="rId124">
                      <a:extLst>
                        <a:ext uri="{96DAC541-7B7A-43D3-8B79-37D633B846F1}">
                          <asvg:svgBlip xmlns:asvg="http://schemas.microsoft.com/office/drawing/2016/SVG/main" r:embed="rId1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。</w:t>
      </w:r>
    </w:p>
    <w:p w14:paraId="4A232EF2">
      <w:pPr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能量转换</w:t>
      </w:r>
      <w:r>
        <w:rPr>
          <w:sz w:val="22"/>
          <w:szCs w:val="28"/>
        </w:rPr>
        <w:t>：电场能（电容器）与磁场能（电感器）周期性转换，无电阻时能量守恒。</w:t>
      </w:r>
    </w:p>
    <w:p w14:paraId="1F05D924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51DAFF63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b/>
          <w:sz w:val="32"/>
          <w:szCs w:val="28"/>
        </w:rPr>
        <w:sectPr>
          <w:pgSz w:w="11906" w:h="16838"/>
          <w:pgMar w:top="720" w:right="720" w:bottom="720" w:left="720" w:header="851" w:footer="992" w:gutter="0"/>
          <w:pgNumType w:fmt="decimal"/>
          <w:cols w:space="0" w:num="1"/>
          <w:docGrid w:type="lines" w:linePitch="387" w:charSpace="0"/>
        </w:sectPr>
      </w:pPr>
    </w:p>
    <w:p w14:paraId="3F7FB881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四、波动光学</w:t>
      </w:r>
    </w:p>
    <w:p w14:paraId="4D1AF6B2"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干涉与衍射对比</w:t>
      </w:r>
    </w:p>
    <w:tbl>
      <w:tblPr>
        <w:tblStyle w:val="6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800"/>
        <w:gridCol w:w="1800"/>
      </w:tblGrid>
      <w:tr w14:paraId="76D5E64B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43E922F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特征</w:t>
            </w:r>
          </w:p>
        </w:tc>
        <w:tc>
          <w:tcPr>
            <w:tcW w:w="1800" w:type="dxa"/>
            <w:vAlign w:val="center"/>
          </w:tcPr>
          <w:p w14:paraId="38A5652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双缝干涉</w:t>
            </w:r>
          </w:p>
        </w:tc>
        <w:tc>
          <w:tcPr>
            <w:tcW w:w="1800" w:type="dxa"/>
            <w:vAlign w:val="center"/>
          </w:tcPr>
          <w:p w14:paraId="3325568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单缝衍射</w:t>
            </w:r>
          </w:p>
        </w:tc>
      </w:tr>
      <w:tr w14:paraId="6325A004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8E0CF37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条纹间距</w:t>
            </w:r>
          </w:p>
        </w:tc>
        <w:tc>
          <w:tcPr>
            <w:tcW w:w="1800" w:type="dxa"/>
            <w:vAlign w:val="center"/>
          </w:tcPr>
          <w:p w14:paraId="793EDAA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等间距（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695325" cy="323850"/>
                  <wp:effectExtent l="0" t="0" r="9525" b="0"/>
                  <wp:docPr id="69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 descr="descript"/>
                          <pic:cNvPicPr/>
                        </pic:nvPicPr>
                        <pic:blipFill>
                          <a:blip r:embed="rId126">
                            <a:extLst>
                              <a:ext uri="{96DAC541-7B7A-43D3-8B79-37D633B846F1}">
                                <asvg:svgBlip xmlns:asvg="http://schemas.microsoft.com/office/drawing/2016/SVG/main" r:embed="rId1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）</w:t>
            </w:r>
          </w:p>
        </w:tc>
        <w:tc>
          <w:tcPr>
            <w:tcW w:w="1800" w:type="dxa"/>
            <w:vAlign w:val="center"/>
          </w:tcPr>
          <w:p w14:paraId="4D9CAC1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中央明纹最宽，两侧渐暗且间距不等</w:t>
            </w:r>
          </w:p>
        </w:tc>
      </w:tr>
      <w:tr w14:paraId="4AD06E94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1349365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物理本质</w:t>
            </w:r>
          </w:p>
        </w:tc>
        <w:tc>
          <w:tcPr>
            <w:tcW w:w="1800" w:type="dxa"/>
            <w:vAlign w:val="center"/>
          </w:tcPr>
          <w:p w14:paraId="5D8A8802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双缝光波叠加</w:t>
            </w:r>
          </w:p>
        </w:tc>
        <w:tc>
          <w:tcPr>
            <w:tcW w:w="1800" w:type="dxa"/>
            <w:vAlign w:val="center"/>
          </w:tcPr>
          <w:p w14:paraId="06D7A5F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单缝次级子波干涉</w:t>
            </w:r>
          </w:p>
        </w:tc>
      </w:tr>
    </w:tbl>
    <w:p w14:paraId="6E4D389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5EF474BF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单缝衍射波长越大，条纹间隔越大</w:t>
      </w:r>
    </w:p>
    <w:p w14:paraId="7459CA0E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单缝越窄，中央条纹就越宽</w:t>
      </w:r>
    </w:p>
    <w:p w14:paraId="27B5EF47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五、放射性应用与防护</w:t>
      </w:r>
    </w:p>
    <w:p w14:paraId="4E37E045"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射线种类与性质</w:t>
      </w:r>
    </w:p>
    <w:tbl>
      <w:tblPr>
        <w:tblStyle w:val="6"/>
        <w:tblW w:w="0" w:type="auto"/>
        <w:tblInd w:w="0" w:type="dxa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800"/>
        <w:gridCol w:w="1800"/>
        <w:gridCol w:w="1800"/>
      </w:tblGrid>
      <w:tr w14:paraId="19892DD9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2BA265F0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射线</w:t>
            </w:r>
          </w:p>
        </w:tc>
        <w:tc>
          <w:tcPr>
            <w:tcW w:w="1800" w:type="dxa"/>
            <w:vAlign w:val="center"/>
          </w:tcPr>
          <w:p w14:paraId="14A8F15A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组成</w:t>
            </w:r>
          </w:p>
        </w:tc>
        <w:tc>
          <w:tcPr>
            <w:tcW w:w="1800" w:type="dxa"/>
            <w:vAlign w:val="center"/>
          </w:tcPr>
          <w:p w14:paraId="14EF1B72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电离能力</w:t>
            </w:r>
          </w:p>
        </w:tc>
        <w:tc>
          <w:tcPr>
            <w:tcW w:w="1800" w:type="dxa"/>
            <w:vAlign w:val="center"/>
          </w:tcPr>
          <w:p w14:paraId="1CC60FB5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穿透能力</w:t>
            </w:r>
          </w:p>
        </w:tc>
      </w:tr>
      <w:tr w14:paraId="7D7A643B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111F3A9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α射线</w:t>
            </w:r>
          </w:p>
        </w:tc>
        <w:tc>
          <w:tcPr>
            <w:tcW w:w="1800" w:type="dxa"/>
            <w:vAlign w:val="center"/>
          </w:tcPr>
          <w:p w14:paraId="41DC9DA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氦核（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295275" cy="209550"/>
                  <wp:effectExtent l="0" t="0" r="9525" b="0"/>
                  <wp:docPr id="70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 descr="descript"/>
                          <pic:cNvPicPr/>
                        </pic:nvPicPr>
                        <pic:blipFill>
                          <a:blip r:embed="rId108">
                            <a:extLst>
                              <a:ext uri="{96DAC541-7B7A-43D3-8B79-37D633B846F1}">
                                <asvg:svgBlip xmlns:asvg="http://schemas.microsoft.com/office/drawing/2016/SVG/main" r:embed="rId10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）</w:t>
            </w:r>
          </w:p>
        </w:tc>
        <w:tc>
          <w:tcPr>
            <w:tcW w:w="1800" w:type="dxa"/>
            <w:vAlign w:val="center"/>
          </w:tcPr>
          <w:p w14:paraId="10822ED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最强</w:t>
            </w:r>
          </w:p>
        </w:tc>
        <w:tc>
          <w:tcPr>
            <w:tcW w:w="1800" w:type="dxa"/>
            <w:vAlign w:val="center"/>
          </w:tcPr>
          <w:p w14:paraId="4041067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最弱（纸张可挡）</w:t>
            </w:r>
          </w:p>
        </w:tc>
      </w:tr>
      <w:tr w14:paraId="09124EAB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4D529884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β射线</w:t>
            </w:r>
          </w:p>
        </w:tc>
        <w:tc>
          <w:tcPr>
            <w:tcW w:w="1800" w:type="dxa"/>
            <w:vAlign w:val="center"/>
          </w:tcPr>
          <w:p w14:paraId="2E21916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电子（</w:t>
            </w:r>
            <w:r>
              <w:rPr>
                <w:sz w:val="22"/>
                <w:szCs w:val="28"/>
              </w:rPr>
              <w:drawing>
                <wp:inline distT="0" distB="0" distL="0" distR="0">
                  <wp:extent cx="257175" cy="219075"/>
                  <wp:effectExtent l="0" t="0" r="9525" b="9525"/>
                  <wp:docPr id="72" name="picture" descr="descrip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 descr="descript"/>
                          <pic:cNvPicPr/>
                        </pic:nvPicPr>
                        <pic:blipFill>
                          <a:blip r:embed="rId100">
                            <a:extLst>
                              <a:ext uri="{96DAC541-7B7A-43D3-8B79-37D633B846F1}">
                                <asvg:svgBlip xmlns:asvg="http://schemas.microsoft.com/office/drawing/2016/SVG/main" r:embe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8"/>
              </w:rPr>
              <w:t>）</w:t>
            </w:r>
          </w:p>
        </w:tc>
        <w:tc>
          <w:tcPr>
            <w:tcW w:w="1800" w:type="dxa"/>
            <w:vAlign w:val="center"/>
          </w:tcPr>
          <w:p w14:paraId="5AED7543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中等</w:t>
            </w:r>
          </w:p>
        </w:tc>
        <w:tc>
          <w:tcPr>
            <w:tcW w:w="1800" w:type="dxa"/>
            <w:vAlign w:val="center"/>
          </w:tcPr>
          <w:p w14:paraId="7B77E688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中等（铝板可挡）</w:t>
            </w:r>
          </w:p>
        </w:tc>
      </w:tr>
      <w:tr w14:paraId="356D0802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vAlign w:val="center"/>
          </w:tcPr>
          <w:p w14:paraId="0CD3A951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γ射线</w:t>
            </w:r>
          </w:p>
        </w:tc>
        <w:tc>
          <w:tcPr>
            <w:tcW w:w="1800" w:type="dxa"/>
            <w:vAlign w:val="center"/>
          </w:tcPr>
          <w:p w14:paraId="73A26E3A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高能光子</w:t>
            </w:r>
          </w:p>
        </w:tc>
        <w:tc>
          <w:tcPr>
            <w:tcW w:w="1800" w:type="dxa"/>
            <w:vAlign w:val="center"/>
          </w:tcPr>
          <w:p w14:paraId="2E2B761C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最弱</w:t>
            </w:r>
          </w:p>
        </w:tc>
        <w:tc>
          <w:tcPr>
            <w:tcW w:w="1800" w:type="dxa"/>
            <w:vAlign w:val="center"/>
          </w:tcPr>
          <w:p w14:paraId="06928E66"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textAlignment w:val="auto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最强（需铅屏蔽）</w:t>
            </w:r>
          </w:p>
        </w:tc>
      </w:tr>
    </w:tbl>
    <w:p w14:paraId="42A6B024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7C99AF53"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应用实例</w:t>
      </w:r>
    </w:p>
    <w:p w14:paraId="416C93C5"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探伤</w:t>
      </w:r>
      <w:r>
        <w:rPr>
          <w:sz w:val="22"/>
          <w:szCs w:val="28"/>
        </w:rPr>
        <w:t>：γ射线检测金属内部缺陷。</w:t>
      </w:r>
    </w:p>
    <w:p w14:paraId="5832F210">
      <w:pPr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示踪原子</w:t>
      </w:r>
      <w:r>
        <w:rPr>
          <w:sz w:val="22"/>
          <w:szCs w:val="28"/>
        </w:rPr>
        <w:t>：利用放射性同位素追踪物质迁移（如磷肥吸收研究）。</w:t>
      </w:r>
    </w:p>
    <w:p w14:paraId="7756CB7B">
      <w:pPr>
        <w:pageBreakBefore w:val="0"/>
        <w:widowControl w:val="0"/>
        <w:pBdr>
          <w:bottom w:val="single" w:color="020201" w:sz="4" w:space="0"/>
        </w:pBd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</w:p>
    <w:p w14:paraId="13CF9E3B"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32"/>
          <w:szCs w:val="28"/>
        </w:rPr>
      </w:pPr>
      <w:r>
        <w:rPr>
          <w:b/>
          <w:sz w:val="32"/>
          <w:szCs w:val="28"/>
        </w:rPr>
        <w:t>六、实验高频考点</w:t>
      </w:r>
    </w:p>
    <w:p w14:paraId="0A5A85C3"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用单摆测重力加速度</w:t>
      </w:r>
    </w:p>
    <w:p w14:paraId="2CB0897B"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 xml:space="preserve">步骤：测量摆长 </w:t>
      </w:r>
      <w:r>
        <w:rPr>
          <w:sz w:val="22"/>
          <w:szCs w:val="28"/>
        </w:rPr>
        <w:drawing>
          <wp:inline distT="0" distB="0" distL="0" distR="0">
            <wp:extent cx="123825" cy="123825"/>
            <wp:effectExtent l="0" t="0" r="9525" b="9525"/>
            <wp:docPr id="7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escript"/>
                    <pic:cNvPicPr/>
                  </pic:nvPicPr>
                  <pic:blipFill>
                    <a:blip r:embed="rId116">
                      <a:extLs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、周期 </w:t>
      </w:r>
      <w:r>
        <w:rPr>
          <w:sz w:val="22"/>
          <w:szCs w:val="28"/>
        </w:rPr>
        <w:drawing>
          <wp:inline distT="0" distB="0" distL="0" distR="0">
            <wp:extent cx="133350" cy="123825"/>
            <wp:effectExtent l="0" t="0" r="0" b="9525"/>
            <wp:docPr id="7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descript"/>
                    <pic:cNvPicPr/>
                  </pic:nvPicPr>
                  <pic:blipFill>
                    <a:blip r:embed="rId128">
                      <a:extLst>
                        <a:ext uri="{96DAC541-7B7A-43D3-8B79-37D633B846F1}">
                          <asvg:svgBlip xmlns:asvg="http://schemas.microsoft.com/office/drawing/2016/SVG/main" r:embed="rId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，计算 </w:t>
      </w:r>
      <w:r>
        <w:rPr>
          <w:sz w:val="22"/>
          <w:szCs w:val="28"/>
        </w:rPr>
        <w:drawing>
          <wp:inline distT="0" distB="0" distL="0" distR="0">
            <wp:extent cx="647700" cy="323850"/>
            <wp:effectExtent l="0" t="0" r="0" b="0"/>
            <wp:docPr id="7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descript"/>
                    <pic:cNvPicPr/>
                  </pic:nvPicPr>
                  <pic:blipFill>
                    <a:blip r:embed="rId129">
                      <a:extLst>
                        <a:ext uri="{96DAC541-7B7A-43D3-8B79-37D633B846F1}">
                          <asvg:svgBlip xmlns:asvg="http://schemas.microsoft.com/office/drawing/2016/SVG/main" r:embed="rId1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>。</w:t>
      </w:r>
    </w:p>
    <w:p w14:paraId="5391FA5A">
      <w:pPr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>误差分析：摆角过大、摆长测量误差（需从悬点到摆球质心）。</w:t>
      </w:r>
    </w:p>
    <w:p w14:paraId="4517AA9D">
      <w:pPr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b/>
          <w:sz w:val="22"/>
          <w:szCs w:val="28"/>
        </w:rPr>
        <w:t>光电效应实验</w:t>
      </w:r>
    </w:p>
    <w:p w14:paraId="4A9E6493">
      <w:pPr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sz w:val="22"/>
          <w:szCs w:val="28"/>
        </w:rPr>
      </w:pPr>
      <w:r>
        <w:rPr>
          <w:sz w:val="22"/>
          <w:szCs w:val="28"/>
        </w:rPr>
        <w:t xml:space="preserve">验证 </w:t>
      </w:r>
      <w:r>
        <w:rPr>
          <w:sz w:val="22"/>
          <w:szCs w:val="28"/>
        </w:rPr>
        <w:drawing>
          <wp:inline distT="0" distB="0" distL="0" distR="0">
            <wp:extent cx="514350" cy="152400"/>
            <wp:effectExtent l="0" t="0" r="0" b="0"/>
            <wp:docPr id="7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descript"/>
                    <pic:cNvPicPr/>
                  </pic:nvPicPr>
                  <pic:blipFill>
                    <a:blip r:embed="rId131">
                      <a:extLs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线性关系，求普朗克常量 </w:t>
      </w:r>
      <w:r>
        <w:rPr>
          <w:sz w:val="22"/>
          <w:szCs w:val="28"/>
        </w:rPr>
        <w:drawing>
          <wp:inline distT="0" distB="0" distL="0" distR="0">
            <wp:extent cx="104775" cy="133350"/>
            <wp:effectExtent l="0" t="0" r="9525" b="0"/>
            <wp:docPr id="7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descript"/>
                    <pic:cNvPicPr/>
                  </pic:nvPicPr>
                  <pic:blipFill>
                    <a:blip r:embed="rId133">
                      <a:extLst>
                        <a:ext uri="{96DAC541-7B7A-43D3-8B79-37D633B846F1}">
                          <asvg:svgBlip xmlns:asvg="http://schemas.microsoft.com/office/drawing/2016/SVG/main" r:embed="rId9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8"/>
        </w:rPr>
        <w:t xml:space="preserve"> 。</w:t>
      </w:r>
    </w:p>
    <w:p w14:paraId="3A271705">
      <w:pPr>
        <w:keepNext w:val="0"/>
        <w:keepLines w:val="0"/>
        <w:widowControl/>
        <w:suppressLineNumbers w:val="0"/>
        <w:spacing w:line="240" w:lineRule="auto"/>
        <w:jc w:val="left"/>
        <w:rPr>
          <w:sz w:val="22"/>
          <w:szCs w:val="28"/>
        </w:rPr>
      </w:pPr>
      <w:r>
        <w:rPr>
          <w:rFonts w:ascii="宋体" w:hAnsi="宋体" w:eastAsia="宋体" w:cs="宋体"/>
          <w:color w:val="333333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42101F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28" w:lineRule="auto"/>
        <w:jc w:val="center"/>
        <w:textAlignment w:val="auto"/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638290" cy="9395460"/>
            <wp:effectExtent l="0" t="0" r="10160" b="15240"/>
            <wp:docPr id="82" name="图片 82" descr="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default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93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626100" cy="9997440"/>
            <wp:effectExtent l="0" t="0" r="12700" b="3810"/>
            <wp:docPr id="84" name="图片 84" descr="defaul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default (1)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99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pgNumType w:fmt="decimal"/>
      <w:cols w:space="0" w:num="1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606CE0">
    <w:pPr>
      <w:pStyle w:val="3"/>
    </w:pPr>
  </w:p>
  <w:p w14:paraId="507CB373"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5" name="文本框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912D4"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O3cvAzAgAAYw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7MrSgzTqPj5x/fz&#10;z9/nX98IziBQ7cIccQ8OkbF5Zxu0zXAecJh4N6XX6QtGBH7Ie7rIK5pIeLo0m85mY7g4fMMG+NnT&#10;dedDfC+sJsnIqUf9WlnZcRtiFzqEpGzGbqRSbQ2VIXVOr99ejd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O3cv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F6912D4"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77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cs="Wingdings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8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9">
    <w:nsid w:val="0248C179"/>
    <w:multiLevelType w:val="multilevel"/>
    <w:tmpl w:val="0248C179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0">
    <w:nsid w:val="03D62ECE"/>
    <w:multiLevelType w:val="multilevel"/>
    <w:tmpl w:val="03D62ECE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1">
    <w:nsid w:val="2470EC97"/>
    <w:multiLevelType w:val="multilevel"/>
    <w:tmpl w:val="2470EC97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2">
    <w:nsid w:val="25B654F3"/>
    <w:multiLevelType w:val="multilevel"/>
    <w:tmpl w:val="25B654F3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3">
    <w:nsid w:val="2A8F537B"/>
    <w:multiLevelType w:val="multilevel"/>
    <w:tmpl w:val="2A8F537B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15">
    <w:nsid w:val="5A241D34"/>
    <w:multiLevelType w:val="multilevel"/>
    <w:tmpl w:val="5A241D34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abstractNum w:abstractNumId="16">
    <w:nsid w:val="72183CF9"/>
    <w:multiLevelType w:val="multilevel"/>
    <w:tmpl w:val="72183CF9"/>
    <w:lvl w:ilvl="0" w:tentative="0">
      <w:start w:val="1"/>
      <w:numFmt w:val="bullet"/>
      <w:lvlText w:val=""/>
      <w:lvlJc w:val="left"/>
      <w:pPr>
        <w:ind w:left="776" w:hanging="336"/>
      </w:pPr>
      <w:rPr>
        <w:rFonts w:hint="default" w:ascii="Wingdings" w:hAnsi="Wingdings" w:cs="Wingdings"/>
      </w:rPr>
    </w:lvl>
    <w:lvl w:ilvl="1" w:tentative="0">
      <w:start w:val="1"/>
      <w:numFmt w:val="bullet"/>
      <w:lvlText w:val="¡"/>
      <w:lvlJc w:val="left"/>
      <w:pPr>
        <w:ind w:left="1216" w:hanging="336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"/>
      <w:lvlJc w:val="left"/>
      <w:pPr>
        <w:ind w:left="1656" w:hanging="336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2096" w:hanging="336"/>
      </w:pPr>
      <w:rPr>
        <w:rFonts w:hint="default" w:ascii="Wingdings" w:hAnsi="Wingdings" w:cs="Wingdings"/>
      </w:rPr>
    </w:lvl>
    <w:lvl w:ilvl="4" w:tentative="0">
      <w:start w:val="1"/>
      <w:numFmt w:val="bullet"/>
      <w:lvlText w:val="¡"/>
      <w:lvlJc w:val="left"/>
      <w:pPr>
        <w:ind w:left="2536" w:hanging="336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"/>
      <w:lvlJc w:val="left"/>
      <w:pPr>
        <w:ind w:left="2976" w:hanging="336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3416" w:hanging="336"/>
      </w:pPr>
      <w:rPr>
        <w:rFonts w:hint="default" w:ascii="Wingdings" w:hAnsi="Wingdings" w:cs="Wingdings"/>
      </w:rPr>
    </w:lvl>
    <w:lvl w:ilvl="7" w:tentative="0">
      <w:start w:val="1"/>
      <w:numFmt w:val="bullet"/>
      <w:lvlText w:val="¡"/>
      <w:lvlJc w:val="left"/>
      <w:pPr>
        <w:ind w:left="3856" w:hanging="336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"/>
      <w:lvlJc w:val="left"/>
      <w:pPr>
        <w:ind w:left="4296" w:hanging="336"/>
      </w:pPr>
      <w:rPr>
        <w:rFonts w:hint="default" w:ascii="Wingdings" w:hAnsi="Wingdings" w:cs="Wingdings"/>
      </w:rPr>
    </w:lvl>
  </w:abstractNum>
  <w:num w:numId="1">
    <w:abstractNumId w:val="5"/>
  </w:num>
  <w:num w:numId="2">
    <w:abstractNumId w:val="14"/>
  </w:num>
  <w:num w:numId="3">
    <w:abstractNumId w:val="3"/>
  </w:num>
  <w:num w:numId="4">
    <w:abstractNumId w:val="2"/>
  </w:num>
  <w:num w:numId="5">
    <w:abstractNumId w:val="10"/>
  </w:num>
  <w:num w:numId="6">
    <w:abstractNumId w:val="12"/>
  </w:num>
  <w:num w:numId="7">
    <w:abstractNumId w:val="16"/>
  </w:num>
  <w:num w:numId="8">
    <w:abstractNumId w:val="9"/>
  </w:num>
  <w:num w:numId="9">
    <w:abstractNumId w:val="0"/>
  </w:num>
  <w:num w:numId="10">
    <w:abstractNumId w:val="13"/>
  </w:num>
  <w:num w:numId="11">
    <w:abstractNumId w:val="15"/>
  </w:num>
  <w:num w:numId="12">
    <w:abstractNumId w:val="4"/>
  </w:num>
  <w:num w:numId="13">
    <w:abstractNumId w:val="8"/>
  </w:num>
  <w:num w:numId="14">
    <w:abstractNumId w:val="11"/>
  </w:num>
  <w:num w:numId="15">
    <w:abstractNumId w:val="7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1E2A35"/>
    <w:rsid w:val="641A4A37"/>
    <w:rsid w:val="692D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svg"/><Relationship Id="rId98" Type="http://schemas.openxmlformats.org/officeDocument/2006/relationships/image" Target="media/image94.png"/><Relationship Id="rId97" Type="http://schemas.openxmlformats.org/officeDocument/2006/relationships/image" Target="media/image93.svg"/><Relationship Id="rId96" Type="http://schemas.openxmlformats.org/officeDocument/2006/relationships/image" Target="media/image92.png"/><Relationship Id="rId95" Type="http://schemas.openxmlformats.org/officeDocument/2006/relationships/image" Target="media/image91.svg"/><Relationship Id="rId94" Type="http://schemas.openxmlformats.org/officeDocument/2006/relationships/image" Target="media/image90.png"/><Relationship Id="rId93" Type="http://schemas.openxmlformats.org/officeDocument/2006/relationships/image" Target="media/image89.svg"/><Relationship Id="rId92" Type="http://schemas.openxmlformats.org/officeDocument/2006/relationships/image" Target="media/image88.png"/><Relationship Id="rId91" Type="http://schemas.openxmlformats.org/officeDocument/2006/relationships/image" Target="media/image87.sv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svg"/><Relationship Id="rId88" Type="http://schemas.openxmlformats.org/officeDocument/2006/relationships/image" Target="media/image84.png"/><Relationship Id="rId87" Type="http://schemas.openxmlformats.org/officeDocument/2006/relationships/image" Target="media/image83.svg"/><Relationship Id="rId86" Type="http://schemas.openxmlformats.org/officeDocument/2006/relationships/image" Target="media/image82.png"/><Relationship Id="rId85" Type="http://schemas.openxmlformats.org/officeDocument/2006/relationships/image" Target="media/image81.svg"/><Relationship Id="rId84" Type="http://schemas.openxmlformats.org/officeDocument/2006/relationships/image" Target="media/image80.png"/><Relationship Id="rId83" Type="http://schemas.openxmlformats.org/officeDocument/2006/relationships/image" Target="media/image79.svg"/><Relationship Id="rId82" Type="http://schemas.openxmlformats.org/officeDocument/2006/relationships/image" Target="media/image78.png"/><Relationship Id="rId81" Type="http://schemas.openxmlformats.org/officeDocument/2006/relationships/image" Target="media/image77.svg"/><Relationship Id="rId80" Type="http://schemas.openxmlformats.org/officeDocument/2006/relationships/image" Target="media/image76.png"/><Relationship Id="rId8" Type="http://schemas.openxmlformats.org/officeDocument/2006/relationships/image" Target="media/image4.svg"/><Relationship Id="rId79" Type="http://schemas.openxmlformats.org/officeDocument/2006/relationships/image" Target="media/image75.svg"/><Relationship Id="rId78" Type="http://schemas.openxmlformats.org/officeDocument/2006/relationships/image" Target="media/image74.png"/><Relationship Id="rId77" Type="http://schemas.openxmlformats.org/officeDocument/2006/relationships/image" Target="media/image73.svg"/><Relationship Id="rId76" Type="http://schemas.openxmlformats.org/officeDocument/2006/relationships/image" Target="media/image72.png"/><Relationship Id="rId75" Type="http://schemas.openxmlformats.org/officeDocument/2006/relationships/image" Target="media/image71.sv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svg"/><Relationship Id="rId71" Type="http://schemas.openxmlformats.org/officeDocument/2006/relationships/image" Target="media/image67.png"/><Relationship Id="rId70" Type="http://schemas.openxmlformats.org/officeDocument/2006/relationships/image" Target="media/image66.sv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sv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svg"/><Relationship Id="rId62" Type="http://schemas.openxmlformats.org/officeDocument/2006/relationships/image" Target="media/image58.png"/><Relationship Id="rId61" Type="http://schemas.openxmlformats.org/officeDocument/2006/relationships/image" Target="media/image57.sv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svg"/><Relationship Id="rId57" Type="http://schemas.openxmlformats.org/officeDocument/2006/relationships/image" Target="media/image53.png"/><Relationship Id="rId56" Type="http://schemas.openxmlformats.org/officeDocument/2006/relationships/image" Target="media/image52.sv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svg"/><Relationship Id="rId52" Type="http://schemas.openxmlformats.org/officeDocument/2006/relationships/image" Target="media/image48.png"/><Relationship Id="rId51" Type="http://schemas.openxmlformats.org/officeDocument/2006/relationships/image" Target="media/image47.sv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svg"/><Relationship Id="rId48" Type="http://schemas.openxmlformats.org/officeDocument/2006/relationships/image" Target="media/image44.png"/><Relationship Id="rId47" Type="http://schemas.openxmlformats.org/officeDocument/2006/relationships/image" Target="media/image43.sv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sv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sv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svg"/><Relationship Id="rId37" Type="http://schemas.openxmlformats.org/officeDocument/2006/relationships/image" Target="media/image33.png"/><Relationship Id="rId36" Type="http://schemas.openxmlformats.org/officeDocument/2006/relationships/image" Target="media/image32.sv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svg"/><Relationship Id="rId32" Type="http://schemas.openxmlformats.org/officeDocument/2006/relationships/image" Target="media/image28.png"/><Relationship Id="rId31" Type="http://schemas.openxmlformats.org/officeDocument/2006/relationships/image" Target="media/image27.sv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sv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svg"/><Relationship Id="rId25" Type="http://schemas.openxmlformats.org/officeDocument/2006/relationships/image" Target="media/image21.png"/><Relationship Id="rId24" Type="http://schemas.openxmlformats.org/officeDocument/2006/relationships/image" Target="media/image20.svg"/><Relationship Id="rId23" Type="http://schemas.openxmlformats.org/officeDocument/2006/relationships/image" Target="media/image19.png"/><Relationship Id="rId22" Type="http://schemas.openxmlformats.org/officeDocument/2006/relationships/image" Target="media/image18.svg"/><Relationship Id="rId21" Type="http://schemas.openxmlformats.org/officeDocument/2006/relationships/image" Target="media/image17.png"/><Relationship Id="rId20" Type="http://schemas.openxmlformats.org/officeDocument/2006/relationships/image" Target="media/image16.sv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svg"/><Relationship Id="rId16" Type="http://schemas.openxmlformats.org/officeDocument/2006/relationships/image" Target="media/image12.png"/><Relationship Id="rId15" Type="http://schemas.openxmlformats.org/officeDocument/2006/relationships/image" Target="media/image11.svg"/><Relationship Id="rId14" Type="http://schemas.openxmlformats.org/officeDocument/2006/relationships/image" Target="media/image10.png"/><Relationship Id="rId139" Type="http://schemas.openxmlformats.org/officeDocument/2006/relationships/fontTable" Target="fontTable.xml"/><Relationship Id="rId138" Type="http://schemas.openxmlformats.org/officeDocument/2006/relationships/numbering" Target="numbering.xml"/><Relationship Id="rId137" Type="http://schemas.openxmlformats.org/officeDocument/2006/relationships/customXml" Target="../customXml/item1.xml"/><Relationship Id="rId136" Type="http://schemas.openxmlformats.org/officeDocument/2006/relationships/image" Target="media/image132.jpeg"/><Relationship Id="rId135" Type="http://schemas.openxmlformats.org/officeDocument/2006/relationships/image" Target="media/image131.jpeg"/><Relationship Id="rId134" Type="http://schemas.openxmlformats.org/officeDocument/2006/relationships/image" Target="../NULL"/><Relationship Id="rId133" Type="http://schemas.openxmlformats.org/officeDocument/2006/relationships/image" Target="media/image129.png"/><Relationship Id="rId132" Type="http://schemas.openxmlformats.org/officeDocument/2006/relationships/image" Target="media/image128.svg"/><Relationship Id="rId131" Type="http://schemas.openxmlformats.org/officeDocument/2006/relationships/image" Target="media/image127.png"/><Relationship Id="rId130" Type="http://schemas.openxmlformats.org/officeDocument/2006/relationships/image" Target="media/image126.svg"/><Relationship Id="rId13" Type="http://schemas.openxmlformats.org/officeDocument/2006/relationships/image" Target="media/image9.sv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svg"/><Relationship Id="rId126" Type="http://schemas.openxmlformats.org/officeDocument/2006/relationships/image" Target="media/image122.png"/><Relationship Id="rId125" Type="http://schemas.openxmlformats.org/officeDocument/2006/relationships/image" Target="media/image121.svg"/><Relationship Id="rId124" Type="http://schemas.openxmlformats.org/officeDocument/2006/relationships/image" Target="media/image120.png"/><Relationship Id="rId123" Type="http://schemas.openxmlformats.org/officeDocument/2006/relationships/image" Target="media/image119.svg"/><Relationship Id="rId122" Type="http://schemas.openxmlformats.org/officeDocument/2006/relationships/image" Target="media/image118.png"/><Relationship Id="rId121" Type="http://schemas.openxmlformats.org/officeDocument/2006/relationships/image" Target="media/image117.svg"/><Relationship Id="rId120" Type="http://schemas.openxmlformats.org/officeDocument/2006/relationships/image" Target="media/image116.png"/><Relationship Id="rId12" Type="http://schemas.openxmlformats.org/officeDocument/2006/relationships/image" Target="media/image8.png"/><Relationship Id="rId119" Type="http://schemas.openxmlformats.org/officeDocument/2006/relationships/image" Target="media/image115.svg"/><Relationship Id="rId118" Type="http://schemas.openxmlformats.org/officeDocument/2006/relationships/image" Target="media/image114.png"/><Relationship Id="rId117" Type="http://schemas.openxmlformats.org/officeDocument/2006/relationships/image" Target="media/image113.svg"/><Relationship Id="rId116" Type="http://schemas.openxmlformats.org/officeDocument/2006/relationships/image" Target="media/image112.png"/><Relationship Id="rId115" Type="http://schemas.openxmlformats.org/officeDocument/2006/relationships/image" Target="media/image111.svg"/><Relationship Id="rId114" Type="http://schemas.openxmlformats.org/officeDocument/2006/relationships/image" Target="media/image110.png"/><Relationship Id="rId113" Type="http://schemas.openxmlformats.org/officeDocument/2006/relationships/image" Target="media/image109.svg"/><Relationship Id="rId112" Type="http://schemas.openxmlformats.org/officeDocument/2006/relationships/image" Target="media/image108.png"/><Relationship Id="rId111" Type="http://schemas.openxmlformats.org/officeDocument/2006/relationships/image" Target="media/image107.sv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svg"/><Relationship Id="rId108" Type="http://schemas.openxmlformats.org/officeDocument/2006/relationships/image" Target="media/image104.png"/><Relationship Id="rId107" Type="http://schemas.openxmlformats.org/officeDocument/2006/relationships/image" Target="media/image103.svg"/><Relationship Id="rId106" Type="http://schemas.openxmlformats.org/officeDocument/2006/relationships/image" Target="media/image102.png"/><Relationship Id="rId105" Type="http://schemas.openxmlformats.org/officeDocument/2006/relationships/image" Target="media/image101.svg"/><Relationship Id="rId104" Type="http://schemas.openxmlformats.org/officeDocument/2006/relationships/image" Target="media/image100.png"/><Relationship Id="rId103" Type="http://schemas.openxmlformats.org/officeDocument/2006/relationships/image" Target="media/image99.svg"/><Relationship Id="rId102" Type="http://schemas.openxmlformats.org/officeDocument/2006/relationships/image" Target="media/image98.png"/><Relationship Id="rId101" Type="http://schemas.openxmlformats.org/officeDocument/2006/relationships/image" Target="media/image97.svg"/><Relationship Id="rId100" Type="http://schemas.openxmlformats.org/officeDocument/2006/relationships/image" Target="media/image96.png"/><Relationship Id="rId10" Type="http://schemas.openxmlformats.org/officeDocument/2006/relationships/image" Target="media/image6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2431</Words>
  <Characters>2548</Characters>
  <Lines>0</Lines>
  <Paragraphs>0</Paragraphs>
  <TotalTime>2</TotalTime>
  <ScaleCrop>false</ScaleCrop>
  <LinksUpToDate>false</LinksUpToDate>
  <CharactersWithSpaces>2789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2025-05-30T09:04:00Z</dcterms:created>
  <dc:creator>QX</dc:creator>
  <cp:lastModifiedBy>峰哥</cp:lastModifiedBy>
  <dcterms:modified xsi:type="dcterms:W3CDTF">2025-05-30T09:39:14Z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eyJoZGlkIjoiNWVhMjk2NmMyMDk3ZjQ4MDc4YWFhOWNmNjdhOWU0NWUiLCJ1c2VySWQiOiIyNjc3ODg4ODMifQ==</vt:lpwstr>
  </property>
  <property fmtid="{D5CDD505-2E9C-101B-9397-08002B2CF9AE}" pid="4" name="ICV">
    <vt:lpwstr>DDC233E15EC04DB4A740C2410B48DB16_12</vt:lpwstr>
  </property>
</Properties>
</file>