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38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060"/>
        <w:gridCol w:w="5066"/>
        <w:tblGridChange w:id="0">
          <w:tblGrid>
            <w:gridCol w:w="1260"/>
            <w:gridCol w:w="3060"/>
            <w:gridCol w:w="5066"/>
          </w:tblGrid>
        </w:tblGridChange>
      </w:tblGrid>
      <w:tr w:rsidR="008655FD" w:rsidRPr="008C24F3" w:rsidTr="00DC11F1">
        <w:trPr>
          <w:trHeight w:val="205"/>
        </w:trPr>
        <w:tc>
          <w:tcPr>
            <w:tcW w:w="9386" w:type="dxa"/>
            <w:gridSpan w:val="3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bookmarkStart w:id="1" w:name="_GoBack" w:colFirst="0" w:colLast="0"/>
            <w:r w:rsidRPr="00D27FF9">
              <w:rPr>
                <w:rFonts w:ascii="黑体" w:eastAsia="黑体" w:hint="eastAsia"/>
                <w:szCs w:val="21"/>
              </w:rPr>
              <w:t>产品管理模块</w:t>
            </w:r>
          </w:p>
        </w:tc>
      </w:tr>
      <w:tr w:rsidR="008655FD" w:rsidRPr="008C24F3" w:rsidTr="00DC11F1">
        <w:trPr>
          <w:trHeight w:val="205"/>
        </w:trPr>
        <w:tc>
          <w:tcPr>
            <w:tcW w:w="12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hint="eastAsia"/>
                <w:szCs w:val="21"/>
              </w:rPr>
              <w:t>平台模块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模块功能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信息管理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产品项目名称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生产令号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能实现内容唯一的要求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产品名称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产品序列号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能实现内容唯一的要求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外购部件信息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作为子表单管理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产品售后信息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售后时间、人员、问题、换件、成本、收入等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生产过程问题反馈及追踪平台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产品项目名称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、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生产令号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、问题描述、责任部门、处理部门、处理时限、追踪部门、问题关闭</w:t>
            </w:r>
          </w:p>
        </w:tc>
      </w:tr>
      <w:tr w:rsidR="008655FD" w:rsidTr="00DC11F1">
        <w:trPr>
          <w:trHeight w:val="205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/>
                <w:kern w:val="0"/>
                <w:sz w:val="18"/>
                <w:szCs w:val="18"/>
                <w:lang w:val="zh-CN"/>
              </w:rPr>
              <w:t>…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(能根据需求扩展字段)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字段太多时能根据设置仅显示所需字段</w:t>
            </w:r>
          </w:p>
        </w:tc>
      </w:tr>
      <w:tr w:rsidR="008655FD" w:rsidTr="00DC11F1">
        <w:trPr>
          <w:trHeight w:val="23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过程追溯</w:t>
            </w:r>
          </w:p>
        </w:tc>
        <w:tc>
          <w:tcPr>
            <w:tcW w:w="3060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各阶段实施负责人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各阶段起始、完成时间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/>
                <w:kern w:val="0"/>
                <w:sz w:val="18"/>
                <w:szCs w:val="18"/>
                <w:lang w:val="zh-CN"/>
              </w:rPr>
              <w:t>…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(能根据需求扩展字段)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文件挂接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实现产品各类文件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技术文件、质检文件、照片文件、商务文件等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挂接、修改、下载方便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/>
                <w:kern w:val="0"/>
                <w:sz w:val="18"/>
                <w:szCs w:val="18"/>
                <w:lang w:val="zh-CN"/>
              </w:rPr>
              <w:t>…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(挂接文件数量可根据需求扩展)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9386" w:type="dxa"/>
            <w:gridSpan w:val="3"/>
            <w:vAlign w:val="center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3D166D">
              <w:rPr>
                <w:rFonts w:ascii="黑体" w:eastAsia="黑体" w:hint="eastAsia"/>
                <w:szCs w:val="21"/>
              </w:rPr>
              <w:t>计划管理</w:t>
            </w:r>
            <w:r w:rsidRPr="00D27FF9">
              <w:rPr>
                <w:rFonts w:ascii="黑体" w:eastAsia="黑体" w:hint="eastAsia"/>
                <w:szCs w:val="21"/>
              </w:rPr>
              <w:t>模块</w:t>
            </w:r>
          </w:p>
        </w:tc>
      </w:tr>
      <w:tr w:rsidR="008655FD" w:rsidRPr="008C24F3" w:rsidTr="00DC11F1">
        <w:trPr>
          <w:trHeight w:val="205"/>
        </w:trPr>
        <w:tc>
          <w:tcPr>
            <w:tcW w:w="12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hint="eastAsia"/>
                <w:szCs w:val="21"/>
              </w:rPr>
              <w:t>平台模块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模块功能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计划编制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初次录入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为减少录入工作量，以EXCEL标准电子表格文件导入，导入时自动生成版本号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少量修改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可以系统内进行修改，修改后自动变更版本号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大量修改（计划改版）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为减少录入工作量，以EXCEL标准电子表格文件导入，导入时自动生成版本号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纠错功能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将后工序与前工序关联，形成时间逻辑关系，自动发现错误，并提供更正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计划跟踪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提醒功能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根据设置的提前周期进行节点提醒，并以不同颜色标注紧急程度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完成标记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对已完成计划录入完成标记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计划考核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自动统计计划完成情况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根据节点计分规则进行完成率汇总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查询、统计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对完成的节点进行查询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根据时间段、节点类型等方式进行查询汇总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报表输出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从系统内输出结果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导出为EXCEL电子表文件</w:t>
            </w:r>
          </w:p>
        </w:tc>
      </w:tr>
      <w:tr w:rsidR="008655FD" w:rsidTr="00DC11F1">
        <w:trPr>
          <w:trHeight w:val="24"/>
        </w:trPr>
        <w:tc>
          <w:tcPr>
            <w:tcW w:w="9386" w:type="dxa"/>
            <w:gridSpan w:val="3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>
              <w:rPr>
                <w:rFonts w:ascii="黑体" w:eastAsia="黑体" w:hint="eastAsia"/>
                <w:szCs w:val="21"/>
              </w:rPr>
              <w:t>通用</w:t>
            </w:r>
            <w:r w:rsidRPr="00D27FF9">
              <w:rPr>
                <w:rFonts w:ascii="黑体" w:eastAsia="黑体" w:hint="eastAsia"/>
                <w:szCs w:val="21"/>
              </w:rPr>
              <w:t>模块</w:t>
            </w:r>
          </w:p>
        </w:tc>
      </w:tr>
      <w:tr w:rsidR="008655FD" w:rsidRPr="008C24F3" w:rsidTr="00DC11F1">
        <w:trPr>
          <w:trHeight w:val="205"/>
        </w:trPr>
        <w:tc>
          <w:tcPr>
            <w:tcW w:w="12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hint="eastAsia"/>
                <w:szCs w:val="21"/>
              </w:rPr>
              <w:t>平台模块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 w:rsidRPr="008C24F3"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模块功能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widowControl/>
              <w:jc w:val="center"/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\</w:t>
            </w: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权限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自由建立若干用户实体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超级用户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拥有软件所有权限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项目管理权限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挪用对整个项目信息管理权限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单项管理权限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可对项目单个字段进行管理，如：部门内项目负责人指定、发运信息填写等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子项内容修改权限设置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按修改次数限制、按日期限制等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项目关闭或冻结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对已执行完成项目实现全部或关闭，关闭后项目不允许</w:t>
            </w:r>
            <w:proofErr w:type="gramStart"/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再操作</w:t>
            </w:r>
            <w:proofErr w:type="gramEnd"/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(能查询)；对中止项目实现冻结，不允许</w:t>
            </w:r>
            <w:proofErr w:type="gramStart"/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再操作</w:t>
            </w:r>
            <w:proofErr w:type="gramEnd"/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(能查询)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用户权限管理权限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数据安全管理权限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/>
                <w:kern w:val="0"/>
                <w:sz w:val="18"/>
                <w:szCs w:val="18"/>
                <w:lang w:val="zh-CN"/>
              </w:rPr>
              <w:t>…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(能根据需求扩展)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查询功能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实现排序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具备日期、数字、字符排序的要求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查询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模糊查询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、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精确查询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多条件查询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与、或、非等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统计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输入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直观、便捷的录入方式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实现标准化文件导入功能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输出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标准化打印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实现系统内置标准的打印需求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个性化打印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实现自由定制格式的打印需求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Merge w:val="restart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打印内容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根据查询等方式获取的数据作为内容进行打印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Merge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根据挑选字段作为内容进行打印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实现文件导出功能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安全管理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备份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手动备份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、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自动备份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数据恢复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系统架构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B/S结构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不需在每台工作站安排程序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用户数量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根据需求有自由增加(已添加的用户不可删除，权限可以冻结)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262063" w:rsidRDefault="008655FD" w:rsidP="00DC11F1">
            <w:pPr>
              <w:widowControl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数据库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注重安全性、易用性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 w:val="restart"/>
            <w:vAlign w:val="center"/>
          </w:tcPr>
          <w:p w:rsidR="008655FD" w:rsidRPr="00262063" w:rsidRDefault="008655FD" w:rsidP="00DC11F1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262063">
              <w:rPr>
                <w:rFonts w:ascii="宋体" w:cs="宋体" w:hint="eastAsia"/>
                <w:kern w:val="0"/>
                <w:szCs w:val="21"/>
                <w:lang w:val="zh-CN"/>
              </w:rPr>
              <w:t>其他</w:t>
            </w: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系统LOGO设计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可自行设置</w:t>
            </w:r>
          </w:p>
        </w:tc>
      </w:tr>
      <w:tr w:rsidR="008655FD" w:rsidTr="00DC11F1">
        <w:trPr>
          <w:trHeight w:val="24"/>
        </w:trPr>
        <w:tc>
          <w:tcPr>
            <w:tcW w:w="1260" w:type="dxa"/>
            <w:vMerge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060" w:type="dxa"/>
            <w:vAlign w:val="center"/>
          </w:tcPr>
          <w:p w:rsidR="008655FD" w:rsidRPr="008C24F3" w:rsidRDefault="008655FD" w:rsidP="00DC11F1">
            <w:pPr>
              <w:widowControl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  <w:r w:rsidRPr="008C24F3">
              <w:rPr>
                <w:rFonts w:ascii="宋体" w:cs="宋体"/>
                <w:kern w:val="0"/>
                <w:sz w:val="18"/>
                <w:szCs w:val="18"/>
                <w:lang w:val="zh-CN"/>
              </w:rPr>
              <w:t>…</w:t>
            </w:r>
            <w:r w:rsidRPr="008C24F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(能根据需求补充)</w:t>
            </w:r>
          </w:p>
        </w:tc>
        <w:tc>
          <w:tcPr>
            <w:tcW w:w="5066" w:type="dxa"/>
          </w:tcPr>
          <w:p w:rsidR="008655FD" w:rsidRPr="008C24F3" w:rsidRDefault="008655FD" w:rsidP="00DC11F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</w:pPr>
          </w:p>
        </w:tc>
      </w:tr>
      <w:bookmarkEnd w:id="1"/>
    </w:tbl>
    <w:p w:rsidR="00301A5C" w:rsidRPr="008655FD" w:rsidRDefault="00301A5C" w:rsidP="008655FD"/>
    <w:sectPr w:rsidR="00301A5C" w:rsidRPr="0086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9A" w:rsidRDefault="0063739A" w:rsidP="008655FD">
      <w:r>
        <w:separator/>
      </w:r>
    </w:p>
  </w:endnote>
  <w:endnote w:type="continuationSeparator" w:id="0">
    <w:p w:rsidR="0063739A" w:rsidRDefault="0063739A" w:rsidP="0086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9A" w:rsidRDefault="0063739A" w:rsidP="008655FD">
      <w:r>
        <w:separator/>
      </w:r>
    </w:p>
  </w:footnote>
  <w:footnote w:type="continuationSeparator" w:id="0">
    <w:p w:rsidR="0063739A" w:rsidRDefault="0063739A" w:rsidP="00865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F0"/>
    <w:rsid w:val="00301A5C"/>
    <w:rsid w:val="0063739A"/>
    <w:rsid w:val="008655FD"/>
    <w:rsid w:val="00B0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5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5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5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>Jason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2012-09-07T11:25:00Z</dcterms:created>
  <dcterms:modified xsi:type="dcterms:W3CDTF">2012-09-07T11:26:00Z</dcterms:modified>
</cp:coreProperties>
</file>