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目的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智能濕度提醒精靈包含了兩套智能濕度提醒裝置，一個Gateway (Raspberry Pi)負責將裝置傳來之溫濕度資料上傳至RainbowTree雲端平台。使用者可以自行透過手機APP設定環境的濕度上下限，若當環境濕度未在此範內，手機APP端會發出提醒聲音。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http://youtu.be/BiFOyHTiC9A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材料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4830.0" w:type="dxa"/>
        <w:jc w:val="left"/>
        <w:tblLayout w:type="fixed"/>
        <w:tblLook w:val="0600"/>
      </w:tblPr>
      <w:tblGrid>
        <w:gridCol w:w="3300"/>
        <w:gridCol w:w="1530"/>
        <w:tblGridChange w:id="0">
          <w:tblGrid>
            <w:gridCol w:w="3300"/>
            <w:gridCol w:w="1530"/>
          </w:tblGrid>
        </w:tblGridChange>
      </w:tblGrid>
      <w:tr>
        <w:trPr>
          <w:trHeight w:val="400" w:hRule="atLeast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Arduino主板  Seeeduino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2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highlight w:val="white"/>
                <w:rtl w:val="0"/>
              </w:rPr>
              <w:t xml:space="preserve">DHT-11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2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Android手機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Raspberry 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1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杜邦線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N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麵包板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接線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請參考以下圖表，以下提供我們的接法，詳細可根據個人的專案設計來決定針腳的接法，但VCC/GND務必不要接反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60"/>
        <w:gridCol w:w="4900"/>
        <w:tblGridChange w:id="0">
          <w:tblGrid>
            <w:gridCol w:w="4460"/>
            <w:gridCol w:w="4900"/>
          </w:tblGrid>
        </w:tblGridChange>
      </w:tblGrid>
      <w:tr>
        <w:trPr>
          <w:trHeight w:val="2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DHT-11 --- Arduino端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VCC</w:t>
            </w:r>
            <w:r w:rsidRPr="00000000" w:rsidR="00000000" w:rsidDel="00000000">
              <w:rPr>
                <w:sz w:val="20"/>
                <w:rtl w:val="0"/>
              </w:rPr>
              <w:t xml:space="preserve">---5V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DATA---A0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NC---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GND---GND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608925" cx="2195513"/>
                  <wp:effectExtent t="0" b="0" r="0" l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08925" cx="2195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HC-06藍芽模組 --- Arduino端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VCC---5V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GND---GND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TXD---D2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RXD---D3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br w:type="textWrapping"/>
              <w:t xml:space="preserve">*HC-06的TX需接至Arduino主板上的RX(D2)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HC-06的RX需接至Arduino主板上的TX(D3)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800100" cx="2847975"/>
                  <wp:effectExtent t="0" b="0" r="0" l="0"/>
                  <wp:docPr id="7" name="image13.jpg" descr="20140710_121952.jpg"/>
                  <a:graphic>
                    <a:graphicData uri="http://schemas.openxmlformats.org/drawingml/2006/picture">
                      <pic:pic>
                        <pic:nvPicPr>
                          <pic:cNvPr id="0" name="image13.jpg" descr="20140710_121952.jpg"/>
                          <pic:cNvPicPr preferRelativeResize="0"/>
                        </pic:nvPicPr>
                        <pic:blipFill>
                          <a:blip r:embed="rId6"/>
                          <a:srcRect t="0" b="0" r="15297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0100" cx="2847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78063" cx="5472113"/>
            <wp:effectExtent t="0" b="0" r="0" l="0"/>
            <wp:docPr id="1" name="image06.jpg" descr="DSC_0003-001.JPG"/>
            <a:graphic>
              <a:graphicData uri="http://schemas.openxmlformats.org/drawingml/2006/picture">
                <pic:pic>
                  <pic:nvPicPr>
                    <pic:cNvPr id="0" name="image06.jpg" descr="DSC_0003-001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78063" cx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90872" cx="3405188"/>
            <wp:effectExtent t="0" b="0" r="0" l="0"/>
            <wp:docPr id="3" name="image09.jpg" descr="DSC_0005-001.JPG"/>
            <a:graphic>
              <a:graphicData uri="http://schemas.openxmlformats.org/drawingml/2006/picture">
                <pic:pic>
                  <pic:nvPicPr>
                    <pic:cNvPr id="0" name="image09.jpg" descr="DSC_0005-001.JPG"/>
                    <pic:cNvPicPr preferRelativeResize="0"/>
                  </pic:nvPicPr>
                  <pic:blipFill>
                    <a:blip r:embed="rId8"/>
                    <a:srcRect t="16326" b="13775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90872" cx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*燒錄程式請務必將各模組電源切斷，或是燒錄完畢後，再斷電重新將線路連通，以防模組等燒壞。藍芽模組接至Arduino板上的RX、TX，在燒錄程式時會影響，故請不要接上線路，待燒錄完畢，再將各模組接上通電執行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智能濕度提醒精靈運作架構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91498" cx="5424488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91498" cx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兩組智能濕度裝置會定期將所感測到的環境溫濕度，透過藍芽傳輸至Gateway端(RPi)，Gateway端負責將接收到的資料透過WiFi傳送至RainbowTree雲端平台上。使用者可以透過手機或是電腦瀏覽RainbowTree上資料，而在手機APP端可以設定所想要之濕度上下限，當環境濕度未在範圍內，即會發出提醒音效。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Arduino端程式操作</w:t>
      </w:r>
    </w:p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溼度裝置的開發</w:t>
      </w: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，是採用Grove Temperature and Humidity Sensor所提供的library，</w:t>
        <w:br w:type="textWrapping"/>
      </w:r>
      <w:hyperlink r:id="rId10">
        <w:r w:rsidRPr="00000000" w:rsidR="00000000" w:rsidDel="00000000">
          <w:rPr>
            <w:rFonts w:cs="Trebuchet MS" w:hAnsi="Trebuchet MS" w:eastAsia="Trebuchet MS" w:ascii="Trebuchet MS"/>
            <w:color w:val="1155cc"/>
            <w:sz w:val="20"/>
            <w:u w:val="single"/>
            <w:rtl w:val="0"/>
          </w:rPr>
          <w:t xml:space="preserve">https://github.com/Seeed-Studio/Grove_Temperature_And_Humidity_Sensor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請至此下載。</w:t>
        <w:br w:type="textWrapping"/>
        <w:t xml:space="preserve">溼度裝置會定期將感測到的資料透過藍芽傳送，而裝置本身有寫入預設之濕度上下限(30%~65%)，若環境濕度未在範圍內，板子上LED會亮起。</w:t>
      </w:r>
    </w:p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color w:val="000000"/>
        </w:rPr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藍芽模組採用SoftwareSerial的連線方式，其pin腳為D2、D3。設定DHT-11連線pin腳，及宣告DHT物件。</w:t>
      </w:r>
    </w:p>
    <w:tbl>
      <w:tblPr>
        <w:tblStyle w:val="Table3"/>
        <w:bidiVisual w:val="0"/>
        <w:tblW w:w="9210.0" w:type="dxa"/>
        <w:jc w:val="left"/>
        <w:tblInd w:w="1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45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SoftwareSerial BTSerial(2, 3);   //rx,tx </w:t>
            </w:r>
          </w:p>
          <w:p w:rsidP="00000000" w:rsidRPr="00000000" w:rsidR="00000000" w:rsidDel="00000000" w:rsidRDefault="00000000">
            <w:pPr>
              <w:spacing w:lineRule="auto" w:line="240"/>
              <w:ind w:left="45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45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#define DHTPIN A0           // what pin we're connected to</w:t>
            </w:r>
          </w:p>
          <w:p w:rsidP="00000000" w:rsidRPr="00000000" w:rsidR="00000000" w:rsidDel="00000000" w:rsidRDefault="00000000">
            <w:pPr>
              <w:spacing w:lineRule="auto" w:line="240"/>
              <w:ind w:left="45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#define DHTTYPE DHT11   // DHT 11 </w:t>
            </w:r>
          </w:p>
          <w:p w:rsidP="00000000" w:rsidRPr="00000000" w:rsidR="00000000" w:rsidDel="00000000" w:rsidRDefault="00000000">
            <w:pPr>
              <w:spacing w:lineRule="auto" w:line="240"/>
              <w:ind w:left="45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DHT dht(DHTPIN, DHTTYPE);</w:t>
            </w:r>
          </w:p>
        </w:tc>
      </w:tr>
    </w:tbl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color w:val="000000"/>
        </w:rPr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初始化各模組，及設定對應buad rate。</w:t>
      </w:r>
    </w:p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(HC-06出廠預設baud rate為9600，藍芽設備名稱為HC-06，配對密碼為1234，若想要修改baud rate，請參考HC-06 AT command的修改方式)。</w:t>
      </w:r>
    </w:p>
    <w:tbl>
      <w:tblPr>
        <w:tblStyle w:val="Table4"/>
        <w:bidiVisual w:val="0"/>
        <w:tblW w:w="92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//==================================setup()====================================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void setup()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Serial.begin(5700);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BTSerial.begin(9600);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pinMode(ledPin, OUTPUT);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digitalWrite(ledPin, LOW);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   dht.begin();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rFonts w:cs="Trebuchet MS" w:hAnsi="Trebuchet MS" w:eastAsia="Trebuchet MS" w:ascii="Trebuchet MS"/>
          <w:color w:val="000000"/>
        </w:rPr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重複執行Loop內的動作</w:t>
      </w:r>
    </w:p>
    <w:p w:rsidP="00000000" w:rsidRPr="00000000" w:rsidR="00000000" w:rsidDel="00000000" w:rsidRDefault="00000000">
      <w:pPr>
        <w:spacing w:lineRule="auto" w:after="60"/>
        <w:ind w:left="720"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讀取DHT-11的溫度、及濕度值，再透過BTSerial將資料透過藍芽傳送。</w:t>
      </w:r>
    </w:p>
    <w:tbl>
      <w:tblPr>
        <w:tblStyle w:val="Table5"/>
        <w:bidiVisual w:val="0"/>
        <w:tblW w:w="93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void loop()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//…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float h = dht.readHumidity();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float t = dht.readTemperature();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dtostrf(h,2,2,ftmp);         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outputData = outputData+ftmp+",";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dtostrf(t,2,2,ftmp);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outputData = outputData+ftmp+",";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 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if(h&gt;=upperBound)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   digitalWrite(ledPin, HIGH);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   outputData += "1";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}else if(h&lt;=lowerBound)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    digitalWrite(ledPin, HIGH);        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    outputData += "2";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else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    outputData += "0";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BTSerial.println(outputData);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//...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Gateway端 (Raspberry Pi)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我們在Raspberry Pi上是透過一支Python程式來接收來自裝置端的資料，並同時將資料上傳至RainbowTree平台上。首先先確認Rapberry Pi上的一些套件已安裝完成，並設定好裝置與藍芽間的配對，確保Raspberry Pi已是連網狀態。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*藍芽及Wifi設定可參考以下文章</w:t>
      </w:r>
      <w:hyperlink r:id="rId11">
        <w:r w:rsidRPr="00000000" w:rsidR="00000000" w:rsidDel="00000000">
          <w:rPr>
            <w:rFonts w:cs="Trebuchet MS" w:hAnsi="Trebuchet MS" w:eastAsia="Trebuchet MS" w:ascii="Trebuchet MS"/>
            <w:color w:val="1155cc"/>
            <w:sz w:val="20"/>
            <w:u w:val="single"/>
            <w:rtl w:val="0"/>
          </w:rPr>
          <w:t xml:space="preserve">http://www.dotblogs.com.tw/bowwowxx/archive/2014/04/17/144774.aspx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*藍芽配對問題請參考以下文章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rFonts w:cs="Trebuchet MS" w:hAnsi="Trebuchet MS" w:eastAsia="Trebuchet MS" w:ascii="Trebuchet MS"/>
            <w:color w:val="1155cc"/>
            <w:sz w:val="20"/>
            <w:u w:val="single"/>
            <w:rtl w:val="0"/>
          </w:rPr>
          <w:t xml:space="preserve">http://www.correlatedcontent.com/blog/bluetooth-keyboard-on-the-raspberry-pi/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在python端的實作，主要是透過threading library來接收來自多個裝置的資料，而濕度裝置所對應之RainbowTree上之device id, datastream id等，皆定義於MoistureDevice的物件中。而在上傳RainbowTree平台的部分，我們將資料轉成JSON格式，以http post的方式將JSON格式的資料上傳至雲端平台。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Android手機端程式實作與操作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手機端APP部分主要是至RainbowTree平台上讀取最新的資料，再將最新的資料數值顯示於APP頁面上，而若當濕度超過上限值、或是低於下限值，手機端會發出提醒音，頁面的溼度顯示會以紅字顯示。透過點選兩個濕度計的上下限數字值，即會跳出對話框，可輸入所預設定的濕度限制值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29013" cx="1982969"/>
            <wp:effectExtent t="25400" b="25400" r="25400" l="25400"/>
            <wp:docPr id="6" name="image12.jpg" descr="Screenshot_2014-11-03-15-13-53.jpg"/>
            <a:graphic>
              <a:graphicData uri="http://schemas.openxmlformats.org/drawingml/2006/picture">
                <pic:pic>
                  <pic:nvPicPr>
                    <pic:cNvPr id="0" name="image12.jpg" descr="Screenshot_2014-11-03-15-13-53.jp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29013" cx="198296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558619" cx="1995488"/>
            <wp:effectExtent t="12700" b="12700" r="12700" l="12700"/>
            <wp:docPr id="5" name="image11.jpg" descr="Screenshot_2014-11-03-15-14-16.jpg"/>
            <a:graphic>
              <a:graphicData uri="http://schemas.openxmlformats.org/drawingml/2006/picture">
                <pic:pic>
                  <pic:nvPicPr>
                    <pic:cNvPr id="0" name="image11.jpg" descr="Screenshot_2014-11-03-15-14-16.jp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58619" cx="1995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AndroidManifest.xml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加入</w:t>
      </w:r>
      <w:r w:rsidRPr="00000000" w:rsidR="00000000" w:rsidDel="00000000">
        <w:rPr>
          <w:sz w:val="20"/>
          <w:rtl w:val="0"/>
        </w:rPr>
        <w:t xml:space="preserve">Internet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的</w:t>
      </w:r>
      <w:r w:rsidRPr="00000000" w:rsidR="00000000" w:rsidDel="00000000">
        <w:rPr>
          <w:sz w:val="20"/>
          <w:rtl w:val="0"/>
        </w:rPr>
        <w:t xml:space="preserve">uses-permission，因APP需至RainbowTree上擷取資料，故需有上網的權限。</w:t>
      </w: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color w:val="0000ff"/>
                <w:sz w:val="16"/>
                <w:highlight w:val="white"/>
                <w:rtl w:val="0"/>
              </w:rPr>
              <w:t xml:space="preserve">&lt;uses-permission</w:t>
            </w: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color w:val="ff0000"/>
                <w:sz w:val="16"/>
                <w:highlight w:val="white"/>
                <w:rtl w:val="0"/>
              </w:rPr>
              <w:t xml:space="preserve">android:name</w:t>
            </w: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b w:val="1"/>
                <w:color w:val="8000ff"/>
                <w:sz w:val="16"/>
                <w:highlight w:val="white"/>
                <w:rtl w:val="0"/>
              </w:rPr>
              <w:t xml:space="preserve">"android.permission.INTERNET"</w:t>
            </w: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color w:val="0000ff"/>
                <w:sz w:val="16"/>
                <w:highlight w:val="white"/>
                <w:rtl w:val="0"/>
              </w:rPr>
              <w:t xml:space="preserve">/&gt;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MainActivity.java</w:t>
        <w:br w:type="textWrapping"/>
      </w:r>
      <w:r w:rsidRPr="00000000" w:rsidR="00000000" w:rsidDel="00000000">
        <w:rPr>
          <w:sz w:val="20"/>
          <w:rtl w:val="0"/>
        </w:rPr>
        <w:t xml:space="preserve">由於APP需需使用去RainbowTree上讀取新的資料值，我們採用</w:t>
      </w:r>
      <w:r w:rsidRPr="00000000" w:rsidR="00000000" w:rsidDel="00000000">
        <w:rPr>
          <w:b w:val="1"/>
          <w:color w:val="ff0000"/>
          <w:sz w:val="20"/>
          <w:highlight w:val="white"/>
          <w:rtl w:val="0"/>
        </w:rPr>
        <w:t xml:space="preserve">ScheduledExecutorService類別</w:t>
      </w:r>
      <w:r w:rsidRPr="00000000" w:rsidR="00000000" w:rsidDel="00000000">
        <w:rPr>
          <w:sz w:val="20"/>
          <w:rtl w:val="0"/>
        </w:rPr>
        <w:t xml:space="preserve">來實現，這邊設定週期長度為10秒。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4"/>
                <w:highlight w:val="white"/>
                <w:rtl w:val="0"/>
              </w:rPr>
              <w:t xml:space="preserve">import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 java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util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concurrent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ScheduledExecutorService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private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final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ScheduledExecutorService scheduler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Executors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                      </w:t>
              <w:tab/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newScheduledThreadPool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color w:val="ff8000"/>
                <w:sz w:val="24"/>
                <w:highlight w:val="white"/>
                <w:rtl w:val="0"/>
              </w:rPr>
              <w:t xml:space="preserve">1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scheduler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scheduleAtFixedRate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4"/>
                <w:highlight w:val="white"/>
                <w:rtl w:val="0"/>
              </w:rPr>
              <w:t xml:space="preserve">new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Runnable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public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void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run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monitoring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 If you need update UI, simply do this: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runOnUiThread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4"/>
                <w:highlight w:val="white"/>
                <w:rtl w:val="0"/>
              </w:rPr>
              <w:t xml:space="preserve">new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Runnable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       </w:t>
              <w:tab/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public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void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run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{</w:t>
              <w:br w:type="textWrapping"/>
              <w:t xml:space="preserve">                      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 //…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                  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         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</w:t>
              <w:tab/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},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ff8000"/>
                <w:sz w:val="24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,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ff8000"/>
                <w:sz w:val="24"/>
                <w:highlight w:val="white"/>
                <w:rtl w:val="0"/>
              </w:rPr>
              <w:t xml:space="preserve">10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,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TimeUnit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SECONDS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highlight w:val="white"/>
          <w:rtl w:val="0"/>
        </w:rPr>
        <w:t xml:space="preserve">若需使用RainbowTree平台，僅需加入我們的rainbowtree SDK至專案中。在宣告RainbowtreeClient實例時，需加入RainbowTree的IP及平台使用的api key。rainbowtree類別中亦提供各種方法讓我們可以進行資料的上傳(post)、查詢等。詳細請參考rainbowtree SDK。</w:t>
      </w: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0"/>
                <w:highlight w:val="white"/>
                <w:rtl w:val="0"/>
              </w:rPr>
              <w:t xml:space="preserve">import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com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hereapps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rainbowtree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android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RainbowtreeClient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0"/>
                <w:highlight w:val="white"/>
                <w:rtl w:val="0"/>
              </w:rPr>
              <w:t xml:space="preserve">import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com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hereapps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rainbowtree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android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listener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JsonArrayListener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RainbowtreeClient client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0"/>
                <w:highlight w:val="white"/>
                <w:rtl w:val="0"/>
              </w:rPr>
              <w:t xml:space="preserve">new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RainbowtreeClient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808080"/>
                <w:sz w:val="20"/>
                <w:highlight w:val="white"/>
                <w:rtl w:val="0"/>
              </w:rPr>
              <w:t xml:space="preserve">"106.186.30.234"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,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808080"/>
                <w:sz w:val="20"/>
                <w:highlight w:val="white"/>
                <w:rtl w:val="0"/>
              </w:rPr>
              <w:t xml:space="preserve">"e095f4538bac4870"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client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getAllDatastreamStatusAsync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dev_id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[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ff8000"/>
                <w:sz w:val="20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],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0"/>
                <w:highlight w:val="white"/>
                <w:rtl w:val="0"/>
              </w:rPr>
              <w:t xml:space="preserve">new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JsonArrayListener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     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});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參考資料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Arduino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http://arduino.cc/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SoftwareSerial 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http://arduino.cc/en/Reference/SoftwareSerial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藍芽模組HC-06</w:t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http://gsyan888.blogspot.tw/2014/03/arduino-hc-06-at-command.html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http://www.mikrokopter.de/ucwiki/en/HC-06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RainbowTree</w:t>
      </w:r>
    </w:p>
    <w:p w:rsidP="00000000" w:rsidRPr="00000000" w:rsidR="00000000" w:rsidDel="00000000" w:rsidRDefault="00000000">
      <w:pPr>
        <w:contextualSpacing w:val="0"/>
      </w:pPr>
      <w:hyperlink r:id="rId1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http://rainbowtree.here-apps.com/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rFonts w:cs="Arial" w:hAnsi="Arial" w:eastAsia="Arial" w:ascii="Arial"/>
        <w:color w:val="cccccc"/>
        <w:sz w:val="20"/>
        <w:u w:val="none"/>
        <w:shd w:val="clear" w:fill="333333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cs="Arial" w:hAnsi="Arial" w:eastAsia="Arial" w:ascii="Arial"/>
        <w:color w:val="cccccc"/>
        <w:sz w:val="20"/>
        <w:u w:val="none"/>
        <w:shd w:val="clear" w:fill="333333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rainbowtree.here-apps.com/" Type="http://schemas.openxmlformats.org/officeDocument/2006/relationships/hyperlink" TargetMode="External" Id="rId19"/><Relationship Target="http://www.mikrokopter.de/ucwiki/en/HC-06" Type="http://schemas.openxmlformats.org/officeDocument/2006/relationships/hyperlink" TargetMode="External" Id="rId18"/><Relationship Target="http://gsyan888.blogspot.tw/2014/03/arduino-hc-06-at-command.html" Type="http://schemas.openxmlformats.org/officeDocument/2006/relationships/hyperlink" TargetMode="External" Id="rId17"/><Relationship Target="http://arduino.cc/en/Reference/SoftwareSerial" Type="http://schemas.openxmlformats.org/officeDocument/2006/relationships/hyperlink" TargetMode="External" Id="rId16"/><Relationship Target="http://arduino.cc/en/Reference/SoftwareSerial" Type="http://schemas.openxmlformats.org/officeDocument/2006/relationships/hyperlink" TargetMode="External" Id="rId15"/><Relationship Target="media/image11.jpg" Type="http://schemas.openxmlformats.org/officeDocument/2006/relationships/image" Id="rId14"/><Relationship Target="fontTable.xml" Type="http://schemas.openxmlformats.org/officeDocument/2006/relationships/fontTable" Id="rId2"/><Relationship Target="http://www.correlatedcontent.com/blog/bluetooth-keyboard-on-the-raspberry-pi/" Type="http://schemas.openxmlformats.org/officeDocument/2006/relationships/hyperlink" TargetMode="External" Id="rId12"/><Relationship Target="media/image12.jp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github.com/Seeed-Studio/Grove_Temperature_And_Humidity_Sensor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dotblogs.com.tw/bowwowxx/archive/2014/04/17/144774.aspx" Type="http://schemas.openxmlformats.org/officeDocument/2006/relationships/hyperlink" TargetMode="External" Id="rId11"/><Relationship Target="media/image07.png" Type="http://schemas.openxmlformats.org/officeDocument/2006/relationships/image" Id="rId9"/><Relationship Target="media/image13.jpg" Type="http://schemas.openxmlformats.org/officeDocument/2006/relationships/image" Id="rId6"/><Relationship Target="media/image10.png" Type="http://schemas.openxmlformats.org/officeDocument/2006/relationships/image" Id="rId5"/><Relationship Target="media/image09.jpg" Type="http://schemas.openxmlformats.org/officeDocument/2006/relationships/image" Id="rId8"/><Relationship Target="media/image06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智能濕度提醒精靈.docx</dc:title>
</cp:coreProperties>
</file>