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a90638ef823d6e99c90d5da1d9d185972a47d48"/>
    <w:p>
      <w:pPr>
        <w:pStyle w:val="Heading1"/>
      </w:pPr>
      <w:r>
        <w:t xml:space="preserve">Nouvelles Fonctionnalités - Section Buy Recodée</w:t>
      </w:r>
    </w:p>
    <w:bookmarkStart w:id="20" w:name="objectif"/>
    <w:p>
      <w:pPr>
        <w:pStyle w:val="Heading2"/>
      </w:pPr>
      <w:r>
        <w:t xml:space="preserve">🎯 Objectif</w:t>
      </w:r>
    </w:p>
    <w:p>
      <w:pPr>
        <w:pStyle w:val="FirstParagraph"/>
      </w:pPr>
      <w:r>
        <w:t xml:space="preserve">Recoder la section</w:t>
      </w:r>
      <w:r>
        <w:t xml:space="preserve"> </w:t>
      </w:r>
      <w:r>
        <w:t xml:space="preserve">“</w:t>
      </w:r>
      <w:r>
        <w:t xml:space="preserve">buy</w:t>
      </w:r>
      <w:r>
        <w:t xml:space="preserve">”</w:t>
      </w:r>
      <w:r>
        <w:t xml:space="preserve"> </w:t>
      </w:r>
      <w:r>
        <w:t xml:space="preserve">pour déclencher des actions spécifiques selon les besoins utilisateur 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P2P</w:t>
      </w:r>
      <w:r>
        <w:t xml:space="preserve"> </w:t>
      </w:r>
      <w:r>
        <w:t xml:space="preserve">→ Redirection vers la section P2P existante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Deposit EUR</w:t>
      </w:r>
      <w:r>
        <w:t xml:space="preserve"> </w:t>
      </w:r>
      <w:r>
        <w:t xml:space="preserve">→ Page dédiée pour dépôt fiat avec méthodes de paiement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Buy Crypto</w:t>
      </w:r>
      <w:r>
        <w:t xml:space="preserve"> </w:t>
      </w:r>
      <w:r>
        <w:t xml:space="preserve">→ Action pour</w:t>
      </w:r>
      <w:r>
        <w:t xml:space="preserve"> </w:t>
      </w:r>
      <w:r>
        <w:t xml:space="preserve">“</w:t>
      </w:r>
      <w:r>
        <w:t xml:space="preserve">one-click buy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Deposit Cryptomonnaie</w:t>
      </w:r>
      <w:r>
        <w:t xml:space="preserve"> </w:t>
      </w:r>
      <w:r>
        <w:t xml:space="preserve">→ Action vers wallets connectés (BYBIT, OKX, BINANCE)</w:t>
      </w:r>
    </w:p>
    <w:bookmarkEnd w:id="20"/>
    <w:bookmarkStart w:id="26" w:name="nouveaux-fichiers-créés"/>
    <w:p>
      <w:pPr>
        <w:pStyle w:val="Heading2"/>
      </w:pPr>
      <w:r>
        <w:t xml:space="preserve">📁 Nouveaux Fichiers Créés</w:t>
      </w:r>
    </w:p>
    <w:bookmarkStart w:id="21" w:name="modal-principal"/>
    <w:p>
      <w:pPr>
        <w:pStyle w:val="Heading3"/>
      </w:pPr>
      <w:r>
        <w:t xml:space="preserve">1. Modal Principal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src/components/modals/BuyOptionsModal.tsx</w:t>
      </w:r>
    </w:p>
    <w:p>
      <w:pPr>
        <w:numPr>
          <w:ilvl w:val="1"/>
          <w:numId w:val="1003"/>
        </w:numPr>
        <w:pStyle w:val="Compact"/>
      </w:pPr>
      <w:r>
        <w:t xml:space="preserve">Modal centralisant toutes les options d’achat/dépôt</w:t>
      </w:r>
    </w:p>
    <w:p>
      <w:pPr>
        <w:numPr>
          <w:ilvl w:val="1"/>
          <w:numId w:val="1003"/>
        </w:numPr>
        <w:pStyle w:val="Compact"/>
      </w:pPr>
      <w:r>
        <w:t xml:space="preserve">Design responsive avec animations Framer Motion</w:t>
      </w:r>
    </w:p>
    <w:p>
      <w:pPr>
        <w:numPr>
          <w:ilvl w:val="1"/>
          <w:numId w:val="1003"/>
        </w:numPr>
        <w:pStyle w:val="Compact"/>
      </w:pPr>
      <w:r>
        <w:t xml:space="preserve">Intégration des icônes et couleurs de marque</w:t>
      </w:r>
    </w:p>
    <w:bookmarkEnd w:id="21"/>
    <w:bookmarkStart w:id="25" w:name="pages-spécialisées"/>
    <w:p>
      <w:pPr>
        <w:pStyle w:val="Heading3"/>
      </w:pPr>
      <w:r>
        <w:t xml:space="preserve">2. Pages Spécialisées</w:t>
      </w:r>
    </w:p>
    <w:bookmarkStart w:id="22" w:name="a.-dépôt-fiat-eur"/>
    <w:p>
      <w:pPr>
        <w:pStyle w:val="Heading4"/>
      </w:pPr>
      <w:r>
        <w:t xml:space="preserve">A. Dépôt Fiat EUR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src/pages/DepositFiat.tsx</w:t>
      </w:r>
    </w:p>
    <w:p>
      <w:pPr>
        <w:numPr>
          <w:ilvl w:val="1"/>
          <w:numId w:val="1005"/>
        </w:numPr>
        <w:pStyle w:val="Compact"/>
      </w:pPr>
      <w:r>
        <w:t xml:space="preserve">Interface similaire aux captures d’écran fournies</w:t>
      </w:r>
    </w:p>
    <w:p>
      <w:pPr>
        <w:numPr>
          <w:ilvl w:val="1"/>
          <w:numId w:val="1005"/>
        </w:numPr>
        <w:pStyle w:val="Compact"/>
      </w:pPr>
      <w:r>
        <w:t xml:space="preserve">Méthodes de paiement : ZEN, SEPA, Easy Bank Payment</w:t>
      </w:r>
    </w:p>
    <w:p>
      <w:pPr>
        <w:numPr>
          <w:ilvl w:val="1"/>
          <w:numId w:val="1005"/>
        </w:numPr>
        <w:pStyle w:val="Compact"/>
      </w:pPr>
      <w:r>
        <w:t xml:space="preserve">Calcul automatique des frais</w:t>
      </w:r>
    </w:p>
    <w:p>
      <w:pPr>
        <w:numPr>
          <w:ilvl w:val="1"/>
          <w:numId w:val="1005"/>
        </w:numPr>
        <w:pStyle w:val="Compact"/>
      </w:pPr>
      <w:r>
        <w:t xml:space="preserve">Validation des conditions d’utilisation</w:t>
      </w:r>
    </w:p>
    <w:bookmarkEnd w:id="22"/>
    <w:bookmarkStart w:id="23" w:name="b.-achat-one-click"/>
    <w:p>
      <w:pPr>
        <w:pStyle w:val="Heading4"/>
      </w:pPr>
      <w:r>
        <w:t xml:space="preserve">B. Achat One-Click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src/pages/OneClickBuy.tsx</w:t>
      </w:r>
    </w:p>
    <w:p>
      <w:pPr>
        <w:numPr>
          <w:ilvl w:val="1"/>
          <w:numId w:val="1007"/>
        </w:numPr>
        <w:pStyle w:val="Compact"/>
      </w:pPr>
      <w:r>
        <w:t xml:space="preserve">Interface fidèle à la capture d’écran</w:t>
      </w:r>
      <w:r>
        <w:t xml:space="preserve"> </w:t>
      </w:r>
      <w:r>
        <w:t xml:space="preserve">“</w:t>
      </w:r>
      <w:r>
        <w:t xml:space="preserve">One-Click Buy</w:t>
      </w:r>
      <w:r>
        <w:t xml:space="preserve">”</w:t>
      </w:r>
    </w:p>
    <w:p>
      <w:pPr>
        <w:numPr>
          <w:ilvl w:val="1"/>
          <w:numId w:val="1007"/>
        </w:numPr>
        <w:pStyle w:val="Compact"/>
      </w:pPr>
      <w:r>
        <w:t xml:space="preserve">Clavier numérique intégré</w:t>
      </w:r>
    </w:p>
    <w:p>
      <w:pPr>
        <w:numPr>
          <w:ilvl w:val="1"/>
          <w:numId w:val="1007"/>
        </w:numPr>
        <w:pStyle w:val="Compact"/>
      </w:pPr>
      <w:r>
        <w:t xml:space="preserve">Limites min/max (10-30,000 EUR)</w:t>
      </w:r>
    </w:p>
    <w:p>
      <w:pPr>
        <w:numPr>
          <w:ilvl w:val="1"/>
          <w:numId w:val="1007"/>
        </w:numPr>
        <w:pStyle w:val="Compact"/>
      </w:pPr>
      <w:r>
        <w:t xml:space="preserve">Calcul en temps réel des montants crypto</w:t>
      </w:r>
    </w:p>
    <w:bookmarkEnd w:id="23"/>
    <w:bookmarkStart w:id="24" w:name="c.-dépôt-cryptomonnaies"/>
    <w:p>
      <w:pPr>
        <w:pStyle w:val="Heading4"/>
      </w:pPr>
      <w:r>
        <w:t xml:space="preserve">C. Dépôt Cryptomonnaies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src/pages/DepositCrypto.tsx</w:t>
      </w:r>
    </w:p>
    <w:p>
      <w:pPr>
        <w:numPr>
          <w:ilvl w:val="1"/>
          <w:numId w:val="1009"/>
        </w:numPr>
        <w:pStyle w:val="Compact"/>
      </w:pPr>
      <w:r>
        <w:t xml:space="preserve">Sélection des wallets connectés (BYBIT, OKX, BINANCE)</w:t>
      </w:r>
    </w:p>
    <w:p>
      <w:pPr>
        <w:numPr>
          <w:ilvl w:val="1"/>
          <w:numId w:val="1009"/>
        </w:numPr>
        <w:pStyle w:val="Compact"/>
      </w:pPr>
      <w:r>
        <w:t xml:space="preserve">Gestion des statuts de connexion</w:t>
      </w:r>
    </w:p>
    <w:p>
      <w:pPr>
        <w:numPr>
          <w:ilvl w:val="1"/>
          <w:numId w:val="1009"/>
        </w:numPr>
        <w:pStyle w:val="Compact"/>
      </w:pPr>
      <w:r>
        <w:t xml:space="preserve">Génération d’adresses de dépôt</w:t>
      </w:r>
    </w:p>
    <w:p>
      <w:pPr>
        <w:numPr>
          <w:ilvl w:val="1"/>
          <w:numId w:val="1009"/>
        </w:numPr>
        <w:pStyle w:val="Compact"/>
      </w:pPr>
      <w:r>
        <w:t xml:space="preserve">Instructions de sécurité</w:t>
      </w:r>
    </w:p>
    <w:bookmarkEnd w:id="24"/>
    <w:bookmarkEnd w:id="25"/>
    <w:bookmarkEnd w:id="26"/>
    <w:bookmarkStart w:id="29" w:name="modifications-des-fichiers-existants"/>
    <w:p>
      <w:pPr>
        <w:pStyle w:val="Heading2"/>
      </w:pPr>
      <w:r>
        <w:t xml:space="preserve">🔄 Modifications des Fichiers Existants</w:t>
      </w:r>
    </w:p>
    <w:bookmarkStart w:id="27" w:name="quickactions.tsx"/>
    <w:p>
      <w:pPr>
        <w:pStyle w:val="Heading3"/>
      </w:pPr>
      <w:r>
        <w:t xml:space="preserve">QuickActions.tsx</w:t>
      </w:r>
    </w:p>
    <w:p>
      <w:pPr>
        <w:numPr>
          <w:ilvl w:val="0"/>
          <w:numId w:val="1010"/>
        </w:numPr>
        <w:pStyle w:val="Compact"/>
      </w:pPr>
      <w:r>
        <w:t xml:space="preserve">Ajout du state pour</w:t>
      </w:r>
      <w:r>
        <w:t xml:space="preserve"> </w:t>
      </w:r>
      <w:r>
        <w:rPr>
          <w:rStyle w:val="VerbatimChar"/>
        </w:rPr>
        <w:t xml:space="preserve">BuyOptionsModal</w:t>
      </w:r>
    </w:p>
    <w:p>
      <w:pPr>
        <w:numPr>
          <w:ilvl w:val="0"/>
          <w:numId w:val="1010"/>
        </w:numPr>
        <w:pStyle w:val="Compact"/>
      </w:pPr>
      <w:r>
        <w:t xml:space="preserve">Modification de</w:t>
      </w:r>
      <w:r>
        <w:t xml:space="preserve"> </w:t>
      </w:r>
      <w:r>
        <w:rPr>
          <w:rStyle w:val="VerbatimChar"/>
        </w:rPr>
        <w:t xml:space="preserve">handleActionClick</w:t>
      </w:r>
      <w:r>
        <w:t xml:space="preserve"> </w:t>
      </w:r>
      <w:r>
        <w:t xml:space="preserve">pour les actions</w:t>
      </w:r>
      <w:r>
        <w:t xml:space="preserve"> </w:t>
      </w:r>
      <w:r>
        <w:rPr>
          <w:rStyle w:val="VerbatimChar"/>
        </w:rPr>
        <w:t xml:space="preserve">buy-crypto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deposit</w:t>
      </w:r>
    </w:p>
    <w:p>
      <w:pPr>
        <w:numPr>
          <w:ilvl w:val="0"/>
          <w:numId w:val="1010"/>
        </w:numPr>
        <w:pStyle w:val="Compact"/>
      </w:pPr>
      <w:r>
        <w:t xml:space="preserve">Intégration du modal dans le rendu</w:t>
      </w:r>
    </w:p>
    <w:bookmarkEnd w:id="27"/>
    <w:bookmarkStart w:id="28" w:name="app.tsx"/>
    <w:p>
      <w:pPr>
        <w:pStyle w:val="Heading3"/>
      </w:pPr>
      <w:r>
        <w:t xml:space="preserve">App.tsx</w:t>
      </w:r>
    </w:p>
    <w:p>
      <w:pPr>
        <w:numPr>
          <w:ilvl w:val="0"/>
          <w:numId w:val="1011"/>
        </w:numPr>
        <w:pStyle w:val="Compact"/>
      </w:pPr>
      <w:r>
        <w:t xml:space="preserve">Ajout des nouvelles routes :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/deposit/fiat</w:t>
      </w:r>
      <w:r>
        <w:t xml:space="preserve"> </w:t>
      </w:r>
      <w:r>
        <w:t xml:space="preserve">→ DepositFiat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/buy/one-click</w:t>
      </w:r>
      <w:r>
        <w:t xml:space="preserve"> </w:t>
      </w:r>
      <w:r>
        <w:t xml:space="preserve">→ OneClickBuy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/deposit/crypto</w:t>
      </w:r>
      <w:r>
        <w:t xml:space="preserve"> </w:t>
      </w:r>
      <w:r>
        <w:t xml:space="preserve">→ DepositCrypto</w:t>
      </w:r>
    </w:p>
    <w:bookmarkEnd w:id="28"/>
    <w:bookmarkEnd w:id="29"/>
    <w:bookmarkStart w:id="33" w:name="design-et-ux"/>
    <w:p>
      <w:pPr>
        <w:pStyle w:val="Heading2"/>
      </w:pPr>
      <w:r>
        <w:t xml:space="preserve">🎨 Design et UX</w:t>
      </w:r>
    </w:p>
    <w:bookmarkStart w:id="30" w:name="cohérence-visuelle"/>
    <w:p>
      <w:pPr>
        <w:pStyle w:val="Heading3"/>
      </w:pPr>
      <w:r>
        <w:t xml:space="preserve">Cohérence Visuelle</w:t>
      </w:r>
    </w:p>
    <w:p>
      <w:pPr>
        <w:numPr>
          <w:ilvl w:val="0"/>
          <w:numId w:val="1013"/>
        </w:numPr>
        <w:pStyle w:val="Compact"/>
      </w:pPr>
      <w:r>
        <w:t xml:space="preserve">Respect du design system existant (couleurs, espacements, typographie)</w:t>
      </w:r>
    </w:p>
    <w:p>
      <w:pPr>
        <w:numPr>
          <w:ilvl w:val="0"/>
          <w:numId w:val="1013"/>
        </w:numPr>
        <w:pStyle w:val="Compact"/>
      </w:pPr>
      <w:r>
        <w:t xml:space="preserve">Utilisation des couleurs de marque :</w:t>
      </w:r>
      <w:r>
        <w:t xml:space="preserve"> </w:t>
      </w:r>
      <w:r>
        <w:rPr>
          <w:rStyle w:val="VerbatimChar"/>
        </w:rPr>
        <w:t xml:space="preserve">#F7931A</w:t>
      </w:r>
      <w:r>
        <w:t xml:space="preserve"> </w:t>
      </w:r>
      <w:r>
        <w:t xml:space="preserve">pour les accents</w:t>
      </w:r>
    </w:p>
    <w:p>
      <w:pPr>
        <w:numPr>
          <w:ilvl w:val="0"/>
          <w:numId w:val="1013"/>
        </w:numPr>
        <w:pStyle w:val="Compact"/>
      </w:pPr>
      <w:r>
        <w:t xml:space="preserve">Fond sombre :</w:t>
      </w:r>
      <w:r>
        <w:t xml:space="preserve"> </w:t>
      </w:r>
      <w:r>
        <w:rPr>
          <w:rStyle w:val="VerbatimChar"/>
        </w:rPr>
        <w:t xml:space="preserve">#0a0a0a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#1a1a1a</w:t>
      </w:r>
    </w:p>
    <w:bookmarkEnd w:id="30"/>
    <w:bookmarkStart w:id="31" w:name="animations"/>
    <w:p>
      <w:pPr>
        <w:pStyle w:val="Heading3"/>
      </w:pPr>
      <w:r>
        <w:t xml:space="preserve">Animations</w:t>
      </w:r>
    </w:p>
    <w:p>
      <w:pPr>
        <w:numPr>
          <w:ilvl w:val="0"/>
          <w:numId w:val="1014"/>
        </w:numPr>
        <w:pStyle w:val="Compact"/>
      </w:pPr>
      <w:r>
        <w:t xml:space="preserve">Transitions fluides avec Framer Motion</w:t>
      </w:r>
    </w:p>
    <w:p>
      <w:pPr>
        <w:numPr>
          <w:ilvl w:val="0"/>
          <w:numId w:val="1014"/>
        </w:numPr>
        <w:pStyle w:val="Compact"/>
      </w:pPr>
      <w:r>
        <w:t xml:space="preserve">Effets hover et tap pour l’interactivité</w:t>
      </w:r>
    </w:p>
    <w:p>
      <w:pPr>
        <w:numPr>
          <w:ilvl w:val="0"/>
          <w:numId w:val="1014"/>
        </w:numPr>
        <w:pStyle w:val="Compact"/>
      </w:pPr>
      <w:r>
        <w:t xml:space="preserve">Animations d’entrée progressive des éléments</w:t>
      </w:r>
    </w:p>
    <w:bookmarkEnd w:id="31"/>
    <w:bookmarkStart w:id="32" w:name="responsivité"/>
    <w:p>
      <w:pPr>
        <w:pStyle w:val="Heading3"/>
      </w:pPr>
      <w:r>
        <w:t xml:space="preserve">Responsivité</w:t>
      </w:r>
    </w:p>
    <w:p>
      <w:pPr>
        <w:numPr>
          <w:ilvl w:val="0"/>
          <w:numId w:val="1015"/>
        </w:numPr>
        <w:pStyle w:val="Compact"/>
      </w:pPr>
      <w:r>
        <w:t xml:space="preserve">Interface optimisée mobile-first</w:t>
      </w:r>
    </w:p>
    <w:p>
      <w:pPr>
        <w:numPr>
          <w:ilvl w:val="0"/>
          <w:numId w:val="1015"/>
        </w:numPr>
        <w:pStyle w:val="Compact"/>
      </w:pPr>
      <w:r>
        <w:t xml:space="preserve">Grilles adaptatives</w:t>
      </w:r>
    </w:p>
    <w:p>
      <w:pPr>
        <w:numPr>
          <w:ilvl w:val="0"/>
          <w:numId w:val="1015"/>
        </w:numPr>
        <w:pStyle w:val="Compact"/>
      </w:pPr>
      <w:r>
        <w:t xml:space="preserve">Boutons avec zones de touch appropriées</w:t>
      </w:r>
    </w:p>
    <w:bookmarkEnd w:id="32"/>
    <w:bookmarkEnd w:id="33"/>
    <w:bookmarkStart w:id="34" w:name="flux-de-navigation"/>
    <w:p>
      <w:pPr>
        <w:pStyle w:val="Heading2"/>
      </w:pPr>
      <w:r>
        <w:t xml:space="preserve">🔗 Flux de Navigation</w:t>
      </w:r>
    </w:p>
    <w:p>
      <w:pPr>
        <w:pStyle w:val="SourceCode"/>
      </w:pPr>
      <w:r>
        <w:rPr>
          <w:rStyle w:val="VerbatimChar"/>
        </w:rPr>
        <w:t xml:space="preserve">QuickActions (Buy/Deposit) 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BuyOptionsModal</w:t>
      </w:r>
      <w:r>
        <w:br/>
      </w:r>
      <w:r>
        <w:rPr>
          <w:rStyle w:val="VerbatimChar"/>
        </w:rPr>
        <w:t xml:space="preserve">    ├── P2P Trading → /p2p (existant)</w:t>
      </w:r>
      <w:r>
        <w:br/>
      </w:r>
      <w:r>
        <w:rPr>
          <w:rStyle w:val="VerbatimChar"/>
        </w:rPr>
        <w:t xml:space="preserve">    ├── Déposer EUR → /deposit/fiat</w:t>
      </w:r>
      <w:r>
        <w:br/>
      </w:r>
      <w:r>
        <w:rPr>
          <w:rStyle w:val="VerbatimChar"/>
        </w:rPr>
        <w:t xml:space="preserve">    ├── Acheter avec EUR → /buy/one-click  </w:t>
      </w:r>
      <w:r>
        <w:br/>
      </w:r>
      <w:r>
        <w:rPr>
          <w:rStyle w:val="VerbatimChar"/>
        </w:rPr>
        <w:t xml:space="preserve">    └── Déposer Crypto → /deposit/crypto</w:t>
      </w:r>
    </w:p>
    <w:bookmarkEnd w:id="34"/>
    <w:bookmarkStart w:id="38" w:name="fonctionnalités-techniques"/>
    <w:p>
      <w:pPr>
        <w:pStyle w:val="Heading2"/>
      </w:pPr>
      <w:r>
        <w:t xml:space="preserve">🛠 Fonctionnalités Techniques</w:t>
      </w:r>
    </w:p>
    <w:bookmarkStart w:id="35" w:name="état-et-navigation"/>
    <w:p>
      <w:pPr>
        <w:pStyle w:val="Heading3"/>
      </w:pPr>
      <w:r>
        <w:t xml:space="preserve">État et Navigation</w:t>
      </w:r>
    </w:p>
    <w:p>
      <w:pPr>
        <w:numPr>
          <w:ilvl w:val="0"/>
          <w:numId w:val="1016"/>
        </w:numPr>
        <w:pStyle w:val="Compact"/>
      </w:pPr>
      <w:r>
        <w:t xml:space="preserve">Utilisation de</w:t>
      </w:r>
      <w:r>
        <w:t xml:space="preserve"> </w:t>
      </w:r>
      <w:r>
        <w:rPr>
          <w:rStyle w:val="VerbatimChar"/>
        </w:rPr>
        <w:t xml:space="preserve">useNavigate</w:t>
      </w:r>
      <w:r>
        <w:t xml:space="preserve"> </w:t>
      </w:r>
      <w:r>
        <w:t xml:space="preserve">avec état pour passer des données</w:t>
      </w:r>
    </w:p>
    <w:p>
      <w:pPr>
        <w:numPr>
          <w:ilvl w:val="0"/>
          <w:numId w:val="1016"/>
        </w:numPr>
        <w:pStyle w:val="Compact"/>
      </w:pPr>
      <w:r>
        <w:t xml:space="preserve">Gestion des formulaires avec validation</w:t>
      </w:r>
    </w:p>
    <w:p>
      <w:pPr>
        <w:numPr>
          <w:ilvl w:val="0"/>
          <w:numId w:val="1016"/>
        </w:numPr>
        <w:pStyle w:val="Compact"/>
      </w:pPr>
      <w:r>
        <w:t xml:space="preserve">Simulation des données (balances, taux de change, etc.)</w:t>
      </w:r>
    </w:p>
    <w:bookmarkEnd w:id="35"/>
    <w:bookmarkStart w:id="36" w:name="sécurité"/>
    <w:p>
      <w:pPr>
        <w:pStyle w:val="Heading3"/>
      </w:pPr>
      <w:r>
        <w:t xml:space="preserve">Sécurité</w:t>
      </w:r>
    </w:p>
    <w:p>
      <w:pPr>
        <w:numPr>
          <w:ilvl w:val="0"/>
          <w:numId w:val="1017"/>
        </w:numPr>
        <w:pStyle w:val="Compact"/>
      </w:pPr>
      <w:r>
        <w:t xml:space="preserve">Validation des montants et limites</w:t>
      </w:r>
    </w:p>
    <w:p>
      <w:pPr>
        <w:numPr>
          <w:ilvl w:val="0"/>
          <w:numId w:val="1017"/>
        </w:numPr>
        <w:pStyle w:val="Compact"/>
      </w:pPr>
      <w:r>
        <w:t xml:space="preserve">Messages d’avertissement appropriés</w:t>
      </w:r>
    </w:p>
    <w:p>
      <w:pPr>
        <w:numPr>
          <w:ilvl w:val="0"/>
          <w:numId w:val="1017"/>
        </w:numPr>
        <w:pStyle w:val="Compact"/>
      </w:pPr>
      <w:r>
        <w:t xml:space="preserve">Interface de gestion des conditions d’utilisation</w:t>
      </w:r>
    </w:p>
    <w:bookmarkEnd w:id="36"/>
    <w:bookmarkStart w:id="37" w:name="interactions"/>
    <w:p>
      <w:pPr>
        <w:pStyle w:val="Heading3"/>
      </w:pPr>
      <w:r>
        <w:t xml:space="preserve">Interactions</w:t>
      </w:r>
    </w:p>
    <w:p>
      <w:pPr>
        <w:numPr>
          <w:ilvl w:val="0"/>
          <w:numId w:val="1018"/>
        </w:numPr>
        <w:pStyle w:val="Compact"/>
      </w:pPr>
      <w:r>
        <w:t xml:space="preserve">Feedback haptique avec</w:t>
      </w:r>
      <w:r>
        <w:t xml:space="preserve"> </w:t>
      </w:r>
      <w:r>
        <w:rPr>
          <w:rStyle w:val="VerbatimChar"/>
        </w:rPr>
        <w:t xml:space="preserve">useHapticFeedback</w:t>
      </w:r>
    </w:p>
    <w:p>
      <w:pPr>
        <w:numPr>
          <w:ilvl w:val="0"/>
          <w:numId w:val="1018"/>
        </w:numPr>
        <w:pStyle w:val="Compact"/>
      </w:pPr>
      <w:r>
        <w:t xml:space="preserve">Messages toast pour les confirmations</w:t>
      </w:r>
    </w:p>
    <w:p>
      <w:pPr>
        <w:numPr>
          <w:ilvl w:val="0"/>
          <w:numId w:val="1018"/>
        </w:numPr>
        <w:pStyle w:val="Compact"/>
      </w:pPr>
      <w:r>
        <w:t xml:space="preserve">Gestion des états de chargement</w:t>
      </w:r>
    </w:p>
    <w:bookmarkEnd w:id="37"/>
    <w:bookmarkEnd w:id="38"/>
    <w:bookmarkStart w:id="42" w:name="utilisation"/>
    <w:p>
      <w:pPr>
        <w:pStyle w:val="Heading2"/>
      </w:pPr>
      <w:r>
        <w:t xml:space="preserve">🚀 Utilisation</w:t>
      </w:r>
    </w:p>
    <w:bookmarkStart w:id="39" w:name="accès-au-modal"/>
    <w:p>
      <w:pPr>
        <w:pStyle w:val="Heading3"/>
      </w:pPr>
      <w:r>
        <w:t xml:space="preserve">1. Accès au Modal</w:t>
      </w:r>
    </w:p>
    <w:p>
      <w:pPr>
        <w:pStyle w:val="FirstParagraph"/>
      </w:pPr>
      <w:r>
        <w:t xml:space="preserve">Cliquer sur les boutons</w:t>
      </w:r>
      <w:r>
        <w:t xml:space="preserve"> </w:t>
      </w:r>
      <w:r>
        <w:t xml:space="preserve">“</w:t>
      </w:r>
      <w:r>
        <w:t xml:space="preserve">Buy Crypto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Deposit</w:t>
      </w:r>
      <w:r>
        <w:t xml:space="preserve">”</w:t>
      </w:r>
      <w:r>
        <w:t xml:space="preserve"> </w:t>
      </w:r>
      <w:r>
        <w:t xml:space="preserve">dans QuickActions déclenche l’ouverture du</w:t>
      </w:r>
      <w:r>
        <w:t xml:space="preserve"> </w:t>
      </w:r>
      <w:r>
        <w:rPr>
          <w:rStyle w:val="VerbatimChar"/>
        </w:rPr>
        <w:t xml:space="preserve">BuyOptionsModal</w:t>
      </w:r>
      <w:r>
        <w:t xml:space="preserve">.</w:t>
      </w:r>
    </w:p>
    <w:bookmarkEnd w:id="39"/>
    <w:bookmarkStart w:id="40" w:name="sélection-doption"/>
    <w:p>
      <w:pPr>
        <w:pStyle w:val="Heading3"/>
      </w:pPr>
      <w:r>
        <w:t xml:space="preserve">2. Sélection d’Option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Déposer EUR (Recommandé)</w:t>
      </w:r>
      <w:r>
        <w:t xml:space="preserve"> </w:t>
      </w:r>
      <w:r>
        <w:t xml:space="preserve">: Dépôt via virement bancaire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Acheter avec EUR</w:t>
      </w:r>
      <w:r>
        <w:t xml:space="preserve"> </w:t>
      </w:r>
      <w:r>
        <w:t xml:space="preserve">: Achat direct par carte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Trading P2P</w:t>
      </w:r>
      <w:r>
        <w:t xml:space="preserve"> </w:t>
      </w:r>
      <w:r>
        <w:t xml:space="preserve">: Échange peer-to-peer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Déposer des Cryptomonnaies</w:t>
      </w:r>
      <w:r>
        <w:t xml:space="preserve"> </w:t>
      </w:r>
      <w:r>
        <w:t xml:space="preserve">: Transfert depuis wallets externes</w:t>
      </w:r>
    </w:p>
    <w:bookmarkEnd w:id="40"/>
    <w:bookmarkStart w:id="41" w:name="flux-spécialisés"/>
    <w:p>
      <w:pPr>
        <w:pStyle w:val="Heading3"/>
      </w:pPr>
      <w:r>
        <w:t xml:space="preserve">3. Flux Spécialisés</w:t>
      </w:r>
    </w:p>
    <w:p>
      <w:pPr>
        <w:pStyle w:val="FirstParagraph"/>
      </w:pPr>
      <w:r>
        <w:t xml:space="preserve">Chaque option redirige vers sa page dédiée avec interface optimisée pour l’action spécifique.</w:t>
      </w:r>
    </w:p>
    <w:bookmarkEnd w:id="41"/>
    <w:bookmarkEnd w:id="42"/>
    <w:bookmarkStart w:id="43" w:name="compatibilité"/>
    <w:p>
      <w:pPr>
        <w:pStyle w:val="Heading2"/>
      </w:pPr>
      <w:r>
        <w:t xml:space="preserve">📱 Compatibilité</w:t>
      </w:r>
    </w:p>
    <w:p>
      <w:pPr>
        <w:numPr>
          <w:ilvl w:val="0"/>
          <w:numId w:val="1020"/>
        </w:numPr>
        <w:pStyle w:val="Compact"/>
      </w:pPr>
      <w:r>
        <w:t xml:space="preserve">✅ Mobile (design principal)</w:t>
      </w:r>
    </w:p>
    <w:p>
      <w:pPr>
        <w:numPr>
          <w:ilvl w:val="0"/>
          <w:numId w:val="1020"/>
        </w:numPr>
        <w:pStyle w:val="Compact"/>
      </w:pPr>
      <w:r>
        <w:t xml:space="preserve">✅ Tablette (responsive)</w:t>
      </w:r>
    </w:p>
    <w:p>
      <w:pPr>
        <w:numPr>
          <w:ilvl w:val="0"/>
          <w:numId w:val="1020"/>
        </w:numPr>
        <w:pStyle w:val="Compact"/>
      </w:pPr>
      <w:r>
        <w:t xml:space="preserve">✅ Desktop (adaptable)</w:t>
      </w:r>
    </w:p>
    <w:p>
      <w:pPr>
        <w:numPr>
          <w:ilvl w:val="0"/>
          <w:numId w:val="1020"/>
        </w:numPr>
        <w:pStyle w:val="Compact"/>
      </w:pPr>
      <w:r>
        <w:t xml:space="preserve">✅ Dark mode (natif)</w:t>
      </w:r>
    </w:p>
    <w:bookmarkEnd w:id="43"/>
    <w:bookmarkStart w:id="46" w:name="extensions-futures"/>
    <w:p>
      <w:pPr>
        <w:pStyle w:val="Heading2"/>
      </w:pPr>
      <w:r>
        <w:t xml:space="preserve">🔮 Extensions Futures</w:t>
      </w:r>
    </w:p>
    <w:bookmarkStart w:id="44" w:name="possibles-améliorations"/>
    <w:p>
      <w:pPr>
        <w:pStyle w:val="Heading3"/>
      </w:pPr>
      <w:r>
        <w:t xml:space="preserve">Possibles Améliorations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Intégration API réelle</w:t>
      </w:r>
      <w:r>
        <w:t xml:space="preserve"> </w:t>
      </w:r>
      <w:r>
        <w:t xml:space="preserve">pour les taux de change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Système de notifications</w:t>
      </w:r>
      <w:r>
        <w:t xml:space="preserve"> </w:t>
      </w:r>
      <w:r>
        <w:t xml:space="preserve">pour les transactions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Historique des transactions</w:t>
      </w:r>
      <w:r>
        <w:t xml:space="preserve"> </w:t>
      </w:r>
      <w:r>
        <w:t xml:space="preserve">intégré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Authentification wallet</w:t>
      </w:r>
      <w:r>
        <w:t xml:space="preserve"> </w:t>
      </w:r>
      <w:r>
        <w:t xml:space="preserve">avec Web3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Calculateur de frais avancé</w:t>
      </w:r>
    </w:p>
    <w:bookmarkEnd w:id="44"/>
    <w:bookmarkStart w:id="45" w:name="points-dextension"/>
    <w:p>
      <w:pPr>
        <w:pStyle w:val="Heading3"/>
      </w:pPr>
      <w:r>
        <w:t xml:space="preserve">Points d’Extension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services/</w:t>
      </w:r>
      <w:r>
        <w:t xml:space="preserve"> </w:t>
      </w:r>
      <w:r>
        <w:t xml:space="preserve">pour intégrations API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hooks/</w:t>
      </w:r>
      <w:r>
        <w:t xml:space="preserve"> </w:t>
      </w:r>
      <w:r>
        <w:t xml:space="preserve">pour logique métier réutilisable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utils/</w:t>
      </w:r>
      <w:r>
        <w:t xml:space="preserve"> </w:t>
      </w:r>
      <w:r>
        <w:t xml:space="preserve">pour helpers de calcul/validation</w:t>
      </w:r>
    </w:p>
    <w:bookmarkEnd w:id="45"/>
    <w:bookmarkEnd w:id="46"/>
    <w:bookmarkStart w:id="47" w:name="conformité-captures-décran"/>
    <w:p>
      <w:pPr>
        <w:pStyle w:val="Heading2"/>
      </w:pPr>
      <w:r>
        <w:t xml:space="preserve">🎯 Conformité Captures d’Écran</w:t>
      </w:r>
    </w:p>
    <w:p>
      <w:pPr>
        <w:pStyle w:val="FirstParagraph"/>
      </w:pPr>
      <w:r>
        <w:t xml:space="preserve">Le code implémente fidèlement les interfaces montrées dans les captures :</w:t>
      </w:r>
      <w:r>
        <w:t xml:space="preserve"> </w:t>
      </w:r>
      <w:r>
        <w:t xml:space="preserve">- ✅ Modal de sélection des méthodes de paiement</w:t>
      </w:r>
      <w:r>
        <w:t xml:space="preserve"> </w:t>
      </w:r>
      <w:r>
        <w:t xml:space="preserve">- ✅ Interface de dépôt fiat avec méthodes ZEN/SEPA/Easy Bank</w:t>
      </w:r>
      <w:r>
        <w:t xml:space="preserve"> </w:t>
      </w:r>
      <w:r>
        <w:t xml:space="preserve">- ✅ Interface One-Click Buy avec clavier numérique</w:t>
      </w:r>
      <w:r>
        <w:t xml:space="preserve"> </w:t>
      </w:r>
      <w:r>
        <w:t xml:space="preserve">- ✅ Sélection de wallets pour dépôt crypto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Auteur 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Date :</w:t>
      </w:r>
      <w:r>
        <w:t xml:space="preserve"> </w:t>
      </w:r>
      <w:r>
        <w:t xml:space="preserve">29 juin 2025</w:t>
      </w:r>
      <w:r>
        <w:br/>
      </w:r>
      <w:r>
        <w:rPr>
          <w:bCs/>
          <w:b/>
        </w:rPr>
        <w:t xml:space="preserve">Version :</w:t>
      </w:r>
      <w:r>
        <w:t xml:space="preserve"> </w:t>
      </w:r>
      <w:r>
        <w:t xml:space="preserve">1.0.0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2025-06-29T06:51:03Z</dcterms:created>
  <dcterms:modified xsi:type="dcterms:W3CDTF">2025-06-29T06:51:03Z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