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6F3B" w14:textId="26212FF5" w:rsidR="004F6762" w:rsidRDefault="004F6762" w:rsidP="004F6762">
      <w:pPr>
        <w:rPr>
          <w:rFonts w:hint="eastAsia"/>
        </w:rPr>
      </w:pPr>
      <w:r>
        <w:rPr>
          <w:rFonts w:hint="eastAsia"/>
        </w:rPr>
        <w:t>目标客户的统计信息以离散型随机变量为主，为了研究其人口学特征与购买的关系，这里</w:t>
      </w:r>
      <w:proofErr w:type="gramStart"/>
      <w:r>
        <w:rPr>
          <w:rFonts w:hint="eastAsia"/>
        </w:rPr>
        <w:t>采用卡方独立性检验</w:t>
      </w:r>
      <w:proofErr w:type="gramEnd"/>
      <w:r>
        <w:rPr>
          <w:rFonts w:hint="eastAsia"/>
        </w:rPr>
        <w:t>的方法。其中诸如年龄、工龄等特征为了方便处理使用划分区间的方法进一步做离散化处理。</w:t>
      </w:r>
    </w:p>
    <w:p w14:paraId="54D70888" w14:textId="5782F7CE" w:rsidR="004F6762" w:rsidRDefault="004F6762" w:rsidP="004F6762">
      <w:pPr>
        <w:rPr>
          <w:rFonts w:hint="eastAsia"/>
        </w:rPr>
      </w:pPr>
      <w:r>
        <w:rPr>
          <w:rFonts w:hint="eastAsia"/>
        </w:rPr>
        <w:t>卡方检验是一种不要求总体</w:t>
      </w:r>
      <w:proofErr w:type="gramStart"/>
      <w:r>
        <w:rPr>
          <w:rFonts w:hint="eastAsia"/>
        </w:rPr>
        <w:t>正态性的</w:t>
      </w:r>
      <w:proofErr w:type="gramEnd"/>
      <w:r>
        <w:rPr>
          <w:rFonts w:hint="eastAsia"/>
        </w:rPr>
        <w:t>非参数检验，其中</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hint="eastAsia"/>
              </w:rPr>
              <m:t>2</m:t>
            </m:r>
          </m:sup>
        </m:sSup>
      </m:oMath>
      <w:r>
        <w:rPr>
          <w:rFonts w:hint="eastAsia"/>
        </w:rPr>
        <w:t>统计量</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hint="eastAsia"/>
              </w:rPr>
              <m:t>2</m:t>
            </m:r>
          </m:sup>
        </m:sSup>
        <m:r>
          <m:rPr>
            <m:sty m:val="p"/>
          </m:rPr>
          <w:rPr>
            <w:rFonts w:ascii="Cambria Math" w:hAnsi="Cambria Math" w:hint="eastAsia"/>
          </w:rPr>
          <m:t>=</m:t>
        </m:r>
        <m:nary>
          <m:naryPr>
            <m:chr m:val="∑"/>
            <m:subHide m:val="1"/>
            <m:supHide m:val="1"/>
            <m:ctrlPr>
              <w:rPr>
                <w:rFonts w:ascii="Cambria Math" w:hAnsi="Cambria Math"/>
              </w:rPr>
            </m:ctrlPr>
          </m:naryPr>
          <m:sub/>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o</m:t>
                            </m:r>
                          </m:sub>
                        </m:sSub>
                        <m:r>
                          <m:rPr>
                            <m:sty m:val="p"/>
                          </m:rP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f</m:t>
                            </m:r>
                            <m:ctrlPr>
                              <w:rPr>
                                <w:rFonts w:ascii="Cambria Math" w:eastAsia="微软雅黑" w:hAnsi="Cambria Math" w:cs="微软雅黑"/>
                              </w:rPr>
                            </m:ctrlPr>
                          </m:e>
                          <m:sub>
                            <m:r>
                              <m:rPr>
                                <m:sty m:val="p"/>
                              </m:rPr>
                              <w:rPr>
                                <w:rFonts w:ascii="Cambria Math" w:hAnsi="Cambria Math"/>
                              </w:rPr>
                              <m:t>e</m:t>
                            </m:r>
                          </m:sub>
                        </m:sSub>
                      </m:e>
                    </m:d>
                  </m:e>
                  <m:sup>
                    <m:r>
                      <m:rPr>
                        <m:sty m:val="p"/>
                      </m:rPr>
                      <w:rPr>
                        <w:rFonts w:ascii="Cambria Math" w:hAnsi="Cambria Math" w:hint="eastAsia"/>
                      </w:rPr>
                      <m:t>2</m:t>
                    </m:r>
                  </m:sup>
                </m:sSup>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den>
            </m:f>
          </m:e>
        </m:nary>
      </m:oMath>
      <w:r>
        <w:rPr>
          <w:rFonts w:hint="eastAsia"/>
        </w:rPr>
        <w:t>刻画了两个分类变量的相关程度，</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hint="eastAsia"/>
              </w:rPr>
              <m:t>2</m:t>
            </m:r>
          </m:sup>
        </m:sSup>
      </m:oMath>
      <w:r>
        <w:rPr>
          <w:rFonts w:hint="eastAsia"/>
        </w:rPr>
        <w:t>统计量越大，表明观察值频数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o</m:t>
            </m:r>
          </m:sub>
        </m:sSub>
      </m:oMath>
      <w:r>
        <w:rPr>
          <w:rFonts w:hint="eastAsia"/>
        </w:rPr>
        <w:t>与期望值频数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e</m:t>
            </m:r>
          </m:sub>
        </m:sSub>
      </m:oMath>
      <w:r>
        <w:rPr>
          <w:rFonts w:hint="eastAsia"/>
        </w:rPr>
        <w:t>的差别越大，进而表明行列两个分类变量之间越有可能具有相关性。</w:t>
      </w:r>
    </w:p>
    <w:p w14:paraId="586F366D" w14:textId="4554641B" w:rsidR="004F6762" w:rsidRDefault="004F6762" w:rsidP="004F6762">
      <w:pPr>
        <w:rPr>
          <w:rFonts w:hint="eastAsia"/>
        </w:rPr>
      </w:pPr>
      <w:r>
        <w:rPr>
          <w:rFonts w:hint="eastAsia"/>
        </w:rPr>
        <w:t>本题中提出原假设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hint="eastAsia"/>
              </w:rPr>
              <m:t>0</m:t>
            </m:r>
          </m:sub>
        </m:sSub>
      </m:oMath>
      <w:r>
        <w:rPr>
          <w:rFonts w:hint="eastAsia"/>
        </w:rPr>
        <w:t>：客户的身份信息与是否购买无关；备择假设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hint="eastAsia"/>
              </w:rPr>
              <m:t>1</m:t>
            </m:r>
          </m:sub>
        </m:sSub>
      </m:oMath>
      <w:r>
        <w:rPr>
          <w:rFonts w:hint="eastAsia"/>
        </w:rPr>
        <w:t>：客户的身份信息与是否购买无关。事先指定犯错误的概率</w:t>
      </w:r>
      <m:oMath>
        <m:r>
          <m:rPr>
            <m:sty m:val="p"/>
          </m:rPr>
          <w:rPr>
            <w:rFonts w:ascii="Cambria Math" w:hAnsi="Cambria Math"/>
          </w:rPr>
          <m:t>α</m:t>
        </m:r>
        <m:r>
          <m:rPr>
            <m:sty m:val="p"/>
          </m:rPr>
          <w:rPr>
            <w:rFonts w:ascii="Cambria Math" w:hAnsi="Cambria Math" w:hint="eastAsia"/>
          </w:rPr>
          <m:t>=0.1</m:t>
        </m:r>
      </m:oMath>
      <w:r>
        <w:rPr>
          <w:rFonts w:hint="eastAsia"/>
        </w:rPr>
        <w:t>，则各变量卡方值如下：</w:t>
      </w:r>
    </w:p>
    <w:tbl>
      <w:tblPr>
        <w:tblStyle w:val="a3"/>
        <w:tblW w:w="0" w:type="auto"/>
        <w:tblLook w:val="04A0" w:firstRow="1" w:lastRow="0" w:firstColumn="1" w:lastColumn="0" w:noHBand="0" w:noVBand="1"/>
      </w:tblPr>
      <w:tblGrid>
        <w:gridCol w:w="763"/>
        <w:gridCol w:w="1698"/>
        <w:gridCol w:w="1087"/>
        <w:gridCol w:w="1525"/>
        <w:gridCol w:w="1525"/>
        <w:gridCol w:w="1698"/>
      </w:tblGrid>
      <w:tr w:rsidR="004F6762" w:rsidRPr="004F6762" w14:paraId="229FFDEE" w14:textId="77777777" w:rsidTr="004F6762">
        <w:trPr>
          <w:trHeight w:val="276"/>
        </w:trPr>
        <w:tc>
          <w:tcPr>
            <w:tcW w:w="764" w:type="dxa"/>
            <w:noWrap/>
            <w:hideMark/>
          </w:tcPr>
          <w:p w14:paraId="16C4873E" w14:textId="77777777" w:rsidR="004F6762" w:rsidRPr="004F6762" w:rsidRDefault="004F6762" w:rsidP="004F6762"/>
        </w:tc>
        <w:tc>
          <w:tcPr>
            <w:tcW w:w="1700" w:type="dxa"/>
            <w:noWrap/>
            <w:hideMark/>
          </w:tcPr>
          <w:p w14:paraId="0C85178A" w14:textId="77777777" w:rsidR="004F6762" w:rsidRPr="004F6762" w:rsidRDefault="004F6762">
            <w:r w:rsidRPr="004F6762">
              <w:rPr>
                <w:rFonts w:hint="eastAsia"/>
              </w:rPr>
              <w:t>户籍情况（</w:t>
            </w:r>
            <w:r w:rsidRPr="004F6762">
              <w:rPr>
                <w:rFonts w:hint="eastAsia"/>
              </w:rPr>
              <w:t>B</w:t>
            </w:r>
            <w:r w:rsidRPr="004F6762">
              <w:rPr>
                <w:rFonts w:hint="eastAsia"/>
              </w:rPr>
              <w:t>）</w:t>
            </w:r>
          </w:p>
        </w:tc>
        <w:tc>
          <w:tcPr>
            <w:tcW w:w="1088" w:type="dxa"/>
            <w:noWrap/>
            <w:hideMark/>
          </w:tcPr>
          <w:p w14:paraId="68E4BD95" w14:textId="77777777" w:rsidR="004F6762" w:rsidRPr="004F6762" w:rsidRDefault="004F6762">
            <w:pPr>
              <w:rPr>
                <w:rFonts w:hint="eastAsia"/>
              </w:rPr>
            </w:pPr>
            <w:r w:rsidRPr="004F6762">
              <w:rPr>
                <w:rFonts w:hint="eastAsia"/>
              </w:rPr>
              <w:t>居住时间（</w:t>
            </w:r>
            <w:r w:rsidRPr="004F6762">
              <w:rPr>
                <w:rFonts w:hint="eastAsia"/>
              </w:rPr>
              <w:t>B2</w:t>
            </w:r>
            <w:r w:rsidRPr="004F6762">
              <w:rPr>
                <w:rFonts w:hint="eastAsia"/>
              </w:rPr>
              <w:t>）</w:t>
            </w:r>
          </w:p>
        </w:tc>
        <w:tc>
          <w:tcPr>
            <w:tcW w:w="1527" w:type="dxa"/>
            <w:noWrap/>
            <w:hideMark/>
          </w:tcPr>
          <w:p w14:paraId="2A49DCAA" w14:textId="77777777" w:rsidR="004F6762" w:rsidRPr="004F6762" w:rsidRDefault="004F6762">
            <w:pPr>
              <w:rPr>
                <w:rFonts w:hint="eastAsia"/>
              </w:rPr>
            </w:pPr>
            <w:r w:rsidRPr="004F6762">
              <w:rPr>
                <w:rFonts w:hint="eastAsia"/>
              </w:rPr>
              <w:t>居住区域（</w:t>
            </w:r>
            <w:r w:rsidRPr="004F6762">
              <w:rPr>
                <w:rFonts w:hint="eastAsia"/>
              </w:rPr>
              <w:t>B3</w:t>
            </w:r>
            <w:r w:rsidRPr="004F6762">
              <w:rPr>
                <w:rFonts w:hint="eastAsia"/>
              </w:rPr>
              <w:t>）</w:t>
            </w:r>
          </w:p>
        </w:tc>
        <w:tc>
          <w:tcPr>
            <w:tcW w:w="1527" w:type="dxa"/>
            <w:noWrap/>
            <w:hideMark/>
          </w:tcPr>
          <w:p w14:paraId="6EA32FEF" w14:textId="77777777" w:rsidR="004F6762" w:rsidRPr="004F6762" w:rsidRDefault="004F6762">
            <w:pPr>
              <w:rPr>
                <w:rFonts w:hint="eastAsia"/>
              </w:rPr>
            </w:pPr>
            <w:r w:rsidRPr="004F6762">
              <w:rPr>
                <w:rFonts w:hint="eastAsia"/>
              </w:rPr>
              <w:t>驾龄（</w:t>
            </w:r>
            <w:r w:rsidRPr="004F6762">
              <w:rPr>
                <w:rFonts w:hint="eastAsia"/>
              </w:rPr>
              <w:t>B4</w:t>
            </w:r>
            <w:r w:rsidRPr="004F6762">
              <w:rPr>
                <w:rFonts w:hint="eastAsia"/>
              </w:rPr>
              <w:t>）</w:t>
            </w:r>
          </w:p>
        </w:tc>
        <w:tc>
          <w:tcPr>
            <w:tcW w:w="1700" w:type="dxa"/>
            <w:noWrap/>
            <w:hideMark/>
          </w:tcPr>
          <w:p w14:paraId="0572DD49" w14:textId="77777777" w:rsidR="004F6762" w:rsidRPr="004F6762" w:rsidRDefault="004F6762">
            <w:pPr>
              <w:rPr>
                <w:rFonts w:hint="eastAsia"/>
              </w:rPr>
            </w:pPr>
            <w:r w:rsidRPr="004F6762">
              <w:rPr>
                <w:rFonts w:hint="eastAsia"/>
              </w:rPr>
              <w:t>家庭人口数（</w:t>
            </w:r>
            <w:r w:rsidRPr="004F6762">
              <w:rPr>
                <w:rFonts w:hint="eastAsia"/>
              </w:rPr>
              <w:t>B5</w:t>
            </w:r>
            <w:r w:rsidRPr="004F6762">
              <w:rPr>
                <w:rFonts w:hint="eastAsia"/>
              </w:rPr>
              <w:t>）</w:t>
            </w:r>
          </w:p>
        </w:tc>
      </w:tr>
      <w:tr w:rsidR="004F6762" w:rsidRPr="004F6762" w14:paraId="2C28CF51" w14:textId="77777777" w:rsidTr="004F6762">
        <w:trPr>
          <w:trHeight w:val="276"/>
        </w:trPr>
        <w:tc>
          <w:tcPr>
            <w:tcW w:w="764" w:type="dxa"/>
            <w:noWrap/>
            <w:hideMark/>
          </w:tcPr>
          <w:p w14:paraId="6EDD6714" w14:textId="77777777" w:rsidR="004F6762" w:rsidRPr="004F6762" w:rsidRDefault="004F6762">
            <w:pPr>
              <w:rPr>
                <w:rFonts w:hint="eastAsia"/>
              </w:rPr>
            </w:pPr>
            <w:r w:rsidRPr="004F6762">
              <w:rPr>
                <w:rFonts w:hint="eastAsia"/>
              </w:rPr>
              <w:t>卡方值</w:t>
            </w:r>
          </w:p>
        </w:tc>
        <w:tc>
          <w:tcPr>
            <w:tcW w:w="1700" w:type="dxa"/>
            <w:noWrap/>
            <w:hideMark/>
          </w:tcPr>
          <w:p w14:paraId="3EC85F61" w14:textId="77777777" w:rsidR="004F6762" w:rsidRPr="004F6762" w:rsidRDefault="004F6762" w:rsidP="004F6762">
            <w:pPr>
              <w:rPr>
                <w:rFonts w:hint="eastAsia"/>
              </w:rPr>
            </w:pPr>
            <w:r w:rsidRPr="004F6762">
              <w:rPr>
                <w:rFonts w:hint="eastAsia"/>
              </w:rPr>
              <w:t xml:space="preserve">2.195 </w:t>
            </w:r>
          </w:p>
        </w:tc>
        <w:tc>
          <w:tcPr>
            <w:tcW w:w="1088" w:type="dxa"/>
            <w:noWrap/>
            <w:hideMark/>
          </w:tcPr>
          <w:p w14:paraId="27FFE27C" w14:textId="77777777" w:rsidR="004F6762" w:rsidRPr="004F6762" w:rsidRDefault="004F6762" w:rsidP="004F6762">
            <w:pPr>
              <w:rPr>
                <w:rFonts w:hint="eastAsia"/>
              </w:rPr>
            </w:pPr>
            <w:r w:rsidRPr="004F6762">
              <w:rPr>
                <w:rFonts w:hint="eastAsia"/>
              </w:rPr>
              <w:t xml:space="preserve">20.573 </w:t>
            </w:r>
          </w:p>
        </w:tc>
        <w:tc>
          <w:tcPr>
            <w:tcW w:w="1527" w:type="dxa"/>
            <w:noWrap/>
            <w:hideMark/>
          </w:tcPr>
          <w:p w14:paraId="1EA06526" w14:textId="77777777" w:rsidR="004F6762" w:rsidRPr="004F6762" w:rsidRDefault="004F6762" w:rsidP="004F6762">
            <w:pPr>
              <w:rPr>
                <w:rFonts w:hint="eastAsia"/>
              </w:rPr>
            </w:pPr>
            <w:r w:rsidRPr="004F6762">
              <w:rPr>
                <w:rFonts w:hint="eastAsia"/>
              </w:rPr>
              <w:t xml:space="preserve">16.097 </w:t>
            </w:r>
          </w:p>
        </w:tc>
        <w:tc>
          <w:tcPr>
            <w:tcW w:w="1527" w:type="dxa"/>
            <w:noWrap/>
            <w:hideMark/>
          </w:tcPr>
          <w:p w14:paraId="0A551BD4" w14:textId="77777777" w:rsidR="004F6762" w:rsidRPr="004F6762" w:rsidRDefault="004F6762" w:rsidP="004F6762">
            <w:pPr>
              <w:rPr>
                <w:rFonts w:hint="eastAsia"/>
              </w:rPr>
            </w:pPr>
            <w:r w:rsidRPr="004F6762">
              <w:rPr>
                <w:rFonts w:hint="eastAsia"/>
              </w:rPr>
              <w:t xml:space="preserve">12.346 </w:t>
            </w:r>
          </w:p>
        </w:tc>
        <w:tc>
          <w:tcPr>
            <w:tcW w:w="1700" w:type="dxa"/>
            <w:noWrap/>
            <w:hideMark/>
          </w:tcPr>
          <w:p w14:paraId="7E195041" w14:textId="77777777" w:rsidR="004F6762" w:rsidRPr="004F6762" w:rsidRDefault="004F6762" w:rsidP="004F6762">
            <w:pPr>
              <w:rPr>
                <w:rFonts w:hint="eastAsia"/>
              </w:rPr>
            </w:pPr>
            <w:r w:rsidRPr="004F6762">
              <w:rPr>
                <w:rFonts w:hint="eastAsia"/>
              </w:rPr>
              <w:t xml:space="preserve">3.752 </w:t>
            </w:r>
          </w:p>
        </w:tc>
      </w:tr>
      <w:tr w:rsidR="004F6762" w:rsidRPr="004F6762" w14:paraId="4A9AD12B" w14:textId="77777777" w:rsidTr="004F6762">
        <w:trPr>
          <w:trHeight w:val="276"/>
        </w:trPr>
        <w:tc>
          <w:tcPr>
            <w:tcW w:w="764" w:type="dxa"/>
            <w:noWrap/>
            <w:hideMark/>
          </w:tcPr>
          <w:p w14:paraId="34A61A16" w14:textId="77777777" w:rsidR="004F6762" w:rsidRPr="004F6762" w:rsidRDefault="004F6762" w:rsidP="004F6762">
            <w:pPr>
              <w:rPr>
                <w:rFonts w:hint="eastAsia"/>
              </w:rPr>
            </w:pPr>
            <w:r w:rsidRPr="004F6762">
              <w:rPr>
                <w:rFonts w:hint="eastAsia"/>
              </w:rPr>
              <w:t>p</w:t>
            </w:r>
            <w:r w:rsidRPr="004F6762">
              <w:rPr>
                <w:rFonts w:hint="eastAsia"/>
              </w:rPr>
              <w:t>值</w:t>
            </w:r>
          </w:p>
        </w:tc>
        <w:tc>
          <w:tcPr>
            <w:tcW w:w="1700" w:type="dxa"/>
            <w:noWrap/>
            <w:hideMark/>
          </w:tcPr>
          <w:p w14:paraId="634398A7" w14:textId="77777777" w:rsidR="004F6762" w:rsidRPr="004F6762" w:rsidRDefault="004F6762" w:rsidP="004F6762">
            <w:pPr>
              <w:rPr>
                <w:rFonts w:hint="eastAsia"/>
              </w:rPr>
            </w:pPr>
            <w:r w:rsidRPr="004F6762">
              <w:rPr>
                <w:rFonts w:hint="eastAsia"/>
              </w:rPr>
              <w:t xml:space="preserve">0.334 </w:t>
            </w:r>
          </w:p>
        </w:tc>
        <w:tc>
          <w:tcPr>
            <w:tcW w:w="1088" w:type="dxa"/>
            <w:noWrap/>
            <w:hideMark/>
          </w:tcPr>
          <w:p w14:paraId="334436A1" w14:textId="77777777" w:rsidR="004F6762" w:rsidRPr="004F6762" w:rsidRDefault="004F6762" w:rsidP="004F6762">
            <w:pPr>
              <w:rPr>
                <w:rFonts w:hint="eastAsia"/>
              </w:rPr>
            </w:pPr>
            <w:r w:rsidRPr="004F6762">
              <w:rPr>
                <w:rFonts w:hint="eastAsia"/>
              </w:rPr>
              <w:t xml:space="preserve">0.015 </w:t>
            </w:r>
          </w:p>
        </w:tc>
        <w:tc>
          <w:tcPr>
            <w:tcW w:w="1527" w:type="dxa"/>
            <w:noWrap/>
            <w:hideMark/>
          </w:tcPr>
          <w:p w14:paraId="5AF090E8" w14:textId="77777777" w:rsidR="004F6762" w:rsidRPr="004F6762" w:rsidRDefault="004F6762" w:rsidP="004F6762">
            <w:pPr>
              <w:rPr>
                <w:rFonts w:hint="eastAsia"/>
              </w:rPr>
            </w:pPr>
            <w:r w:rsidRPr="004F6762">
              <w:rPr>
                <w:rFonts w:hint="eastAsia"/>
              </w:rPr>
              <w:t xml:space="preserve">0.007 </w:t>
            </w:r>
          </w:p>
        </w:tc>
        <w:tc>
          <w:tcPr>
            <w:tcW w:w="1527" w:type="dxa"/>
            <w:noWrap/>
            <w:hideMark/>
          </w:tcPr>
          <w:p w14:paraId="59F40CFD" w14:textId="77777777" w:rsidR="004F6762" w:rsidRPr="004F6762" w:rsidRDefault="004F6762" w:rsidP="004F6762">
            <w:pPr>
              <w:rPr>
                <w:rFonts w:hint="eastAsia"/>
              </w:rPr>
            </w:pPr>
            <w:r w:rsidRPr="004F6762">
              <w:rPr>
                <w:rFonts w:hint="eastAsia"/>
              </w:rPr>
              <w:t xml:space="preserve">0.194 </w:t>
            </w:r>
          </w:p>
        </w:tc>
        <w:tc>
          <w:tcPr>
            <w:tcW w:w="1700" w:type="dxa"/>
            <w:noWrap/>
            <w:hideMark/>
          </w:tcPr>
          <w:p w14:paraId="02A337A8" w14:textId="77777777" w:rsidR="004F6762" w:rsidRPr="004F6762" w:rsidRDefault="004F6762" w:rsidP="004F6762">
            <w:pPr>
              <w:rPr>
                <w:rFonts w:hint="eastAsia"/>
              </w:rPr>
            </w:pPr>
            <w:r w:rsidRPr="004F6762">
              <w:rPr>
                <w:rFonts w:hint="eastAsia"/>
              </w:rPr>
              <w:t xml:space="preserve">0.586 </w:t>
            </w:r>
          </w:p>
        </w:tc>
      </w:tr>
      <w:tr w:rsidR="004F6762" w:rsidRPr="004F6762" w14:paraId="319051F6" w14:textId="77777777" w:rsidTr="004F6762">
        <w:trPr>
          <w:trHeight w:val="276"/>
        </w:trPr>
        <w:tc>
          <w:tcPr>
            <w:tcW w:w="764" w:type="dxa"/>
            <w:noWrap/>
            <w:hideMark/>
          </w:tcPr>
          <w:p w14:paraId="30572DC0" w14:textId="77777777" w:rsidR="004F6762" w:rsidRPr="004F6762" w:rsidRDefault="004F6762" w:rsidP="004F6762">
            <w:pPr>
              <w:rPr>
                <w:rFonts w:hint="eastAsia"/>
              </w:rPr>
            </w:pPr>
          </w:p>
        </w:tc>
        <w:tc>
          <w:tcPr>
            <w:tcW w:w="1700" w:type="dxa"/>
            <w:noWrap/>
            <w:hideMark/>
          </w:tcPr>
          <w:p w14:paraId="1B82E20A" w14:textId="77777777" w:rsidR="004F6762" w:rsidRPr="004F6762" w:rsidRDefault="004F6762">
            <w:r w:rsidRPr="004F6762">
              <w:rPr>
                <w:rFonts w:hint="eastAsia"/>
              </w:rPr>
              <w:t>婚姻家庭情况（</w:t>
            </w:r>
            <w:r w:rsidRPr="004F6762">
              <w:rPr>
                <w:rFonts w:hint="eastAsia"/>
              </w:rPr>
              <w:t>B6</w:t>
            </w:r>
            <w:r w:rsidRPr="004F6762">
              <w:rPr>
                <w:rFonts w:hint="eastAsia"/>
              </w:rPr>
              <w:t>）</w:t>
            </w:r>
          </w:p>
        </w:tc>
        <w:tc>
          <w:tcPr>
            <w:tcW w:w="1088" w:type="dxa"/>
            <w:noWrap/>
            <w:hideMark/>
          </w:tcPr>
          <w:p w14:paraId="07265175" w14:textId="77777777" w:rsidR="004F6762" w:rsidRPr="004F6762" w:rsidRDefault="004F6762">
            <w:pPr>
              <w:rPr>
                <w:rFonts w:hint="eastAsia"/>
              </w:rPr>
            </w:pPr>
            <w:r w:rsidRPr="004F6762">
              <w:rPr>
                <w:rFonts w:hint="eastAsia"/>
              </w:rPr>
              <w:t>育儿数（</w:t>
            </w:r>
            <w:r w:rsidRPr="004F6762">
              <w:rPr>
                <w:rFonts w:hint="eastAsia"/>
              </w:rPr>
              <w:t>B7</w:t>
            </w:r>
            <w:r w:rsidRPr="004F6762">
              <w:rPr>
                <w:rFonts w:hint="eastAsia"/>
              </w:rPr>
              <w:t>）</w:t>
            </w:r>
          </w:p>
        </w:tc>
        <w:tc>
          <w:tcPr>
            <w:tcW w:w="1527" w:type="dxa"/>
            <w:noWrap/>
            <w:hideMark/>
          </w:tcPr>
          <w:p w14:paraId="640FB557" w14:textId="77777777" w:rsidR="004F6762" w:rsidRPr="004F6762" w:rsidRDefault="004F6762">
            <w:pPr>
              <w:rPr>
                <w:rFonts w:hint="eastAsia"/>
              </w:rPr>
            </w:pPr>
            <w:r w:rsidRPr="004F6762">
              <w:rPr>
                <w:rFonts w:hint="eastAsia"/>
              </w:rPr>
              <w:t>年龄（</w:t>
            </w:r>
            <w:r w:rsidRPr="004F6762">
              <w:rPr>
                <w:rFonts w:hint="eastAsia"/>
              </w:rPr>
              <w:t>B8</w:t>
            </w:r>
            <w:r w:rsidRPr="004F6762">
              <w:rPr>
                <w:rFonts w:hint="eastAsia"/>
              </w:rPr>
              <w:t>）</w:t>
            </w:r>
          </w:p>
        </w:tc>
        <w:tc>
          <w:tcPr>
            <w:tcW w:w="1527" w:type="dxa"/>
            <w:noWrap/>
            <w:hideMark/>
          </w:tcPr>
          <w:p w14:paraId="49ACC184" w14:textId="77777777" w:rsidR="004F6762" w:rsidRPr="004F6762" w:rsidRDefault="004F6762">
            <w:pPr>
              <w:rPr>
                <w:rFonts w:hint="eastAsia"/>
              </w:rPr>
            </w:pPr>
            <w:r w:rsidRPr="004F6762">
              <w:rPr>
                <w:rFonts w:hint="eastAsia"/>
              </w:rPr>
              <w:t>最高学历（</w:t>
            </w:r>
            <w:r w:rsidRPr="004F6762">
              <w:rPr>
                <w:rFonts w:hint="eastAsia"/>
              </w:rPr>
              <w:t>B9</w:t>
            </w:r>
            <w:r w:rsidRPr="004F6762">
              <w:rPr>
                <w:rFonts w:hint="eastAsia"/>
              </w:rPr>
              <w:t>）</w:t>
            </w:r>
          </w:p>
        </w:tc>
        <w:tc>
          <w:tcPr>
            <w:tcW w:w="1700" w:type="dxa"/>
            <w:noWrap/>
            <w:hideMark/>
          </w:tcPr>
          <w:p w14:paraId="0388C8E9" w14:textId="77777777" w:rsidR="004F6762" w:rsidRPr="004F6762" w:rsidRDefault="004F6762">
            <w:pPr>
              <w:rPr>
                <w:rFonts w:hint="eastAsia"/>
              </w:rPr>
            </w:pPr>
            <w:r w:rsidRPr="004F6762">
              <w:rPr>
                <w:rFonts w:hint="eastAsia"/>
              </w:rPr>
              <w:t>工作年限（</w:t>
            </w:r>
            <w:r w:rsidRPr="004F6762">
              <w:rPr>
                <w:rFonts w:hint="eastAsia"/>
              </w:rPr>
              <w:t>B10</w:t>
            </w:r>
            <w:r w:rsidRPr="004F6762">
              <w:rPr>
                <w:rFonts w:hint="eastAsia"/>
              </w:rPr>
              <w:t>）</w:t>
            </w:r>
          </w:p>
        </w:tc>
      </w:tr>
      <w:tr w:rsidR="004F6762" w:rsidRPr="004F6762" w14:paraId="4A9638CC" w14:textId="77777777" w:rsidTr="004F6762">
        <w:trPr>
          <w:trHeight w:val="276"/>
        </w:trPr>
        <w:tc>
          <w:tcPr>
            <w:tcW w:w="764" w:type="dxa"/>
            <w:noWrap/>
            <w:hideMark/>
          </w:tcPr>
          <w:p w14:paraId="08A51081" w14:textId="77777777" w:rsidR="004F6762" w:rsidRPr="004F6762" w:rsidRDefault="004F6762">
            <w:pPr>
              <w:rPr>
                <w:rFonts w:hint="eastAsia"/>
              </w:rPr>
            </w:pPr>
            <w:r w:rsidRPr="004F6762">
              <w:rPr>
                <w:rFonts w:hint="eastAsia"/>
              </w:rPr>
              <w:t>卡方值</w:t>
            </w:r>
          </w:p>
        </w:tc>
        <w:tc>
          <w:tcPr>
            <w:tcW w:w="1700" w:type="dxa"/>
            <w:noWrap/>
            <w:hideMark/>
          </w:tcPr>
          <w:p w14:paraId="3F76D8F0" w14:textId="77777777" w:rsidR="004F6762" w:rsidRPr="004F6762" w:rsidRDefault="004F6762" w:rsidP="004F6762">
            <w:pPr>
              <w:rPr>
                <w:rFonts w:hint="eastAsia"/>
              </w:rPr>
            </w:pPr>
            <w:r w:rsidRPr="004F6762">
              <w:rPr>
                <w:rFonts w:hint="eastAsia"/>
              </w:rPr>
              <w:t>3.525</w:t>
            </w:r>
          </w:p>
        </w:tc>
        <w:tc>
          <w:tcPr>
            <w:tcW w:w="1088" w:type="dxa"/>
            <w:noWrap/>
            <w:hideMark/>
          </w:tcPr>
          <w:p w14:paraId="4D6D523E" w14:textId="77777777" w:rsidR="004F6762" w:rsidRPr="004F6762" w:rsidRDefault="004F6762" w:rsidP="004F6762">
            <w:pPr>
              <w:rPr>
                <w:rFonts w:hint="eastAsia"/>
              </w:rPr>
            </w:pPr>
            <w:r w:rsidRPr="004F6762">
              <w:rPr>
                <w:rFonts w:hint="eastAsia"/>
              </w:rPr>
              <w:t>0.883</w:t>
            </w:r>
          </w:p>
        </w:tc>
        <w:tc>
          <w:tcPr>
            <w:tcW w:w="1527" w:type="dxa"/>
            <w:noWrap/>
            <w:hideMark/>
          </w:tcPr>
          <w:p w14:paraId="75F8F34E" w14:textId="77777777" w:rsidR="004F6762" w:rsidRPr="004F6762" w:rsidRDefault="004F6762" w:rsidP="004F6762">
            <w:pPr>
              <w:rPr>
                <w:rFonts w:hint="eastAsia"/>
              </w:rPr>
            </w:pPr>
            <w:r w:rsidRPr="004F6762">
              <w:rPr>
                <w:rFonts w:hint="eastAsia"/>
              </w:rPr>
              <w:t>4.399</w:t>
            </w:r>
          </w:p>
        </w:tc>
        <w:tc>
          <w:tcPr>
            <w:tcW w:w="1527" w:type="dxa"/>
            <w:noWrap/>
            <w:hideMark/>
          </w:tcPr>
          <w:p w14:paraId="6A9AEEEB" w14:textId="77777777" w:rsidR="004F6762" w:rsidRPr="004F6762" w:rsidRDefault="004F6762" w:rsidP="004F6762">
            <w:pPr>
              <w:rPr>
                <w:rFonts w:hint="eastAsia"/>
              </w:rPr>
            </w:pPr>
            <w:r w:rsidRPr="004F6762">
              <w:rPr>
                <w:rFonts w:hint="eastAsia"/>
              </w:rPr>
              <w:t>6.937</w:t>
            </w:r>
          </w:p>
        </w:tc>
        <w:tc>
          <w:tcPr>
            <w:tcW w:w="1700" w:type="dxa"/>
            <w:noWrap/>
            <w:hideMark/>
          </w:tcPr>
          <w:p w14:paraId="54CCA9AD" w14:textId="77777777" w:rsidR="004F6762" w:rsidRPr="004F6762" w:rsidRDefault="004F6762" w:rsidP="004F6762">
            <w:pPr>
              <w:rPr>
                <w:rFonts w:hint="eastAsia"/>
              </w:rPr>
            </w:pPr>
            <w:r w:rsidRPr="004F6762">
              <w:rPr>
                <w:rFonts w:hint="eastAsia"/>
              </w:rPr>
              <w:t>6.207</w:t>
            </w:r>
          </w:p>
        </w:tc>
      </w:tr>
      <w:tr w:rsidR="004F6762" w:rsidRPr="004F6762" w14:paraId="7FB54D49" w14:textId="77777777" w:rsidTr="004F6762">
        <w:trPr>
          <w:trHeight w:val="276"/>
        </w:trPr>
        <w:tc>
          <w:tcPr>
            <w:tcW w:w="764" w:type="dxa"/>
            <w:noWrap/>
            <w:hideMark/>
          </w:tcPr>
          <w:p w14:paraId="000DD9FB" w14:textId="77777777" w:rsidR="004F6762" w:rsidRPr="004F6762" w:rsidRDefault="004F6762" w:rsidP="004F6762">
            <w:pPr>
              <w:rPr>
                <w:rFonts w:hint="eastAsia"/>
              </w:rPr>
            </w:pPr>
            <w:r w:rsidRPr="004F6762">
              <w:rPr>
                <w:rFonts w:hint="eastAsia"/>
              </w:rPr>
              <w:t>p</w:t>
            </w:r>
            <w:r w:rsidRPr="004F6762">
              <w:rPr>
                <w:rFonts w:hint="eastAsia"/>
              </w:rPr>
              <w:t>值</w:t>
            </w:r>
          </w:p>
        </w:tc>
        <w:tc>
          <w:tcPr>
            <w:tcW w:w="1700" w:type="dxa"/>
            <w:noWrap/>
            <w:hideMark/>
          </w:tcPr>
          <w:p w14:paraId="2E702CEE" w14:textId="77777777" w:rsidR="004F6762" w:rsidRPr="004F6762" w:rsidRDefault="004F6762" w:rsidP="004F6762">
            <w:pPr>
              <w:rPr>
                <w:rFonts w:hint="eastAsia"/>
              </w:rPr>
            </w:pPr>
            <w:r w:rsidRPr="004F6762">
              <w:rPr>
                <w:rFonts w:hint="eastAsia"/>
              </w:rPr>
              <w:t>0.833</w:t>
            </w:r>
          </w:p>
        </w:tc>
        <w:tc>
          <w:tcPr>
            <w:tcW w:w="1088" w:type="dxa"/>
            <w:noWrap/>
            <w:hideMark/>
          </w:tcPr>
          <w:p w14:paraId="20786987" w14:textId="77777777" w:rsidR="004F6762" w:rsidRPr="004F6762" w:rsidRDefault="004F6762" w:rsidP="004F6762">
            <w:pPr>
              <w:rPr>
                <w:rFonts w:hint="eastAsia"/>
              </w:rPr>
            </w:pPr>
            <w:r w:rsidRPr="004F6762">
              <w:rPr>
                <w:rFonts w:hint="eastAsia"/>
              </w:rPr>
              <w:t>0.830</w:t>
            </w:r>
          </w:p>
        </w:tc>
        <w:tc>
          <w:tcPr>
            <w:tcW w:w="1527" w:type="dxa"/>
            <w:noWrap/>
            <w:hideMark/>
          </w:tcPr>
          <w:p w14:paraId="46751099" w14:textId="77777777" w:rsidR="004F6762" w:rsidRPr="004F6762" w:rsidRDefault="004F6762" w:rsidP="004F6762">
            <w:pPr>
              <w:rPr>
                <w:rFonts w:hint="eastAsia"/>
              </w:rPr>
            </w:pPr>
            <w:r w:rsidRPr="004F6762">
              <w:rPr>
                <w:rFonts w:hint="eastAsia"/>
              </w:rPr>
              <w:t>0.733</w:t>
            </w:r>
          </w:p>
        </w:tc>
        <w:tc>
          <w:tcPr>
            <w:tcW w:w="1527" w:type="dxa"/>
            <w:noWrap/>
            <w:hideMark/>
          </w:tcPr>
          <w:p w14:paraId="140A8C09" w14:textId="77777777" w:rsidR="004F6762" w:rsidRPr="004F6762" w:rsidRDefault="004F6762" w:rsidP="004F6762">
            <w:pPr>
              <w:rPr>
                <w:rFonts w:hint="eastAsia"/>
              </w:rPr>
            </w:pPr>
            <w:r w:rsidRPr="004F6762">
              <w:rPr>
                <w:rFonts w:hint="eastAsia"/>
              </w:rPr>
              <w:t>0.139</w:t>
            </w:r>
          </w:p>
        </w:tc>
        <w:tc>
          <w:tcPr>
            <w:tcW w:w="1700" w:type="dxa"/>
            <w:noWrap/>
            <w:hideMark/>
          </w:tcPr>
          <w:p w14:paraId="73AAEF90" w14:textId="77777777" w:rsidR="004F6762" w:rsidRPr="004F6762" w:rsidRDefault="004F6762" w:rsidP="004F6762">
            <w:pPr>
              <w:rPr>
                <w:rFonts w:hint="eastAsia"/>
              </w:rPr>
            </w:pPr>
            <w:r w:rsidRPr="004F6762">
              <w:rPr>
                <w:rFonts w:hint="eastAsia"/>
              </w:rPr>
              <w:t>0.516</w:t>
            </w:r>
          </w:p>
        </w:tc>
      </w:tr>
      <w:tr w:rsidR="004F6762" w:rsidRPr="004F6762" w14:paraId="47166919" w14:textId="77777777" w:rsidTr="004F6762">
        <w:trPr>
          <w:trHeight w:val="276"/>
        </w:trPr>
        <w:tc>
          <w:tcPr>
            <w:tcW w:w="764" w:type="dxa"/>
            <w:noWrap/>
            <w:hideMark/>
          </w:tcPr>
          <w:p w14:paraId="6962F1F6" w14:textId="77777777" w:rsidR="004F6762" w:rsidRPr="004F6762" w:rsidRDefault="004F6762" w:rsidP="004F6762">
            <w:pPr>
              <w:rPr>
                <w:rFonts w:hint="eastAsia"/>
              </w:rPr>
            </w:pPr>
          </w:p>
        </w:tc>
        <w:tc>
          <w:tcPr>
            <w:tcW w:w="1700" w:type="dxa"/>
            <w:noWrap/>
            <w:hideMark/>
          </w:tcPr>
          <w:p w14:paraId="13E961BB" w14:textId="77777777" w:rsidR="004F6762" w:rsidRPr="004F6762" w:rsidRDefault="004F6762">
            <w:r w:rsidRPr="004F6762">
              <w:rPr>
                <w:rFonts w:hint="eastAsia"/>
              </w:rPr>
              <w:t>单位性质（</w:t>
            </w:r>
            <w:r w:rsidRPr="004F6762">
              <w:rPr>
                <w:rFonts w:hint="eastAsia"/>
              </w:rPr>
              <w:t>B11</w:t>
            </w:r>
            <w:r w:rsidRPr="004F6762">
              <w:rPr>
                <w:rFonts w:hint="eastAsia"/>
              </w:rPr>
              <w:t>）</w:t>
            </w:r>
          </w:p>
        </w:tc>
        <w:tc>
          <w:tcPr>
            <w:tcW w:w="1088" w:type="dxa"/>
            <w:noWrap/>
            <w:hideMark/>
          </w:tcPr>
          <w:p w14:paraId="7B5703F8" w14:textId="77777777" w:rsidR="004F6762" w:rsidRPr="004F6762" w:rsidRDefault="004F6762">
            <w:pPr>
              <w:rPr>
                <w:rFonts w:hint="eastAsia"/>
              </w:rPr>
            </w:pPr>
            <w:r w:rsidRPr="004F6762">
              <w:rPr>
                <w:rFonts w:hint="eastAsia"/>
              </w:rPr>
              <w:t>职位（</w:t>
            </w:r>
            <w:r w:rsidRPr="004F6762">
              <w:rPr>
                <w:rFonts w:hint="eastAsia"/>
              </w:rPr>
              <w:t>B12</w:t>
            </w:r>
            <w:r w:rsidRPr="004F6762">
              <w:rPr>
                <w:rFonts w:hint="eastAsia"/>
              </w:rPr>
              <w:t>）</w:t>
            </w:r>
          </w:p>
        </w:tc>
        <w:tc>
          <w:tcPr>
            <w:tcW w:w="1527" w:type="dxa"/>
            <w:noWrap/>
            <w:hideMark/>
          </w:tcPr>
          <w:p w14:paraId="54403468" w14:textId="77777777" w:rsidR="004F6762" w:rsidRPr="004F6762" w:rsidRDefault="004F6762">
            <w:pPr>
              <w:rPr>
                <w:rFonts w:hint="eastAsia"/>
              </w:rPr>
            </w:pPr>
            <w:r w:rsidRPr="004F6762">
              <w:rPr>
                <w:rFonts w:hint="eastAsia"/>
              </w:rPr>
              <w:t>家庭年收入（</w:t>
            </w:r>
            <w:r w:rsidRPr="004F6762">
              <w:rPr>
                <w:rFonts w:hint="eastAsia"/>
              </w:rPr>
              <w:t>B13</w:t>
            </w:r>
            <w:r w:rsidRPr="004F6762">
              <w:rPr>
                <w:rFonts w:hint="eastAsia"/>
              </w:rPr>
              <w:t>）</w:t>
            </w:r>
          </w:p>
        </w:tc>
        <w:tc>
          <w:tcPr>
            <w:tcW w:w="1527" w:type="dxa"/>
            <w:noWrap/>
            <w:hideMark/>
          </w:tcPr>
          <w:p w14:paraId="3E27689A" w14:textId="77777777" w:rsidR="004F6762" w:rsidRPr="004F6762" w:rsidRDefault="004F6762">
            <w:pPr>
              <w:rPr>
                <w:rFonts w:hint="eastAsia"/>
              </w:rPr>
            </w:pPr>
            <w:proofErr w:type="gramStart"/>
            <w:r w:rsidRPr="004F6762">
              <w:rPr>
                <w:rFonts w:hint="eastAsia"/>
              </w:rPr>
              <w:t>个</w:t>
            </w:r>
            <w:proofErr w:type="gramEnd"/>
            <w:r w:rsidRPr="004F6762">
              <w:rPr>
                <w:rFonts w:hint="eastAsia"/>
              </w:rPr>
              <w:t>人年收入（</w:t>
            </w:r>
            <w:r w:rsidRPr="004F6762">
              <w:rPr>
                <w:rFonts w:hint="eastAsia"/>
              </w:rPr>
              <w:t>B14</w:t>
            </w:r>
            <w:r w:rsidRPr="004F6762">
              <w:rPr>
                <w:rFonts w:hint="eastAsia"/>
              </w:rPr>
              <w:t>）</w:t>
            </w:r>
          </w:p>
        </w:tc>
        <w:tc>
          <w:tcPr>
            <w:tcW w:w="1700" w:type="dxa"/>
            <w:noWrap/>
            <w:hideMark/>
          </w:tcPr>
          <w:p w14:paraId="08E4A83A" w14:textId="77777777" w:rsidR="004F6762" w:rsidRPr="004F6762" w:rsidRDefault="004F6762">
            <w:pPr>
              <w:rPr>
                <w:rFonts w:hint="eastAsia"/>
              </w:rPr>
            </w:pPr>
            <w:r w:rsidRPr="004F6762">
              <w:rPr>
                <w:rFonts w:hint="eastAsia"/>
              </w:rPr>
              <w:t>可支配年收入（</w:t>
            </w:r>
            <w:r w:rsidRPr="004F6762">
              <w:rPr>
                <w:rFonts w:hint="eastAsia"/>
              </w:rPr>
              <w:t>B15</w:t>
            </w:r>
            <w:r w:rsidRPr="004F6762">
              <w:rPr>
                <w:rFonts w:hint="eastAsia"/>
              </w:rPr>
              <w:t>）</w:t>
            </w:r>
          </w:p>
        </w:tc>
      </w:tr>
      <w:tr w:rsidR="004F6762" w:rsidRPr="004F6762" w14:paraId="4F753680" w14:textId="77777777" w:rsidTr="004F6762">
        <w:trPr>
          <w:trHeight w:val="276"/>
        </w:trPr>
        <w:tc>
          <w:tcPr>
            <w:tcW w:w="764" w:type="dxa"/>
            <w:noWrap/>
            <w:hideMark/>
          </w:tcPr>
          <w:p w14:paraId="41CACE7B" w14:textId="77777777" w:rsidR="004F6762" w:rsidRPr="004F6762" w:rsidRDefault="004F6762">
            <w:pPr>
              <w:rPr>
                <w:rFonts w:hint="eastAsia"/>
              </w:rPr>
            </w:pPr>
            <w:r w:rsidRPr="004F6762">
              <w:rPr>
                <w:rFonts w:hint="eastAsia"/>
              </w:rPr>
              <w:t>卡方值</w:t>
            </w:r>
          </w:p>
        </w:tc>
        <w:tc>
          <w:tcPr>
            <w:tcW w:w="1700" w:type="dxa"/>
            <w:noWrap/>
            <w:hideMark/>
          </w:tcPr>
          <w:p w14:paraId="1C601BD4" w14:textId="77777777" w:rsidR="004F6762" w:rsidRPr="004F6762" w:rsidRDefault="004F6762" w:rsidP="004F6762">
            <w:pPr>
              <w:rPr>
                <w:rFonts w:hint="eastAsia"/>
              </w:rPr>
            </w:pPr>
            <w:r w:rsidRPr="004F6762">
              <w:rPr>
                <w:rFonts w:hint="eastAsia"/>
              </w:rPr>
              <w:t>22.775</w:t>
            </w:r>
          </w:p>
        </w:tc>
        <w:tc>
          <w:tcPr>
            <w:tcW w:w="1088" w:type="dxa"/>
            <w:noWrap/>
            <w:hideMark/>
          </w:tcPr>
          <w:p w14:paraId="2E185102" w14:textId="77777777" w:rsidR="004F6762" w:rsidRPr="004F6762" w:rsidRDefault="004F6762" w:rsidP="004F6762">
            <w:pPr>
              <w:rPr>
                <w:rFonts w:hint="eastAsia"/>
              </w:rPr>
            </w:pPr>
            <w:r w:rsidRPr="004F6762">
              <w:rPr>
                <w:rFonts w:hint="eastAsia"/>
              </w:rPr>
              <w:t>19.538</w:t>
            </w:r>
          </w:p>
        </w:tc>
        <w:tc>
          <w:tcPr>
            <w:tcW w:w="1527" w:type="dxa"/>
            <w:noWrap/>
            <w:hideMark/>
          </w:tcPr>
          <w:p w14:paraId="75E88E05" w14:textId="77777777" w:rsidR="004F6762" w:rsidRPr="004F6762" w:rsidRDefault="004F6762" w:rsidP="004F6762">
            <w:pPr>
              <w:rPr>
                <w:rFonts w:hint="eastAsia"/>
              </w:rPr>
            </w:pPr>
            <w:r w:rsidRPr="004F6762">
              <w:rPr>
                <w:rFonts w:hint="eastAsia"/>
              </w:rPr>
              <w:t>22.303</w:t>
            </w:r>
          </w:p>
        </w:tc>
        <w:tc>
          <w:tcPr>
            <w:tcW w:w="1527" w:type="dxa"/>
            <w:noWrap/>
            <w:hideMark/>
          </w:tcPr>
          <w:p w14:paraId="759D3CEA" w14:textId="77777777" w:rsidR="004F6762" w:rsidRPr="004F6762" w:rsidRDefault="004F6762" w:rsidP="004F6762">
            <w:pPr>
              <w:rPr>
                <w:rFonts w:hint="eastAsia"/>
              </w:rPr>
            </w:pPr>
            <w:r w:rsidRPr="004F6762">
              <w:rPr>
                <w:rFonts w:hint="eastAsia"/>
              </w:rPr>
              <w:t>13.516</w:t>
            </w:r>
          </w:p>
        </w:tc>
        <w:tc>
          <w:tcPr>
            <w:tcW w:w="1700" w:type="dxa"/>
            <w:noWrap/>
            <w:hideMark/>
          </w:tcPr>
          <w:p w14:paraId="2C36DAD0" w14:textId="77777777" w:rsidR="004F6762" w:rsidRPr="004F6762" w:rsidRDefault="004F6762" w:rsidP="004F6762">
            <w:pPr>
              <w:rPr>
                <w:rFonts w:hint="eastAsia"/>
              </w:rPr>
            </w:pPr>
            <w:r w:rsidRPr="004F6762">
              <w:rPr>
                <w:rFonts w:hint="eastAsia"/>
              </w:rPr>
              <w:t>20.750</w:t>
            </w:r>
          </w:p>
        </w:tc>
      </w:tr>
      <w:tr w:rsidR="004F6762" w:rsidRPr="004F6762" w14:paraId="386A66DB" w14:textId="77777777" w:rsidTr="004F6762">
        <w:trPr>
          <w:trHeight w:val="276"/>
        </w:trPr>
        <w:tc>
          <w:tcPr>
            <w:tcW w:w="764" w:type="dxa"/>
            <w:noWrap/>
            <w:hideMark/>
          </w:tcPr>
          <w:p w14:paraId="5EB8BDA4" w14:textId="77777777" w:rsidR="004F6762" w:rsidRPr="004F6762" w:rsidRDefault="004F6762" w:rsidP="004F6762">
            <w:pPr>
              <w:rPr>
                <w:rFonts w:hint="eastAsia"/>
              </w:rPr>
            </w:pPr>
            <w:r w:rsidRPr="004F6762">
              <w:rPr>
                <w:rFonts w:hint="eastAsia"/>
              </w:rPr>
              <w:t>p</w:t>
            </w:r>
            <w:r w:rsidRPr="004F6762">
              <w:rPr>
                <w:rFonts w:hint="eastAsia"/>
              </w:rPr>
              <w:t>值</w:t>
            </w:r>
          </w:p>
        </w:tc>
        <w:tc>
          <w:tcPr>
            <w:tcW w:w="1700" w:type="dxa"/>
            <w:noWrap/>
            <w:hideMark/>
          </w:tcPr>
          <w:p w14:paraId="7050210E" w14:textId="77777777" w:rsidR="004F6762" w:rsidRPr="004F6762" w:rsidRDefault="004F6762" w:rsidP="004F6762">
            <w:pPr>
              <w:rPr>
                <w:rFonts w:hint="eastAsia"/>
              </w:rPr>
            </w:pPr>
            <w:r w:rsidRPr="004F6762">
              <w:rPr>
                <w:rFonts w:hint="eastAsia"/>
              </w:rPr>
              <w:t>0.004</w:t>
            </w:r>
          </w:p>
        </w:tc>
        <w:tc>
          <w:tcPr>
            <w:tcW w:w="1088" w:type="dxa"/>
            <w:noWrap/>
            <w:hideMark/>
          </w:tcPr>
          <w:p w14:paraId="4D11062E" w14:textId="77777777" w:rsidR="004F6762" w:rsidRPr="004F6762" w:rsidRDefault="004F6762" w:rsidP="004F6762">
            <w:pPr>
              <w:rPr>
                <w:rFonts w:hint="eastAsia"/>
              </w:rPr>
            </w:pPr>
            <w:r w:rsidRPr="004F6762">
              <w:rPr>
                <w:rFonts w:hint="eastAsia"/>
              </w:rPr>
              <w:t>0.034</w:t>
            </w:r>
          </w:p>
        </w:tc>
        <w:tc>
          <w:tcPr>
            <w:tcW w:w="1527" w:type="dxa"/>
            <w:noWrap/>
            <w:hideMark/>
          </w:tcPr>
          <w:p w14:paraId="2126E25D" w14:textId="77777777" w:rsidR="004F6762" w:rsidRPr="004F6762" w:rsidRDefault="004F6762" w:rsidP="004F6762">
            <w:pPr>
              <w:rPr>
                <w:rFonts w:hint="eastAsia"/>
              </w:rPr>
            </w:pPr>
            <w:r w:rsidRPr="004F6762">
              <w:rPr>
                <w:rFonts w:hint="eastAsia"/>
              </w:rPr>
              <w:t>0.008</w:t>
            </w:r>
          </w:p>
        </w:tc>
        <w:tc>
          <w:tcPr>
            <w:tcW w:w="1527" w:type="dxa"/>
            <w:noWrap/>
            <w:hideMark/>
          </w:tcPr>
          <w:p w14:paraId="6BC6C07B" w14:textId="77777777" w:rsidR="004F6762" w:rsidRPr="004F6762" w:rsidRDefault="004F6762" w:rsidP="004F6762">
            <w:pPr>
              <w:rPr>
                <w:rFonts w:hint="eastAsia"/>
              </w:rPr>
            </w:pPr>
            <w:r w:rsidRPr="004F6762">
              <w:rPr>
                <w:rFonts w:hint="eastAsia"/>
              </w:rPr>
              <w:t>0.095</w:t>
            </w:r>
          </w:p>
        </w:tc>
        <w:tc>
          <w:tcPr>
            <w:tcW w:w="1700" w:type="dxa"/>
            <w:noWrap/>
            <w:hideMark/>
          </w:tcPr>
          <w:p w14:paraId="42D31F73" w14:textId="77777777" w:rsidR="004F6762" w:rsidRPr="004F6762" w:rsidRDefault="004F6762" w:rsidP="004F6762">
            <w:pPr>
              <w:rPr>
                <w:rFonts w:hint="eastAsia"/>
              </w:rPr>
            </w:pPr>
            <w:r w:rsidRPr="004F6762">
              <w:rPr>
                <w:rFonts w:hint="eastAsia"/>
              </w:rPr>
              <w:t>0.004</w:t>
            </w:r>
          </w:p>
        </w:tc>
      </w:tr>
      <w:tr w:rsidR="004F6762" w:rsidRPr="004F6762" w14:paraId="61B2AD05" w14:textId="77777777" w:rsidTr="004F6762">
        <w:trPr>
          <w:trHeight w:val="276"/>
        </w:trPr>
        <w:tc>
          <w:tcPr>
            <w:tcW w:w="764" w:type="dxa"/>
            <w:noWrap/>
            <w:hideMark/>
          </w:tcPr>
          <w:p w14:paraId="64F89E7F" w14:textId="77777777" w:rsidR="004F6762" w:rsidRPr="004F6762" w:rsidRDefault="004F6762" w:rsidP="004F6762">
            <w:pPr>
              <w:rPr>
                <w:rFonts w:hint="eastAsia"/>
              </w:rPr>
            </w:pPr>
          </w:p>
        </w:tc>
        <w:tc>
          <w:tcPr>
            <w:tcW w:w="1700" w:type="dxa"/>
            <w:noWrap/>
            <w:hideMark/>
          </w:tcPr>
          <w:p w14:paraId="30E55E28" w14:textId="77777777" w:rsidR="004F6762" w:rsidRPr="004F6762" w:rsidRDefault="004F6762">
            <w:r w:rsidRPr="004F6762">
              <w:rPr>
                <w:rFonts w:hint="eastAsia"/>
              </w:rPr>
              <w:t>房贷支出占比（</w:t>
            </w:r>
            <w:r w:rsidRPr="004F6762">
              <w:rPr>
                <w:rFonts w:hint="eastAsia"/>
              </w:rPr>
              <w:t>B16</w:t>
            </w:r>
            <w:r w:rsidRPr="004F6762">
              <w:rPr>
                <w:rFonts w:hint="eastAsia"/>
              </w:rPr>
              <w:t>）</w:t>
            </w:r>
          </w:p>
        </w:tc>
        <w:tc>
          <w:tcPr>
            <w:tcW w:w="2615" w:type="dxa"/>
            <w:gridSpan w:val="2"/>
            <w:noWrap/>
            <w:hideMark/>
          </w:tcPr>
          <w:p w14:paraId="6A59ED36" w14:textId="77777777" w:rsidR="004F6762" w:rsidRPr="004F6762" w:rsidRDefault="004F6762">
            <w:pPr>
              <w:rPr>
                <w:rFonts w:hint="eastAsia"/>
              </w:rPr>
            </w:pPr>
            <w:proofErr w:type="gramStart"/>
            <w:r w:rsidRPr="004F6762">
              <w:rPr>
                <w:rFonts w:hint="eastAsia"/>
              </w:rPr>
              <w:t>车贷支出</w:t>
            </w:r>
            <w:proofErr w:type="gramEnd"/>
            <w:r w:rsidRPr="004F6762">
              <w:rPr>
                <w:rFonts w:hint="eastAsia"/>
              </w:rPr>
              <w:t>占比（</w:t>
            </w:r>
            <w:r w:rsidRPr="004F6762">
              <w:rPr>
                <w:rFonts w:hint="eastAsia"/>
              </w:rPr>
              <w:t>B17</w:t>
            </w:r>
            <w:r w:rsidRPr="004F6762">
              <w:rPr>
                <w:rFonts w:hint="eastAsia"/>
              </w:rPr>
              <w:t>）</w:t>
            </w:r>
          </w:p>
        </w:tc>
        <w:tc>
          <w:tcPr>
            <w:tcW w:w="1527" w:type="dxa"/>
            <w:noWrap/>
            <w:hideMark/>
          </w:tcPr>
          <w:p w14:paraId="16EE11CD" w14:textId="77777777" w:rsidR="004F6762" w:rsidRPr="004F6762" w:rsidRDefault="004F6762">
            <w:pPr>
              <w:rPr>
                <w:rFonts w:hint="eastAsia"/>
              </w:rPr>
            </w:pPr>
          </w:p>
        </w:tc>
        <w:tc>
          <w:tcPr>
            <w:tcW w:w="1700" w:type="dxa"/>
            <w:noWrap/>
            <w:hideMark/>
          </w:tcPr>
          <w:p w14:paraId="462DAF80" w14:textId="77777777" w:rsidR="004F6762" w:rsidRPr="004F6762" w:rsidRDefault="004F6762"/>
        </w:tc>
      </w:tr>
      <w:tr w:rsidR="004F6762" w:rsidRPr="004F6762" w14:paraId="36C09849" w14:textId="77777777" w:rsidTr="004F6762">
        <w:trPr>
          <w:trHeight w:val="276"/>
        </w:trPr>
        <w:tc>
          <w:tcPr>
            <w:tcW w:w="764" w:type="dxa"/>
            <w:noWrap/>
            <w:hideMark/>
          </w:tcPr>
          <w:p w14:paraId="1EA48BC2" w14:textId="77777777" w:rsidR="004F6762" w:rsidRPr="004F6762" w:rsidRDefault="004F6762">
            <w:r w:rsidRPr="004F6762">
              <w:rPr>
                <w:rFonts w:hint="eastAsia"/>
              </w:rPr>
              <w:t>卡方值</w:t>
            </w:r>
          </w:p>
        </w:tc>
        <w:tc>
          <w:tcPr>
            <w:tcW w:w="1700" w:type="dxa"/>
            <w:noWrap/>
            <w:hideMark/>
          </w:tcPr>
          <w:p w14:paraId="29925D61" w14:textId="77777777" w:rsidR="004F6762" w:rsidRPr="004F6762" w:rsidRDefault="004F6762" w:rsidP="004F6762">
            <w:pPr>
              <w:rPr>
                <w:rFonts w:hint="eastAsia"/>
              </w:rPr>
            </w:pPr>
            <w:r w:rsidRPr="004F6762">
              <w:rPr>
                <w:rFonts w:hint="eastAsia"/>
              </w:rPr>
              <w:t>82.424</w:t>
            </w:r>
          </w:p>
        </w:tc>
        <w:tc>
          <w:tcPr>
            <w:tcW w:w="1088" w:type="dxa"/>
            <w:noWrap/>
            <w:hideMark/>
          </w:tcPr>
          <w:p w14:paraId="6F152C26" w14:textId="77777777" w:rsidR="004F6762" w:rsidRPr="004F6762" w:rsidRDefault="004F6762" w:rsidP="004F6762">
            <w:pPr>
              <w:rPr>
                <w:rFonts w:hint="eastAsia"/>
              </w:rPr>
            </w:pPr>
            <w:r w:rsidRPr="004F6762">
              <w:rPr>
                <w:rFonts w:hint="eastAsia"/>
              </w:rPr>
              <w:t>35.075</w:t>
            </w:r>
          </w:p>
        </w:tc>
        <w:tc>
          <w:tcPr>
            <w:tcW w:w="1527" w:type="dxa"/>
            <w:noWrap/>
            <w:hideMark/>
          </w:tcPr>
          <w:p w14:paraId="1A4BACD0" w14:textId="77777777" w:rsidR="004F6762" w:rsidRPr="004F6762" w:rsidRDefault="004F6762" w:rsidP="004F6762">
            <w:pPr>
              <w:rPr>
                <w:rFonts w:hint="eastAsia"/>
              </w:rPr>
            </w:pPr>
          </w:p>
        </w:tc>
        <w:tc>
          <w:tcPr>
            <w:tcW w:w="1527" w:type="dxa"/>
            <w:noWrap/>
            <w:hideMark/>
          </w:tcPr>
          <w:p w14:paraId="6431568A" w14:textId="77777777" w:rsidR="004F6762" w:rsidRPr="004F6762" w:rsidRDefault="004F6762"/>
        </w:tc>
        <w:tc>
          <w:tcPr>
            <w:tcW w:w="1700" w:type="dxa"/>
            <w:noWrap/>
            <w:hideMark/>
          </w:tcPr>
          <w:p w14:paraId="53D1E810" w14:textId="77777777" w:rsidR="004F6762" w:rsidRPr="004F6762" w:rsidRDefault="004F6762"/>
        </w:tc>
      </w:tr>
      <w:tr w:rsidR="004F6762" w:rsidRPr="004F6762" w14:paraId="6BAFCC08" w14:textId="77777777" w:rsidTr="004F6762">
        <w:trPr>
          <w:trHeight w:val="276"/>
        </w:trPr>
        <w:tc>
          <w:tcPr>
            <w:tcW w:w="764" w:type="dxa"/>
            <w:noWrap/>
            <w:hideMark/>
          </w:tcPr>
          <w:p w14:paraId="159F06A2" w14:textId="77777777" w:rsidR="004F6762" w:rsidRPr="004F6762" w:rsidRDefault="004F6762">
            <w:r w:rsidRPr="004F6762">
              <w:rPr>
                <w:rFonts w:hint="eastAsia"/>
              </w:rPr>
              <w:t>p</w:t>
            </w:r>
            <w:r w:rsidRPr="004F6762">
              <w:rPr>
                <w:rFonts w:hint="eastAsia"/>
              </w:rPr>
              <w:t>值</w:t>
            </w:r>
          </w:p>
        </w:tc>
        <w:tc>
          <w:tcPr>
            <w:tcW w:w="1700" w:type="dxa"/>
            <w:noWrap/>
            <w:hideMark/>
          </w:tcPr>
          <w:p w14:paraId="10CE2DBA" w14:textId="77777777" w:rsidR="004F6762" w:rsidRPr="004F6762" w:rsidRDefault="004F6762" w:rsidP="004F6762">
            <w:pPr>
              <w:rPr>
                <w:rFonts w:hint="eastAsia"/>
              </w:rPr>
            </w:pPr>
            <w:r w:rsidRPr="004F6762">
              <w:rPr>
                <w:rFonts w:hint="eastAsia"/>
              </w:rPr>
              <w:t>2.61E-16</w:t>
            </w:r>
          </w:p>
        </w:tc>
        <w:tc>
          <w:tcPr>
            <w:tcW w:w="1088" w:type="dxa"/>
            <w:noWrap/>
            <w:hideMark/>
          </w:tcPr>
          <w:p w14:paraId="50BCE6E0" w14:textId="77777777" w:rsidR="004F6762" w:rsidRPr="004F6762" w:rsidRDefault="004F6762" w:rsidP="004F6762">
            <w:pPr>
              <w:rPr>
                <w:rFonts w:hint="eastAsia"/>
              </w:rPr>
            </w:pPr>
            <w:r w:rsidRPr="004F6762">
              <w:rPr>
                <w:rFonts w:hint="eastAsia"/>
              </w:rPr>
              <w:t>1.45E-06</w:t>
            </w:r>
          </w:p>
        </w:tc>
        <w:tc>
          <w:tcPr>
            <w:tcW w:w="1527" w:type="dxa"/>
            <w:noWrap/>
            <w:hideMark/>
          </w:tcPr>
          <w:p w14:paraId="79F202F4" w14:textId="77777777" w:rsidR="004F6762" w:rsidRPr="004F6762" w:rsidRDefault="004F6762" w:rsidP="004F6762">
            <w:pPr>
              <w:rPr>
                <w:rFonts w:hint="eastAsia"/>
              </w:rPr>
            </w:pPr>
          </w:p>
        </w:tc>
        <w:tc>
          <w:tcPr>
            <w:tcW w:w="1527" w:type="dxa"/>
            <w:noWrap/>
            <w:hideMark/>
          </w:tcPr>
          <w:p w14:paraId="546833D7" w14:textId="77777777" w:rsidR="004F6762" w:rsidRPr="004F6762" w:rsidRDefault="004F6762"/>
        </w:tc>
        <w:tc>
          <w:tcPr>
            <w:tcW w:w="1700" w:type="dxa"/>
            <w:noWrap/>
            <w:hideMark/>
          </w:tcPr>
          <w:p w14:paraId="3C9999D8" w14:textId="77777777" w:rsidR="004F6762" w:rsidRPr="004F6762" w:rsidRDefault="004F6762"/>
        </w:tc>
      </w:tr>
    </w:tbl>
    <w:p w14:paraId="311F57BD" w14:textId="77777777" w:rsidR="004F6762" w:rsidRDefault="004F6762" w:rsidP="004F6762">
      <w:pPr>
        <w:rPr>
          <w:rFonts w:hint="eastAsia"/>
        </w:rPr>
      </w:pPr>
    </w:p>
    <w:p w14:paraId="1A75CC99" w14:textId="77777777" w:rsidR="004F6762" w:rsidRDefault="004F6762" w:rsidP="004F6762">
      <w:pPr>
        <w:rPr>
          <w:rFonts w:hint="eastAsia"/>
        </w:rPr>
      </w:pPr>
      <w:r>
        <w:rPr>
          <w:rFonts w:hint="eastAsia"/>
        </w:rPr>
        <w:t>将下列结果汇总如下图所示，则由此初步分析知收支状况、借贷情况、居住地带、工作单位性质及职业等属性较明显地与客户是否愿意购买电动汽车相关。其中贷款状况强烈影响客户的购买意愿，偿还房贷支出占家庭总收入超</w:t>
      </w:r>
      <w:r>
        <w:rPr>
          <w:rFonts w:hint="eastAsia"/>
        </w:rPr>
        <w:t>10%</w:t>
      </w:r>
      <w:r>
        <w:rPr>
          <w:rFonts w:hint="eastAsia"/>
        </w:rPr>
        <w:t>的客户群体中仅有</w:t>
      </w:r>
      <w:r>
        <w:rPr>
          <w:rFonts w:hint="eastAsia"/>
        </w:rPr>
        <w:t>1%</w:t>
      </w:r>
      <w:r>
        <w:rPr>
          <w:rFonts w:hint="eastAsia"/>
        </w:rPr>
        <w:t>的客户有意愿购买电动汽车，而这一支出占比超</w:t>
      </w:r>
      <w:r>
        <w:rPr>
          <w:rFonts w:hint="eastAsia"/>
        </w:rPr>
        <w:t>20%</w:t>
      </w:r>
      <w:r>
        <w:rPr>
          <w:rFonts w:hint="eastAsia"/>
        </w:rPr>
        <w:t>的家庭购买意愿降低到</w:t>
      </w:r>
      <w:r>
        <w:rPr>
          <w:rFonts w:hint="eastAsia"/>
        </w:rPr>
        <w:t>0%</w:t>
      </w:r>
      <w:r>
        <w:rPr>
          <w:rFonts w:hint="eastAsia"/>
        </w:rPr>
        <w:t>，</w:t>
      </w:r>
      <w:proofErr w:type="gramStart"/>
      <w:r>
        <w:rPr>
          <w:rFonts w:hint="eastAsia"/>
        </w:rPr>
        <w:t>偿还车贷</w:t>
      </w:r>
      <w:proofErr w:type="gramEnd"/>
      <w:r>
        <w:rPr>
          <w:rFonts w:hint="eastAsia"/>
        </w:rPr>
        <w:t>的群体也有着类似的结论；对于不同收入水平的家庭而言，整体呈现中等收入家庭（个人）的购买意愿更强，这一结论也是符合常识的；居住地带上，市中心的客户群体更愿意购买电动汽车，这一情况一定程度上与城市中相关设施建设落实相关；而在工作单位与个人职业属性上，整体呈现</w:t>
      </w:r>
      <w:proofErr w:type="gramStart"/>
      <w:r>
        <w:rPr>
          <w:rFonts w:hint="eastAsia"/>
        </w:rPr>
        <w:t>出从事</w:t>
      </w:r>
      <w:proofErr w:type="gramEnd"/>
      <w:r>
        <w:rPr>
          <w:rFonts w:hint="eastAsia"/>
        </w:rPr>
        <w:t>个体工商业群体、自由职业的群体及公司职员相对更愿意购买电动汽车，这一情况一定程度上与其收入水平及工作内容及电动车的平均售价有关。而部分特征与客户是否有意愿购买的相关度不高，如客户的婚姻家庭信息、年龄与车龄信息等</w:t>
      </w:r>
    </w:p>
    <w:p w14:paraId="73205DF6" w14:textId="76655C64" w:rsidR="00F1012F" w:rsidRDefault="004F6762" w:rsidP="004F6762">
      <w:r>
        <w:rPr>
          <w:rFonts w:hint="eastAsia"/>
          <w:noProof/>
        </w:rPr>
        <w:lastRenderedPageBreak/>
        <w:drawing>
          <wp:inline distT="0" distB="0" distL="0" distR="0" wp14:anchorId="0AF8C01C" wp14:editId="7613F330">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sectPr w:rsidR="00F10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62"/>
    <w:rsid w:val="002B3508"/>
    <w:rsid w:val="00431141"/>
    <w:rsid w:val="004F6762"/>
    <w:rsid w:val="005F4858"/>
    <w:rsid w:val="00C85DDC"/>
    <w:rsid w:val="00F1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D00D"/>
  <w15:chartTrackingRefBased/>
  <w15:docId w15:val="{B907469C-7FA2-4297-B043-8FA48DCF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6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F6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1167">
      <w:bodyDiv w:val="1"/>
      <w:marLeft w:val="0"/>
      <w:marRight w:val="0"/>
      <w:marTop w:val="0"/>
      <w:marBottom w:val="0"/>
      <w:divBdr>
        <w:top w:val="none" w:sz="0" w:space="0" w:color="auto"/>
        <w:left w:val="none" w:sz="0" w:space="0" w:color="auto"/>
        <w:bottom w:val="none" w:sz="0" w:space="0" w:color="auto"/>
        <w:right w:val="none" w:sz="0" w:space="0" w:color="auto"/>
      </w:divBdr>
    </w:div>
    <w:div w:id="183054605">
      <w:bodyDiv w:val="1"/>
      <w:marLeft w:val="0"/>
      <w:marRight w:val="0"/>
      <w:marTop w:val="0"/>
      <w:marBottom w:val="0"/>
      <w:divBdr>
        <w:top w:val="none" w:sz="0" w:space="0" w:color="auto"/>
        <w:left w:val="none" w:sz="0" w:space="0" w:color="auto"/>
        <w:bottom w:val="none" w:sz="0" w:space="0" w:color="auto"/>
        <w:right w:val="none" w:sz="0" w:space="0" w:color="auto"/>
      </w:divBdr>
    </w:div>
    <w:div w:id="315456707">
      <w:bodyDiv w:val="1"/>
      <w:marLeft w:val="0"/>
      <w:marRight w:val="0"/>
      <w:marTop w:val="0"/>
      <w:marBottom w:val="0"/>
      <w:divBdr>
        <w:top w:val="none" w:sz="0" w:space="0" w:color="auto"/>
        <w:left w:val="none" w:sz="0" w:space="0" w:color="auto"/>
        <w:bottom w:val="none" w:sz="0" w:space="0" w:color="auto"/>
        <w:right w:val="none" w:sz="0" w:space="0" w:color="auto"/>
      </w:divBdr>
    </w:div>
    <w:div w:id="762187245">
      <w:bodyDiv w:val="1"/>
      <w:marLeft w:val="0"/>
      <w:marRight w:val="0"/>
      <w:marTop w:val="0"/>
      <w:marBottom w:val="0"/>
      <w:divBdr>
        <w:top w:val="none" w:sz="0" w:space="0" w:color="auto"/>
        <w:left w:val="none" w:sz="0" w:space="0" w:color="auto"/>
        <w:bottom w:val="none" w:sz="0" w:space="0" w:color="auto"/>
        <w:right w:val="none" w:sz="0" w:space="0" w:color="auto"/>
      </w:divBdr>
      <w:divsChild>
        <w:div w:id="100955709">
          <w:marLeft w:val="0"/>
          <w:marRight w:val="0"/>
          <w:marTop w:val="0"/>
          <w:marBottom w:val="0"/>
          <w:divBdr>
            <w:top w:val="none" w:sz="0" w:space="0" w:color="auto"/>
            <w:left w:val="none" w:sz="0" w:space="0" w:color="auto"/>
            <w:bottom w:val="none" w:sz="0" w:space="0" w:color="auto"/>
            <w:right w:val="none" w:sz="0" w:space="0" w:color="auto"/>
          </w:divBdr>
          <w:divsChild>
            <w:div w:id="1450969382">
              <w:marLeft w:val="0"/>
              <w:marRight w:val="0"/>
              <w:marTop w:val="0"/>
              <w:marBottom w:val="0"/>
              <w:divBdr>
                <w:top w:val="none" w:sz="0" w:space="0" w:color="auto"/>
                <w:left w:val="none" w:sz="0" w:space="0" w:color="auto"/>
                <w:bottom w:val="none" w:sz="0" w:space="0" w:color="auto"/>
                <w:right w:val="none" w:sz="0" w:space="0" w:color="auto"/>
              </w:divBdr>
            </w:div>
            <w:div w:id="1892228405">
              <w:marLeft w:val="0"/>
              <w:marRight w:val="0"/>
              <w:marTop w:val="0"/>
              <w:marBottom w:val="0"/>
              <w:divBdr>
                <w:top w:val="none" w:sz="0" w:space="0" w:color="auto"/>
                <w:left w:val="none" w:sz="0" w:space="0" w:color="auto"/>
                <w:bottom w:val="none" w:sz="0" w:space="0" w:color="auto"/>
                <w:right w:val="none" w:sz="0" w:space="0" w:color="auto"/>
              </w:divBdr>
            </w:div>
            <w:div w:id="333991144">
              <w:marLeft w:val="0"/>
              <w:marRight w:val="0"/>
              <w:marTop w:val="0"/>
              <w:marBottom w:val="0"/>
              <w:divBdr>
                <w:top w:val="none" w:sz="0" w:space="0" w:color="auto"/>
                <w:left w:val="none" w:sz="0" w:space="0" w:color="auto"/>
                <w:bottom w:val="none" w:sz="0" w:space="0" w:color="auto"/>
                <w:right w:val="none" w:sz="0" w:space="0" w:color="auto"/>
              </w:divBdr>
            </w:div>
            <w:div w:id="65425421">
              <w:marLeft w:val="0"/>
              <w:marRight w:val="0"/>
              <w:marTop w:val="0"/>
              <w:marBottom w:val="0"/>
              <w:divBdr>
                <w:top w:val="none" w:sz="0" w:space="0" w:color="auto"/>
                <w:left w:val="none" w:sz="0" w:space="0" w:color="auto"/>
                <w:bottom w:val="none" w:sz="0" w:space="0" w:color="auto"/>
                <w:right w:val="none" w:sz="0" w:space="0" w:color="auto"/>
              </w:divBdr>
            </w:div>
            <w:div w:id="837618737">
              <w:marLeft w:val="0"/>
              <w:marRight w:val="0"/>
              <w:marTop w:val="0"/>
              <w:marBottom w:val="0"/>
              <w:divBdr>
                <w:top w:val="none" w:sz="0" w:space="0" w:color="auto"/>
                <w:left w:val="none" w:sz="0" w:space="0" w:color="auto"/>
                <w:bottom w:val="none" w:sz="0" w:space="0" w:color="auto"/>
                <w:right w:val="none" w:sz="0" w:space="0" w:color="auto"/>
              </w:divBdr>
            </w:div>
            <w:div w:id="847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664">
      <w:bodyDiv w:val="1"/>
      <w:marLeft w:val="0"/>
      <w:marRight w:val="0"/>
      <w:marTop w:val="0"/>
      <w:marBottom w:val="0"/>
      <w:divBdr>
        <w:top w:val="none" w:sz="0" w:space="0" w:color="auto"/>
        <w:left w:val="none" w:sz="0" w:space="0" w:color="auto"/>
        <w:bottom w:val="none" w:sz="0" w:space="0" w:color="auto"/>
        <w:right w:val="none" w:sz="0" w:space="0" w:color="auto"/>
      </w:divBdr>
    </w:div>
    <w:div w:id="1787851830">
      <w:bodyDiv w:val="1"/>
      <w:marLeft w:val="0"/>
      <w:marRight w:val="0"/>
      <w:marTop w:val="0"/>
      <w:marBottom w:val="0"/>
      <w:divBdr>
        <w:top w:val="none" w:sz="0" w:space="0" w:color="auto"/>
        <w:left w:val="none" w:sz="0" w:space="0" w:color="auto"/>
        <w:bottom w:val="none" w:sz="0" w:space="0" w:color="auto"/>
        <w:right w:val="none" w:sz="0" w:space="0" w:color="auto"/>
      </w:divBdr>
    </w:div>
    <w:div w:id="20150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Hanchao</dc:creator>
  <cp:keywords/>
  <dc:description/>
  <cp:lastModifiedBy>Yan Hanchao</cp:lastModifiedBy>
  <cp:revision>1</cp:revision>
  <dcterms:created xsi:type="dcterms:W3CDTF">2021-08-07T04:27:00Z</dcterms:created>
  <dcterms:modified xsi:type="dcterms:W3CDTF">2021-08-07T04:34:00Z</dcterms:modified>
</cp:coreProperties>
</file>