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93247"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卫星链路预算计算器使用手册
</w:t>
      </w:r>
    </w:p>
    <w:p w14:paraId="265AD63F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一、软件概述
</w:t>
      </w:r>
    </w:p>
    <w:p w14:paraId="14B0520C">
      <w:pPr>
        <w:pStyle w:val="17"/>
        <w:ind w:firstLine="5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本工具用于卫星通信链路预算分析，支持 </w:t>
      </w:r>
      <w:r>
        <w:rPr>
          <w:rFonts w:hint="eastAsia" w:ascii="微软雅黑" w:hAnsi="微软雅黑" w:eastAsia="微软雅黑" w:cs="微软雅黑"/>
          <w:b/>
          <w:bCs/>
        </w:rPr>
        <w:t>上行链路（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终端</w:t>
      </w:r>
      <w:r>
        <w:rPr>
          <w:rFonts w:hint="eastAsia" w:ascii="微软雅黑" w:hAnsi="微软雅黑" w:eastAsia="微软雅黑" w:cs="微软雅黑"/>
          <w:b/>
          <w:bCs/>
        </w:rPr>
        <w:t>→卫星）和下行链路（卫星→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终端</w:t>
      </w:r>
      <w:r>
        <w:rPr>
          <w:rFonts w:hint="eastAsia" w:ascii="微软雅黑" w:hAnsi="微软雅黑" w:eastAsia="微软雅黑" w:cs="微软雅黑"/>
          <w:b/>
          <w:bCs/>
        </w:rPr>
        <w:t>）</w:t>
      </w:r>
      <w:r>
        <w:rPr>
          <w:rFonts w:hint="eastAsia" w:ascii="微软雅黑" w:hAnsi="微软雅黑" w:eastAsia="微软雅黑" w:cs="微软雅黑"/>
        </w:rPr>
        <w:t xml:space="preserve"> 独立计算。通过输入关键参数，自动生成链路损耗、功率谱密度、载噪比（C/N）、</w:t>
      </w:r>
      <w:r>
        <w:rPr>
          <w:rFonts w:hint="eastAsia" w:ascii="微软雅黑" w:hAnsi="微软雅黑" w:eastAsia="微软雅黑" w:cs="微软雅黑"/>
          <w:lang w:val="en-US" w:eastAsia="zh-CN"/>
        </w:rPr>
        <w:t>信干噪比（</w:t>
      </w:r>
      <w:r>
        <w:rPr>
          <w:rFonts w:hint="eastAsia" w:ascii="微软雅黑" w:hAnsi="微软雅黑" w:eastAsia="微软雅黑" w:cs="微软雅黑"/>
        </w:rPr>
        <w:t>C/(N+I)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  <w:r>
        <w:rPr>
          <w:rFonts w:hint="eastAsia" w:ascii="微软雅黑" w:hAnsi="微软雅黑" w:eastAsia="微软雅黑" w:cs="微软雅黑"/>
        </w:rPr>
        <w:t xml:space="preserve"> 等核心指标，并支持 Excel 报告导出。
</w:t>
      </w:r>
    </w:p>
    <w:p w14:paraId="2B29A46F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</w:t>
      </w:r>
      <w:r>
        <w:rPr>
          <w:rFonts w:hint="eastAsia" w:ascii="微软雅黑" w:hAnsi="微软雅黑" w:eastAsia="微软雅黑" w:cs="微软雅黑"/>
        </w:rPr>
        <w:t>、界面操作指南
</w:t>
      </w:r>
    </w:p>
    <w:p w14:paraId="6EE727FB">
      <w:pPr>
        <w:pStyle w:val="9"/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23890" cy="446722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EC03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顶部工具栏</w:t>
      </w:r>
      <w:r>
        <w:rPr>
          <w:rFonts w:hint="eastAsia" w:ascii="微软雅黑" w:hAnsi="微软雅黑" w:eastAsia="微软雅黑" w:cs="微软雅黑"/>
        </w:rPr>
        <w:t>：
</w:t>
      </w:r>
    </w:p>
    <w:p w14:paraId="5DBD4385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🟢 上行链路 /🔵 下行链路：切换计算方向，参数区自动刷新
</w:t>
      </w:r>
    </w:p>
    <w:p w14:paraId="0E508DDA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📊 计算：触发当前链路计算
</w:t>
      </w:r>
    </w:p>
    <w:p w14:paraId="7737E18C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🗑️ 重置：清空当前链路参数
</w:t>
      </w:r>
    </w:p>
    <w:p w14:paraId="1F908D0F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📄 输出报告：生成含上下行数据的 Excel 文件
</w:t>
      </w:r>
    </w:p>
    <w:p w14:paraId="523B5531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📄 </w:t>
      </w:r>
      <w:r>
        <w:rPr>
          <w:rFonts w:hint="eastAsia" w:ascii="微软雅黑" w:hAnsi="微软雅黑" w:eastAsia="微软雅黑" w:cs="微软雅黑"/>
          <w:lang w:val="en-US" w:eastAsia="zh-CN"/>
        </w:rPr>
        <w:t>计算公式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显示各参数、结果之间的相互关系</w:t>
      </w:r>
      <w:r>
        <w:rPr>
          <w:rFonts w:hint="eastAsia" w:ascii="微软雅黑" w:hAnsi="微软雅黑" w:eastAsia="微软雅黑" w:cs="微软雅黑"/>
        </w:rPr>
        <w:t>
</w:t>
      </w:r>
    </w:p>
    <w:p w14:paraId="3A18B6A1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🌙 主题切换：深色 / 浅色模式
</w:t>
      </w:r>
    </w:p>
    <w:p w14:paraId="3500111B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参数输入区</w:t>
      </w:r>
      <w:r>
        <w:rPr>
          <w:rFonts w:hint="eastAsia" w:ascii="微软雅黑" w:hAnsi="微软雅黑" w:eastAsia="微软雅黑" w:cs="微软雅黑"/>
        </w:rPr>
        <w:t>：
</w:t>
      </w:r>
    </w:p>
    <w:p w14:paraId="4EFEA072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共用参数</w:t>
      </w:r>
      <w:r>
        <w:rPr>
          <w:rFonts w:hint="eastAsia" w:ascii="微软雅黑" w:hAnsi="微软雅黑" w:eastAsia="微软雅黑" w:cs="微软雅黑"/>
        </w:rPr>
        <w:t>：频率、带宽、卫星高度、卫星扫描角（上下行共用）
</w:t>
      </w:r>
    </w:p>
    <w:p w14:paraId="1F25AA8B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专属参数</w:t>
      </w:r>
      <w:r>
        <w:rPr>
          <w:rFonts w:hint="eastAsia" w:ascii="微软雅黑" w:hAnsi="微软雅黑" w:eastAsia="微软雅黑" w:cs="微软雅黑"/>
        </w:rPr>
        <w:t>：
</w:t>
      </w:r>
    </w:p>
    <w:p w14:paraId="2852EC30">
      <w:pPr>
        <w:pStyle w:val="17"/>
        <w:numPr>
          <w:ilvl w:val="2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上行：终端 EIRP、卫星天线增益、卫星噪声系数、卫星天线噪声温度
</w:t>
      </w:r>
    </w:p>
    <w:p w14:paraId="11CEDA05">
      <w:pPr>
        <w:pStyle w:val="17"/>
        <w:numPr>
          <w:ilvl w:val="2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下行：卫星 EIRP、终端噪声系数、终端天线噪声温度、终端天线增益
</w:t>
      </w:r>
    </w:p>
    <w:p w14:paraId="69BFE1F9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损耗参数</w:t>
      </w:r>
      <w:r>
        <w:rPr>
          <w:rFonts w:hint="eastAsia" w:ascii="微软雅黑" w:hAnsi="微软雅黑" w:eastAsia="微软雅黑" w:cs="微软雅黑"/>
        </w:rPr>
        <w:t>：大气损耗、闪烁损耗、极化损耗、波束边缘损耗、扫描损耗、降雨率（部分项需勾选启用）
</w:t>
      </w:r>
    </w:p>
    <w:p w14:paraId="3A14AFC6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链路余量</w:t>
      </w:r>
      <w:r>
        <w:rPr>
          <w:rFonts w:hint="eastAsia" w:ascii="微软雅黑" w:hAnsi="微软雅黑" w:eastAsia="微软雅黑" w:cs="微软雅黑"/>
        </w:rPr>
        <w:t>：链路余量（dB）
</w:t>
      </w:r>
    </w:p>
    <w:p w14:paraId="0C7C3CF5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干扰</w:t>
      </w:r>
      <w:r>
        <w:rPr>
          <w:rFonts w:hint="eastAsia" w:ascii="微软雅黑" w:hAnsi="微软雅黑" w:eastAsia="微软雅黑" w:cs="微软雅黑"/>
        </w:rPr>
        <w:t>：干扰信号功率谱密度（dBm/MHz）
</w:t>
      </w:r>
    </w:p>
    <w:p w14:paraId="2BB515EE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结果显示区</w:t>
      </w:r>
      <w:r>
        <w:rPr>
          <w:rFonts w:hint="eastAsia" w:ascii="微软雅黑" w:hAnsi="微软雅黑" w:eastAsia="微软雅黑" w:cs="微软雅黑"/>
        </w:rPr>
        <w:t>：
</w:t>
      </w:r>
    </w:p>
    <w:p w14:paraId="345E3DCA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分栏显示当前链路的链路状态（如终端仰角、星地距离、路径损耗、雨衰等）和链路性能（如接收信号功率谱密度、噪声功率谱密度、C/N、C/(N+I)、G/T 值等）
</w:t>
      </w:r>
    </w:p>
    <w:p w14:paraId="1D20F9CA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</w:t>
      </w:r>
      <w:r>
        <w:rPr>
          <w:rFonts w:hint="eastAsia" w:ascii="微软雅黑" w:hAnsi="微软雅黑" w:eastAsia="微软雅黑" w:cs="微软雅黑"/>
        </w:rPr>
        <w:t>、参数说明（上行 / 下行区分）
</w:t>
      </w:r>
    </w:p>
    <w:p w14:paraId="711464DA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.1 共用参数（上下行一致）
</w:t>
      </w:r>
    </w:p>
    <w:tbl>
      <w:tblPr>
        <w:tblStyle w:val="11"/>
        <w:tblW w:w="490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73"/>
        <w:gridCol w:w="1661"/>
        <w:gridCol w:w="4662"/>
      </w:tblGrid>
      <w:tr w14:paraId="24F5D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7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743B65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5E7638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052DD1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26329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7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00E7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频率 (GHz)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C1B567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GHz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89980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通信载波频率（上下行可不同）
</w:t>
            </w:r>
          </w:p>
        </w:tc>
      </w:tr>
      <w:tr w14:paraId="76D5C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7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42DF8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带宽 (MHz)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C96C0D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MHz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97184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信号占用带宽
</w:t>
            </w:r>
          </w:p>
        </w:tc>
      </w:tr>
      <w:tr w14:paraId="0580D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7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40390B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卫星高度 (km)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6FBA6B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km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EACBAD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卫星轨道高度
</w:t>
            </w:r>
          </w:p>
        </w:tc>
      </w:tr>
      <w:tr w14:paraId="1C4D7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17EEF5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卫星扫描角 (度)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8348C7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°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460F99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卫星扫描角度（用于几何参数计算）
</w:t>
            </w:r>
          </w:p>
        </w:tc>
      </w:tr>
    </w:tbl>
    <w:p w14:paraId="315DB4B1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.2 上行链路专属参数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84"/>
        <w:gridCol w:w="4652"/>
      </w:tblGrid>
      <w:tr w14:paraId="469EB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4EBAE6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719C5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3AEFC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3F806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A9F4D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终端 EIRP (dBW)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9A4140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dBW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89E330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终端</w:t>
            </w:r>
            <w:r>
              <w:rPr>
                <w:rFonts w:hint="eastAsia" w:ascii="微软雅黑" w:hAnsi="微软雅黑" w:eastAsia="微软雅黑" w:cs="微软雅黑"/>
              </w:rPr>
              <w:t>等效全向辐射功率（发射端核心参数）
</w:t>
            </w:r>
          </w:p>
        </w:tc>
      </w:tr>
      <w:tr w14:paraId="3A95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5B932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卫星天线增益 (dBi)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B7B7A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dBi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2C89FE">
            <w:pPr>
              <w:pStyle w:val="17"/>
              <w:spacing w:line="240" w:lineRule="auto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卫星接收天线增益（接收端核心参数）
</w:t>
            </w:r>
          </w:p>
        </w:tc>
      </w:tr>
      <w:tr w14:paraId="17774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CD452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卫星噪声系数 (dB)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C871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6E567C">
            <w:pPr>
              <w:pStyle w:val="17"/>
              <w:spacing w:line="240" w:lineRule="auto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卫星接收系统噪声系数（影响噪声功率计算）</w:t>
            </w:r>
          </w:p>
        </w:tc>
      </w:tr>
      <w:tr w14:paraId="32360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5777D1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卫星天线噪声温度 (K)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B1D4EA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K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AAAB10">
            <w:pPr>
              <w:pStyle w:val="17"/>
              <w:spacing w:line="240" w:lineRule="auto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卫星天线接收环境噪声温度（K 氏温度）
</w:t>
            </w:r>
          </w:p>
        </w:tc>
      </w:tr>
    </w:tbl>
    <w:p w14:paraId="6B4B0F8C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.3 下行链路专属参数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65"/>
        <w:gridCol w:w="4662"/>
      </w:tblGrid>
      <w:tr w14:paraId="0D7AC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1133B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3E3310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99C675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5640B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42C50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 EIRP (dBW)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64E61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dBW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736C3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卫星等效全向辐射功率（发射端核心参数）
</w:t>
            </w:r>
          </w:p>
        </w:tc>
      </w:tr>
      <w:tr w14:paraId="24159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8C06A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终端噪声系数 (dB)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4E9FB0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066196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终端</w:t>
            </w:r>
            <w:r>
              <w:rPr>
                <w:rFonts w:hint="eastAsia" w:ascii="微软雅黑" w:hAnsi="微软雅黑" w:eastAsia="微软雅黑" w:cs="微软雅黑"/>
              </w:rPr>
              <w:t>接收系统噪声系数（影响噪声功率计算
</w:t>
            </w:r>
          </w:p>
        </w:tc>
      </w:tr>
      <w:tr w14:paraId="7EBC8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AEB151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终端天线噪声温度 (K)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00894D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K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EC63E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终端</w:t>
            </w:r>
            <w:r>
              <w:rPr>
                <w:rFonts w:hint="eastAsia" w:ascii="微软雅黑" w:hAnsi="微软雅黑" w:eastAsia="微软雅黑" w:cs="微软雅黑"/>
              </w:rPr>
              <w:t>天线接收环境噪声温度（K 氏温度）
</w:t>
            </w:r>
          </w:p>
        </w:tc>
      </w:tr>
      <w:tr w14:paraId="558D1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CDE43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终端天线增益 (dBi)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556D8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dBi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0DB3F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终端</w:t>
            </w:r>
            <w:r>
              <w:rPr>
                <w:rFonts w:hint="eastAsia" w:ascii="微软雅黑" w:hAnsi="微软雅黑" w:eastAsia="微软雅黑" w:cs="微软雅黑"/>
              </w:rPr>
              <w:t>接收天线增益（接收端核心参数）
</w:t>
            </w:r>
          </w:p>
        </w:tc>
      </w:tr>
    </w:tbl>
    <w:p w14:paraId="566AE805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.4 损耗参数（需手动勾选启用）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56"/>
        <w:gridCol w:w="4680"/>
      </w:tblGrid>
      <w:tr w14:paraId="5121A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954686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DC18B7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3F759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201D3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537811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大气损耗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AECD4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7AE699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大气气体对信号的吸收损耗
</w:t>
            </w:r>
          </w:p>
        </w:tc>
      </w:tr>
      <w:tr w14:paraId="00EE8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F156B2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闪烁损耗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68622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9C1D89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电离层闪烁引起的信号衰落损耗
</w:t>
            </w:r>
          </w:p>
        </w:tc>
      </w:tr>
      <w:tr w14:paraId="64988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02C02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极化损耗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89C265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DEA308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收发端极化不匹配导致的功率损失
</w:t>
            </w:r>
          </w:p>
        </w:tc>
      </w:tr>
      <w:tr w14:paraId="66D17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DE4156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波束边缘损耗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AA219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4C2FC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天线波束边缘区域的增益下降损耗
</w:t>
            </w:r>
          </w:p>
        </w:tc>
      </w:tr>
      <w:tr w14:paraId="64C22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99BD2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扫描损耗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E10717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71C44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卫星姿态调整或波束扫描引起的指向损耗
</w:t>
            </w:r>
          </w:p>
        </w:tc>
      </w:tr>
      <w:tr w14:paraId="0CAEA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E1006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降雨率 (mm/h)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5537D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mm/h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C8876B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降雨强度（用于计算雨衰，频率 &gt; 10GHz 时必选）
</w:t>
            </w:r>
          </w:p>
        </w:tc>
      </w:tr>
    </w:tbl>
    <w:p w14:paraId="4F601133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.5 链路余量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74"/>
        <w:gridCol w:w="4653"/>
      </w:tblGrid>
      <w:tr w14:paraId="574C9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A76133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7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6AAF0A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5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2F5EF1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4FE8D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2E49A1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链路余量 (dB)
</w:t>
            </w:r>
          </w:p>
        </w:tc>
        <w:tc>
          <w:tcPr>
            <w:tcW w:w="167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AF924F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5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33F2EB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设计预留的衰落补偿余量（应对环境变化）
</w:t>
            </w:r>
          </w:p>
        </w:tc>
      </w:tr>
    </w:tbl>
    <w:p w14:paraId="201CE550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.6 干扰参数
</w:t>
      </w:r>
    </w:p>
    <w:p w14:paraId="1B2CC4BF">
      <w:pPr>
        <w:pStyle w:val="17"/>
        <w:rPr>
          <w:rFonts w:hint="eastAsia" w:ascii="微软雅黑" w:hAnsi="微软雅黑" w:eastAsia="微软雅黑" w:cs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74"/>
        <w:gridCol w:w="4644"/>
      </w:tblGrid>
      <w:tr w14:paraId="31AF7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CAB7ED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7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75A3C4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4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0350DC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7FB43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06F811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干扰信号功率谱密度 (dBm/MHz)
</w:t>
            </w:r>
          </w:p>
        </w:tc>
        <w:tc>
          <w:tcPr>
            <w:tcW w:w="167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AA234A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dBm/MHz
</w:t>
            </w:r>
          </w:p>
        </w:tc>
        <w:tc>
          <w:tcPr>
            <w:tcW w:w="464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AD0227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外部干扰源的功率谱密度（需手动输入）
</w:t>
            </w:r>
          </w:p>
        </w:tc>
      </w:tr>
    </w:tbl>
    <w:p w14:paraId="025ACE32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</w:t>
      </w:r>
      <w:r>
        <w:rPr>
          <w:rFonts w:hint="eastAsia" w:ascii="微软雅黑" w:hAnsi="微软雅黑" w:eastAsia="微软雅黑" w:cs="微软雅黑"/>
        </w:rPr>
        <w:t>、核心计算公式</w:t>
      </w:r>
    </w:p>
    <w:p w14:paraId="282E3B6C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 xml:space="preserve">.1 </w:t>
      </w:r>
      <w:r>
        <w:rPr>
          <w:rFonts w:hint="eastAsia" w:ascii="微软雅黑" w:hAnsi="微软雅黑" w:eastAsia="微软雅黑" w:cs="微软雅黑"/>
          <w:lang w:val="en-US" w:eastAsia="zh-CN"/>
        </w:rPr>
        <w:t>链路状态</w:t>
      </w:r>
      <w:r>
        <w:rPr>
          <w:rFonts w:hint="eastAsia" w:ascii="微软雅黑" w:hAnsi="微软雅黑" w:eastAsia="微软雅黑" w:cs="微软雅黑"/>
        </w:rPr>
        <w:t>计算
</w:t>
      </w:r>
    </w:p>
    <w:p w14:paraId="69D39B90">
      <w:pPr>
        <w:pStyle w:val="5"/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4.1.1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卫星扫描角与终端仰角关系
</w:t>
      </w:r>
    </w:p>
    <w:tbl>
      <w:tblPr>
        <w:tblStyle w:val="11"/>
        <w:tblW w:w="3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79"/>
      </w:tblGrid>
      <w:tr w14:paraId="49B2E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4" w:hRule="atLeast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DED603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终端仰角</w:t>
            </w:r>
            <w:r>
              <w:rPr>
                <w:rFonts w:hint="eastAsia" w:ascii="微软雅黑" w:hAnsi="微软雅黑" w:eastAsia="微软雅黑" w:cs="微软雅黑"/>
              </w:rPr>
              <w:t xml:space="preserve"> =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三角公式（卫星轨道高度、地球半径、卫星扫描角）</w:t>
            </w:r>
          </w:p>
        </w:tc>
      </w:tr>
    </w:tbl>
    <w:p w14:paraId="7A611F34">
      <w:pPr>
        <w:pStyle w:val="5"/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4.1.2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星地距离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Km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95"/>
      </w:tblGrid>
      <w:tr w14:paraId="5C1B1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ECBD39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d =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公式待补充</w:t>
            </w:r>
            <w:r>
              <w:rPr>
                <w:rFonts w:hint="eastAsia" w:ascii="微软雅黑" w:hAnsi="微软雅黑" w:eastAsia="微软雅黑" w:cs="微软雅黑"/>
              </w:rPr>
              <w:t>
</w:t>
            </w:r>
          </w:p>
        </w:tc>
      </w:tr>
    </w:tbl>
    <w:p w14:paraId="21752B24"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4.1.3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路径损耗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43"/>
      </w:tblGrid>
      <w:tr w14:paraId="4A66C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FE61AD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Lp(dB) = 92.45 + 20·log₁₀(频率) + 20·log₁₀(距离)
</w:t>
            </w:r>
          </w:p>
        </w:tc>
      </w:tr>
    </w:tbl>
    <w:p w14:paraId="0EE3D827">
      <w:pPr>
        <w:pStyle w:val="1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其中频率单位为 GHz，距离单位为 km
</w:t>
      </w:r>
    </w:p>
    <w:p w14:paraId="50CE9CB9"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4.1.4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雨衰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989"/>
      </w:tblGrid>
      <w:tr w14:paraId="5AEB9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3678C7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雨衰</w:t>
            </w:r>
            <w:r>
              <w:rPr>
                <w:rFonts w:hint="eastAsia" w:ascii="微软雅黑" w:hAnsi="微软雅黑" w:eastAsia="微软雅黑" w:cs="微软雅黑"/>
              </w:rPr>
              <w:t>Lf = a·(降雨率^b)·Ls
</w:t>
            </w:r>
          </w:p>
          <w:p w14:paraId="6D78867B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 = 0.0051·频率^1.41
</w:t>
            </w:r>
          </w:p>
          <w:p w14:paraId="59AF3C50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 = 0.655·频率^-0.075
</w:t>
            </w:r>
          </w:p>
          <w:p w14:paraId="04CFF722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Ls = 35·(sin(仰角))^-0.6
</w:t>
            </w:r>
          </w:p>
        </w:tc>
      </w:tr>
    </w:tbl>
    <w:p w14:paraId="30E70FBE"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4.1.5 总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损耗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107"/>
      </w:tblGrid>
      <w:tr w14:paraId="4389E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5AB862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总损耗 = 大气损耗 + 闪烁损耗 + 极化损耗 + 链路余量 + 
</w:t>
            </w:r>
          </w:p>
          <w:p w14:paraId="62B47841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波束边缘损耗 + 扫描损耗 + 路径损耗 + 雨衰
</w:t>
            </w:r>
          </w:p>
        </w:tc>
      </w:tr>
    </w:tbl>
    <w:p w14:paraId="1F0196B5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接收机性能</w:t>
      </w:r>
      <w:r>
        <w:rPr>
          <w:rFonts w:hint="eastAsia" w:ascii="微软雅黑" w:hAnsi="微软雅黑" w:eastAsia="微软雅黑" w:cs="微软雅黑"/>
        </w:rPr>
        <w:t>计算
</w:t>
      </w:r>
    </w:p>
    <w:p w14:paraId="43A7C269">
      <w:pPr>
        <w:pStyle w:val="5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.1系统等效噪声温度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（K）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55"/>
      </w:tblGrid>
      <w:tr w14:paraId="37392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C33F21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Tsys = 290·(10^(噪声系数/10) - 1) + 天线噪声温度
</w:t>
            </w:r>
          </w:p>
        </w:tc>
      </w:tr>
    </w:tbl>
    <w:p w14:paraId="64E0708B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T</w:t>
      </w:r>
      <w:r>
        <w:rPr>
          <w:rFonts w:hint="eastAsia" w:ascii="微软雅黑" w:hAnsi="微软雅黑" w:eastAsia="微软雅黑" w:cs="微软雅黑"/>
          <w:lang w:val="en-US" w:eastAsia="zh-CN"/>
        </w:rPr>
        <w:t>sys</w:t>
      </w:r>
      <w:r>
        <w:rPr>
          <w:rFonts w:hint="eastAsia" w:ascii="微软雅黑" w:hAnsi="微软雅黑" w:eastAsia="微软雅黑" w:cs="微软雅黑"/>
        </w:rPr>
        <w:t xml:space="preserve"> ：系统噪声温度（K），综合接收机噪声与天线环境噪声
</w:t>
      </w:r>
    </w:p>
    <w:p w14:paraId="301FDFC3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天线噪声温度（K），由环境温度决定
</w:t>
      </w:r>
    </w:p>
    <w:p w14:paraId="4FC25494"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.2 品质因数（G/T, dB/K）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86"/>
      </w:tblGrid>
      <w:tr w14:paraId="5D5BA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ADDF38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G/T(dB/K) = 天线增益 - 10·log₁₀(Tsys)
</w:t>
            </w:r>
          </w:p>
        </w:tc>
      </w:tr>
    </w:tbl>
    <w:p w14:paraId="7182394F"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 xml:space="preserve"> 噪声功率谱密度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PSD噪声，dBm/MHz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87"/>
      </w:tblGrid>
      <w:tr w14:paraId="719E4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B9AD41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PSD噪声(dBm/MHz) = -228.6 + 10·log₁₀(Tsys) + 30
</w:t>
            </w:r>
          </w:p>
        </w:tc>
      </w:tr>
    </w:tbl>
    <w:p w14:paraId="7428FA54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 xml:space="preserve"> 系统性能指标
</w:t>
      </w:r>
    </w:p>
    <w:p w14:paraId="7D1D5E1C"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.1 总接收功率（dBm）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</w:tblGrid>
      <w:tr w14:paraId="5C4D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9468BB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Pr(dBm) = EIRP + 30 - 总损耗 + 天线增益
</w:t>
            </w:r>
          </w:p>
        </w:tc>
      </w:tr>
    </w:tbl>
    <w:p w14:paraId="6F13EFF2"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.2 功率谱密度（dBm/MHz）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48"/>
      </w:tblGrid>
      <w:tr w14:paraId="534D9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7E2074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PSD信号(dBm/MHz) = Pr(dBm) - 10·log₁₀(带宽)
</w:t>
            </w:r>
          </w:p>
        </w:tc>
      </w:tr>
    </w:tbl>
    <w:p w14:paraId="548F95EC">
      <w:pPr>
        <w:pStyle w:val="5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 xml:space="preserve"> 载噪比（C/N, dB）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69"/>
      </w:tblGrid>
      <w:tr w14:paraId="7A41C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62CCE0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C/N(dB) = PSD信号 - PSD噪声
</w:t>
            </w:r>
          </w:p>
        </w:tc>
      </w:tr>
    </w:tbl>
    <w:p w14:paraId="752961C9">
      <w:pPr>
        <w:pStyle w:val="4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3.4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信干噪比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（C/(N+I)）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02"/>
      </w:tblGrid>
      <w:tr w14:paraId="5573C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D0FD47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</w:rPr>
              <w:t>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+I)</w:t>
            </w:r>
            <w:r>
              <w:rPr>
                <w:rFonts w:hint="eastAsia" w:ascii="微软雅黑" w:hAnsi="微软雅黑" w:eastAsia="微软雅黑" w:cs="微软雅黑"/>
              </w:rPr>
              <w:t>(dB) =10·log₁₀(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PSD信号</w:t>
            </w:r>
            <w:r>
              <w:rPr>
                <w:rFonts w:hint="eastAsia" w:ascii="微软雅黑" w:hAnsi="微软雅黑" w:eastAsia="微软雅黑" w:cs="微软雅黑"/>
                <w:vertAlign w:val="subscript"/>
                <w:lang w:val="en-US" w:eastAsia="zh-CN"/>
              </w:rPr>
              <w:t>线性值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/(PSD噪声</w:t>
            </w:r>
            <w:r>
              <w:rPr>
                <w:rFonts w:hint="eastAsia" w:ascii="微软雅黑" w:hAnsi="微软雅黑" w:eastAsia="微软雅黑" w:cs="微软雅黑"/>
                <w:vertAlign w:val="subscript"/>
                <w:lang w:val="en-US" w:eastAsia="zh-CN"/>
              </w:rPr>
              <w:t>线性值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+PSD干扰</w:t>
            </w:r>
            <w:r>
              <w:rPr>
                <w:rFonts w:hint="eastAsia" w:ascii="微软雅黑" w:hAnsi="微软雅黑" w:eastAsia="微软雅黑" w:cs="微软雅黑"/>
                <w:vertAlign w:val="subscript"/>
                <w:lang w:val="en-US" w:eastAsia="zh-CN"/>
              </w:rPr>
              <w:t>线性值</w:t>
            </w:r>
            <w:r>
              <w:rPr>
                <w:rFonts w:hint="eastAsia" w:ascii="微软雅黑" w:hAnsi="微软雅黑" w:eastAsia="微软雅黑" w:cs="微软雅黑"/>
              </w:rPr>
              <w:t xml:space="preserve">) </w:t>
            </w:r>
          </w:p>
          <w:p w14:paraId="1B7BB2F9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其中，线性值=10^(dB值/10)</w:t>
            </w:r>
            <w:r>
              <w:rPr>
                <w:rFonts w:hint="eastAsia" w:ascii="微软雅黑" w:hAnsi="微软雅黑" w:eastAsia="微软雅黑" w:cs="微软雅黑"/>
              </w:rPr>
              <w:t>
</w:t>
            </w:r>
          </w:p>
        </w:tc>
      </w:tr>
    </w:tbl>
    <w:p w14:paraId="7AA4E4D1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PSD干扰</w:t>
      </w:r>
      <w:r>
        <w:rPr>
          <w:rFonts w:hint="eastAsia" w:ascii="微软雅黑" w:hAnsi="微软雅黑" w:eastAsia="微软雅黑" w:cs="微软雅黑"/>
        </w:rPr>
        <w:t xml:space="preserve"> ：干扰信号功率谱密度（dBm/MHz），需手动输入并启用干扰选项
</w:t>
      </w:r>
    </w:p>
    <w:p w14:paraId="75355F14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</w:t>
      </w:r>
      <w:r>
        <w:rPr>
          <w:rFonts w:hint="eastAsia" w:ascii="微软雅黑" w:hAnsi="微软雅黑" w:eastAsia="微软雅黑" w:cs="微软雅黑"/>
        </w:rPr>
        <w:t>、注意事项
</w:t>
      </w:r>
    </w:p>
    <w:p w14:paraId="0951CFB4"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损耗项启用</w:t>
      </w:r>
      <w:r>
        <w:rPr>
          <w:rFonts w:hint="eastAsia" w:ascii="微软雅黑" w:hAnsi="微软雅黑" w:eastAsia="微软雅黑" w:cs="微软雅黑"/>
        </w:rPr>
        <w:t>：雨衰、闪烁损耗等需在参数区勾选对应复选框，否则视为 0dB
</w:t>
      </w:r>
    </w:p>
    <w:p w14:paraId="4110ABF2"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公式输入规范</w:t>
      </w:r>
      <w:r>
        <w:rPr>
          <w:rFonts w:hint="eastAsia" w:ascii="微软雅黑" w:hAnsi="微软雅黑" w:eastAsia="微软雅黑" w:cs="微软雅黑"/>
        </w:rPr>
        <w:t>：
</w:t>
      </w:r>
    </w:p>
    <w:p w14:paraId="76E01BE9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支持数学表达式：如 </w:t>
      </w:r>
      <w:r>
        <w:rPr>
          <w:rFonts w:hint="eastAsia" w:ascii="微软雅黑" w:hAnsi="微软雅黑" w:eastAsia="微软雅黑" w:cs="微软雅黑"/>
          <w:highlight w:val="cyan"/>
          <w:bdr w:val="single" w:color="DEE0E3" w:sz="4" w:space="0"/>
        </w:rPr>
        <w:t>sin(45)</w:t>
      </w:r>
      <w:r>
        <w:rPr>
          <w:rFonts w:hint="eastAsia" w:ascii="微软雅黑" w:hAnsi="微软雅黑" w:eastAsia="微软雅黑" w:cs="微软雅黑"/>
        </w:rPr>
        <w:t xml:space="preserve"> 自动计算为 0.707，</w:t>
      </w:r>
      <w:r>
        <w:rPr>
          <w:rFonts w:hint="eastAsia" w:ascii="微软雅黑" w:hAnsi="微软雅黑" w:eastAsia="微软雅黑" w:cs="微软雅黑"/>
          <w:highlight w:val="cyan"/>
          <w:bdr w:val="single" w:color="DEE0E3" w:sz="4" w:space="0"/>
        </w:rPr>
        <w:t>10*log10(200)</w:t>
      </w:r>
      <w:r>
        <w:rPr>
          <w:rFonts w:hint="eastAsia" w:ascii="微软雅黑" w:hAnsi="微软雅黑" w:eastAsia="微软雅黑" w:cs="微软雅黑"/>
        </w:rPr>
        <w:t xml:space="preserve"> 等效于 23.01dB
</w:t>
      </w:r>
    </w:p>
    <w:p w14:paraId="72905973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角度直接输入度数（如 30° 只需输入 30，内部自动处理单位转换）
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WarSym_Gnd_Cs_F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02785862"/>
    <w:rsid w:val="0486237A"/>
    <w:rsid w:val="064222D0"/>
    <w:rsid w:val="0D33523D"/>
    <w:rsid w:val="0DFF4F4B"/>
    <w:rsid w:val="0F89675E"/>
    <w:rsid w:val="11DA180A"/>
    <w:rsid w:val="13497394"/>
    <w:rsid w:val="144638D4"/>
    <w:rsid w:val="14F0527E"/>
    <w:rsid w:val="163D797E"/>
    <w:rsid w:val="182D3D5F"/>
    <w:rsid w:val="18385F27"/>
    <w:rsid w:val="1D365F3F"/>
    <w:rsid w:val="21942142"/>
    <w:rsid w:val="21B8185E"/>
    <w:rsid w:val="25E22F4C"/>
    <w:rsid w:val="280953F7"/>
    <w:rsid w:val="28E93E0F"/>
    <w:rsid w:val="2E5B3C90"/>
    <w:rsid w:val="3068665F"/>
    <w:rsid w:val="32DE2D20"/>
    <w:rsid w:val="337B6B4A"/>
    <w:rsid w:val="3ACC6D0A"/>
    <w:rsid w:val="3B912DD7"/>
    <w:rsid w:val="3D7073F3"/>
    <w:rsid w:val="3F0A7128"/>
    <w:rsid w:val="41A53138"/>
    <w:rsid w:val="49F205CA"/>
    <w:rsid w:val="4CBF59F6"/>
    <w:rsid w:val="4E314D77"/>
    <w:rsid w:val="4E593910"/>
    <w:rsid w:val="4F0849EB"/>
    <w:rsid w:val="5276640E"/>
    <w:rsid w:val="52B92EE7"/>
    <w:rsid w:val="542E345E"/>
    <w:rsid w:val="57B44EC0"/>
    <w:rsid w:val="598C3C12"/>
    <w:rsid w:val="5BFC0F33"/>
    <w:rsid w:val="5F106D00"/>
    <w:rsid w:val="60C2740B"/>
    <w:rsid w:val="64393E88"/>
    <w:rsid w:val="65BC2288"/>
    <w:rsid w:val="68657262"/>
    <w:rsid w:val="6A425452"/>
    <w:rsid w:val="6A6432E1"/>
    <w:rsid w:val="6B6C4B43"/>
    <w:rsid w:val="71385C9A"/>
    <w:rsid w:val="7282726A"/>
    <w:rsid w:val="738549F4"/>
    <w:rsid w:val="7886527A"/>
    <w:rsid w:val="78AB0354"/>
    <w:rsid w:val="795F7A95"/>
    <w:rsid w:val="7FD81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7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8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1106</Words>
  <Characters>1269</Characters>
  <TotalTime>0</TotalTime>
  <ScaleCrop>false</ScaleCrop>
  <LinksUpToDate>false</LinksUpToDate>
  <CharactersWithSpaces>1328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2025-05-22T04:00:00Z</dcterms:created>
  <dc:creator>Un-named</dc:creator>
  <cp:lastModifiedBy>飞天小南鲸</cp:lastModifiedBy>
  <dcterms:modified xsi:type="dcterms:W3CDTF">2025-05-22T08:11:43Z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eyJoZGlkIjoiMDM3YTgxNjhiZjJlYjgwMmY3ZjNlODJiYjZjNDZiOWMiLCJ1c2VySWQiOiIxNjQ2NjQ2MzgwIn0=</vt:lpwstr>
  </property>
  <property fmtid="{D5CDD505-2E9C-101B-9397-08002B2CF9AE}" pid="3" name="KSOProductBuildVer">
    <vt:lpwstr>2052-12.1.0.20784</vt:lpwstr>
  </property>
  <property fmtid="{D5CDD505-2E9C-101B-9397-08002B2CF9AE}" pid="4" name="ICV">
    <vt:lpwstr>04DC8E12B7664D4983EAB26D7F52BAA3_12</vt:lpwstr>
  </property>
</Properties>
</file>