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4F04" w14:textId="77777777" w:rsidR="007F040D" w:rsidRDefault="007F040D" w:rsidP="007F040D">
      <w:pPr>
        <w:pStyle w:val="Default"/>
      </w:pPr>
    </w:p>
    <w:p w14:paraId="60E8563F" w14:textId="77777777" w:rsidR="007F040D" w:rsidRDefault="007F040D" w:rsidP="007F040D">
      <w:pPr>
        <w:rPr>
          <w:rFonts w:hint="eastAsia"/>
          <w:b/>
          <w:bCs/>
          <w:sz w:val="64"/>
          <w:szCs w:val="64"/>
        </w:rPr>
      </w:pPr>
      <w:hyperlink r:id="rId6" w:history="1">
        <w:r w:rsidRPr="002E72D9">
          <w:rPr>
            <w:rStyle w:val="a3"/>
            <w:b/>
            <w:bCs/>
            <w:sz w:val="64"/>
            <w:szCs w:val="64"/>
          </w:rPr>
          <w:t>wuxiaofeng@zju.edu.cn</w:t>
        </w:r>
      </w:hyperlink>
    </w:p>
    <w:p w14:paraId="4C418A39" w14:textId="77777777" w:rsidR="007F040D" w:rsidRDefault="007F040D" w:rsidP="007F040D">
      <w:pPr>
        <w:rPr>
          <w:rFonts w:hint="eastAsia"/>
          <w:b/>
          <w:bCs/>
          <w:sz w:val="64"/>
          <w:szCs w:val="64"/>
        </w:rPr>
      </w:pPr>
    </w:p>
    <w:p w14:paraId="096096A9" w14:textId="77777777" w:rsidR="00634BA9" w:rsidRDefault="00136D4A" w:rsidP="007F040D">
      <w:pPr>
        <w:rPr>
          <w:rFonts w:ascii="ˎ̥" w:hAnsi="ˎ̥" w:hint="eastAsia"/>
          <w:szCs w:val="21"/>
        </w:rPr>
      </w:pPr>
      <w:r>
        <w:rPr>
          <w:rFonts w:ascii="ˎ̥" w:hAnsi="ˎ̥"/>
          <w:szCs w:val="21"/>
        </w:rPr>
        <w:t>：</w:t>
      </w:r>
      <w:r>
        <w:rPr>
          <w:rFonts w:cs="宋体" w:hint="eastAsia"/>
          <w:szCs w:val="21"/>
        </w:rPr>
        <w:t>①</w:t>
      </w:r>
      <w:r>
        <w:rPr>
          <w:rFonts w:ascii="ˎ̥" w:hAnsi="ˎ̥"/>
          <w:szCs w:val="21"/>
        </w:rPr>
        <w:t>极性氨基酸：其中包括赖氨酸、精氨酸、组氨酸</w:t>
      </w:r>
      <w:r>
        <w:rPr>
          <w:rFonts w:ascii="ˎ̥" w:hAnsi="ˎ̥"/>
          <w:szCs w:val="21"/>
        </w:rPr>
        <w:t>3</w:t>
      </w:r>
      <w:r>
        <w:rPr>
          <w:rFonts w:ascii="ˎ̥" w:hAnsi="ˎ̥"/>
          <w:szCs w:val="21"/>
        </w:rPr>
        <w:t>种碱性氨基酸（带负电荷）；谷氨酸、天门冬氨酸</w:t>
      </w:r>
      <w:r>
        <w:rPr>
          <w:rFonts w:ascii="ˎ̥" w:hAnsi="ˎ̥"/>
          <w:szCs w:val="21"/>
        </w:rPr>
        <w:t>2</w:t>
      </w:r>
      <w:r>
        <w:rPr>
          <w:rFonts w:ascii="ˎ̥" w:hAnsi="ˎ̥"/>
          <w:szCs w:val="21"/>
        </w:rPr>
        <w:t>种酸性氨基酸（带正电荷）；丝氨酸、苏氨酸、天冬酰胺、谷氨酰胺、酪氨酸、半胱氨酸</w:t>
      </w:r>
      <w:r>
        <w:rPr>
          <w:rFonts w:ascii="ˎ̥" w:hAnsi="ˎ̥"/>
          <w:szCs w:val="21"/>
        </w:rPr>
        <w:t>6</w:t>
      </w:r>
      <w:r>
        <w:rPr>
          <w:rFonts w:ascii="ˎ̥" w:hAnsi="ˎ̥"/>
          <w:szCs w:val="21"/>
        </w:rPr>
        <w:t>种不带电荷。</w:t>
      </w:r>
      <w:r>
        <w:rPr>
          <w:rFonts w:cs="宋体" w:hint="eastAsia"/>
          <w:szCs w:val="21"/>
        </w:rPr>
        <w:t>②</w:t>
      </w:r>
      <w:r>
        <w:rPr>
          <w:rFonts w:ascii="ˎ̥" w:hAnsi="ˎ̥"/>
          <w:szCs w:val="21"/>
        </w:rPr>
        <w:t>非极性氨基酸：共有</w:t>
      </w:r>
      <w:r>
        <w:rPr>
          <w:rFonts w:ascii="ˎ̥" w:hAnsi="ˎ̥"/>
          <w:szCs w:val="21"/>
        </w:rPr>
        <w:t>9</w:t>
      </w:r>
      <w:r>
        <w:rPr>
          <w:rFonts w:ascii="ˎ̥" w:hAnsi="ˎ̥"/>
          <w:szCs w:val="21"/>
        </w:rPr>
        <w:t>种，分别为甘氨酸、丙氨酸、缬氨酸、亮氨酸、异亮氨酸、苯丙氨酸、蛋氨酸、色氨酸、脯氨酸</w:t>
      </w:r>
    </w:p>
    <w:p w14:paraId="59807EBA" w14:textId="77777777" w:rsidR="003342AF" w:rsidRDefault="003342AF">
      <w:pPr>
        <w:rPr>
          <w:rFonts w:ascii="ˎ̥" w:hAnsi="ˎ̥" w:hint="eastAsia"/>
          <w:szCs w:val="21"/>
        </w:rPr>
      </w:pPr>
    </w:p>
    <w:p w14:paraId="318A7B4A" w14:textId="77777777" w:rsidR="003342AF" w:rsidRPr="003342AF" w:rsidRDefault="00C80C22" w:rsidP="003342AF">
      <w:pPr>
        <w:widowControl/>
        <w:spacing w:before="225" w:after="225" w:line="330" w:lineRule="atLeast"/>
        <w:jc w:val="left"/>
        <w:outlineLvl w:val="2"/>
        <w:rPr>
          <w:rFonts w:ascii="Arial" w:hAnsi="Arial" w:cs="Arial" w:hint="eastAsia"/>
          <w:b/>
          <w:bCs/>
          <w:color w:val="000000"/>
          <w:kern w:val="0"/>
          <w:sz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</w:rPr>
        <w:t>P</w:t>
      </w:r>
      <w:r>
        <w:rPr>
          <w:rFonts w:ascii="Arial" w:hAnsi="Arial" w:cs="Arial" w:hint="eastAsia"/>
          <w:b/>
          <w:bCs/>
          <w:color w:val="000000"/>
          <w:kern w:val="0"/>
          <w:sz w:val="24"/>
        </w:rPr>
        <w:t>cr</w:t>
      </w:r>
      <w:r w:rsidR="003342AF" w:rsidRPr="003342AF">
        <w:rPr>
          <w:rFonts w:ascii="Arial" w:hAnsi="Arial" w:cs="Arial"/>
          <w:b/>
          <w:bCs/>
          <w:color w:val="000000"/>
          <w:kern w:val="0"/>
          <w:sz w:val="24"/>
        </w:rPr>
        <w:t>工作原理</w:t>
      </w:r>
      <w:r w:rsidR="00D70081">
        <w:rPr>
          <w:rFonts w:ascii="Arial" w:hAnsi="Arial" w:cs="Arial" w:hint="eastAsia"/>
          <w:b/>
          <w:bCs/>
          <w:color w:val="000000"/>
          <w:kern w:val="0"/>
          <w:sz w:val="24"/>
        </w:rPr>
        <w:t>polymerase chain reaction</w:t>
      </w:r>
    </w:p>
    <w:p w14:paraId="28A897EE" w14:textId="77777777" w:rsidR="003342AF" w:rsidRDefault="003342AF" w:rsidP="003342AF">
      <w:pPr>
        <w:widowControl/>
        <w:shd w:val="clear" w:color="auto" w:fill="F6F6F6"/>
        <w:spacing w:before="45" w:line="270" w:lineRule="atLeast"/>
        <w:outlineLvl w:val="2"/>
        <w:rPr>
          <w:rFonts w:ascii="Arial" w:hAnsi="Arial" w:cs="Arial" w:hint="eastAsia"/>
          <w:color w:val="000000"/>
          <w:kern w:val="0"/>
        </w:rPr>
      </w:pPr>
      <w:r w:rsidRPr="003342AF">
        <w:rPr>
          <w:rFonts w:ascii="Arial" w:hAnsi="Arial" w:cs="Arial"/>
          <w:color w:val="000000"/>
          <w:kern w:val="0"/>
        </w:rPr>
        <w:t>类似于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的天然复制过程，其特异性依赖于与靶序列两端互补的寡核苷酸引物。</w:t>
      </w:r>
      <w:r w:rsidRPr="003342AF">
        <w:rPr>
          <w:rFonts w:ascii="Arial" w:hAnsi="Arial" w:cs="Arial"/>
          <w:color w:val="000000"/>
          <w:kern w:val="0"/>
        </w:rPr>
        <w:t>PCR</w:t>
      </w:r>
      <w:r w:rsidRPr="003342AF">
        <w:rPr>
          <w:rFonts w:ascii="Arial" w:hAnsi="Arial" w:cs="Arial"/>
          <w:color w:val="000000"/>
          <w:kern w:val="0"/>
        </w:rPr>
        <w:t>由变性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退火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延伸三个基本反应步骤构成：</w:t>
      </w:r>
      <w:r w:rsidRPr="003342AF">
        <w:rPr>
          <w:rFonts w:cs="宋体" w:hint="eastAsia"/>
          <w:color w:val="000000"/>
          <w:kern w:val="0"/>
        </w:rPr>
        <w:t>①</w:t>
      </w:r>
      <w:r w:rsidRPr="003342AF">
        <w:rPr>
          <w:rFonts w:ascii="Arial" w:hAnsi="Arial" w:cs="Arial"/>
          <w:color w:val="000000"/>
          <w:kern w:val="0"/>
        </w:rPr>
        <w:t>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的变性：模板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经加热至</w:t>
      </w:r>
      <w:r w:rsidRPr="003342AF">
        <w:rPr>
          <w:rFonts w:ascii="Arial" w:hAnsi="Arial" w:cs="Arial"/>
          <w:color w:val="000000"/>
          <w:kern w:val="0"/>
        </w:rPr>
        <w:t>93</w:t>
      </w:r>
      <w:r w:rsidRPr="003342AF">
        <w:rPr>
          <w:rFonts w:cs="宋体" w:hint="eastAsia"/>
          <w:color w:val="000000"/>
          <w:kern w:val="0"/>
        </w:rPr>
        <w:t>℃</w:t>
      </w:r>
      <w:r w:rsidRPr="003342AF">
        <w:rPr>
          <w:rFonts w:ascii="Arial" w:hAnsi="Arial" w:cs="Arial"/>
          <w:color w:val="000000"/>
          <w:kern w:val="0"/>
        </w:rPr>
        <w:t>左右一定时间后，使模板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双链或经</w:t>
      </w:r>
      <w:r w:rsidRPr="003342AF">
        <w:rPr>
          <w:rFonts w:ascii="Arial" w:hAnsi="Arial" w:cs="Arial"/>
          <w:color w:val="000000"/>
          <w:kern w:val="0"/>
        </w:rPr>
        <w:t>PCR</w:t>
      </w:r>
      <w:r w:rsidRPr="003342AF">
        <w:rPr>
          <w:rFonts w:ascii="Arial" w:hAnsi="Arial" w:cs="Arial"/>
          <w:color w:val="000000"/>
          <w:kern w:val="0"/>
        </w:rPr>
        <w:t>扩增形成的双链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解离，使之成为单链，以便它与引物结合，为下轮反应作准备；</w:t>
      </w:r>
      <w:r w:rsidRPr="003342AF">
        <w:rPr>
          <w:rFonts w:cs="宋体" w:hint="eastAsia"/>
          <w:color w:val="000000"/>
          <w:kern w:val="0"/>
        </w:rPr>
        <w:t>②</w:t>
      </w:r>
      <w:r w:rsidRPr="003342AF">
        <w:rPr>
          <w:rFonts w:ascii="Arial" w:hAnsi="Arial" w:cs="Arial"/>
          <w:color w:val="000000"/>
          <w:kern w:val="0"/>
        </w:rPr>
        <w:t>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与引物的退火</w:t>
      </w:r>
      <w:r w:rsidRPr="003342AF">
        <w:rPr>
          <w:rFonts w:ascii="Arial" w:hAnsi="Arial" w:cs="Arial"/>
          <w:color w:val="000000"/>
          <w:kern w:val="0"/>
        </w:rPr>
        <w:t>(</w:t>
      </w:r>
      <w:r w:rsidRPr="003342AF">
        <w:rPr>
          <w:rFonts w:ascii="Arial" w:hAnsi="Arial" w:cs="Arial"/>
          <w:color w:val="000000"/>
          <w:kern w:val="0"/>
        </w:rPr>
        <w:t>复性</w:t>
      </w:r>
      <w:r w:rsidRPr="003342AF">
        <w:rPr>
          <w:rFonts w:ascii="Arial" w:hAnsi="Arial" w:cs="Arial"/>
          <w:color w:val="000000"/>
          <w:kern w:val="0"/>
        </w:rPr>
        <w:t>)</w:t>
      </w:r>
      <w:r w:rsidRPr="003342AF">
        <w:rPr>
          <w:rFonts w:ascii="Arial" w:hAnsi="Arial" w:cs="Arial"/>
          <w:color w:val="000000"/>
          <w:kern w:val="0"/>
        </w:rPr>
        <w:t>：模板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经加热变性成单链后，温度降至</w:t>
      </w:r>
      <w:r w:rsidRPr="003342AF">
        <w:rPr>
          <w:rFonts w:ascii="Arial" w:hAnsi="Arial" w:cs="Arial"/>
          <w:color w:val="000000"/>
          <w:kern w:val="0"/>
        </w:rPr>
        <w:t>55</w:t>
      </w:r>
      <w:r w:rsidRPr="003342AF">
        <w:rPr>
          <w:rFonts w:cs="宋体" w:hint="eastAsia"/>
          <w:color w:val="000000"/>
          <w:kern w:val="0"/>
        </w:rPr>
        <w:t>℃</w:t>
      </w:r>
      <w:r w:rsidRPr="003342AF">
        <w:rPr>
          <w:rFonts w:ascii="Arial" w:hAnsi="Arial" w:cs="Arial"/>
          <w:color w:val="000000"/>
          <w:kern w:val="0"/>
        </w:rPr>
        <w:t>左右，引物与模板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单链的互补序列配对结合；</w:t>
      </w:r>
      <w:r w:rsidRPr="003342AF">
        <w:rPr>
          <w:rFonts w:cs="宋体" w:hint="eastAsia"/>
          <w:color w:val="000000"/>
          <w:kern w:val="0"/>
        </w:rPr>
        <w:t>③</w:t>
      </w:r>
      <w:r w:rsidRPr="003342AF">
        <w:rPr>
          <w:rFonts w:ascii="Arial" w:hAnsi="Arial" w:cs="Arial"/>
          <w:color w:val="000000"/>
          <w:kern w:val="0"/>
        </w:rPr>
        <w:t>引物的延伸：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模板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引物结合物在</w:t>
      </w:r>
      <w:r w:rsidRPr="003342AF">
        <w:rPr>
          <w:rFonts w:ascii="Arial" w:hAnsi="Arial" w:cs="Arial"/>
          <w:color w:val="000000"/>
          <w:kern w:val="0"/>
        </w:rPr>
        <w:t>TaqDNA</w:t>
      </w:r>
      <w:r w:rsidRPr="003342AF">
        <w:rPr>
          <w:rFonts w:ascii="Arial" w:hAnsi="Arial" w:cs="Arial"/>
          <w:color w:val="000000"/>
          <w:kern w:val="0"/>
        </w:rPr>
        <w:t>聚合酶的作用下，以</w:t>
      </w:r>
      <w:r w:rsidRPr="003342AF">
        <w:rPr>
          <w:rFonts w:ascii="Arial" w:hAnsi="Arial" w:cs="Arial"/>
          <w:color w:val="000000"/>
          <w:kern w:val="0"/>
        </w:rPr>
        <w:t>dNTP</w:t>
      </w:r>
      <w:r w:rsidRPr="003342AF">
        <w:rPr>
          <w:rFonts w:ascii="Arial" w:hAnsi="Arial" w:cs="Arial"/>
          <w:color w:val="000000"/>
          <w:kern w:val="0"/>
        </w:rPr>
        <w:t>为反应原料，靶序列为模板，按碱基配对与半保留复制原理，合成一条新的与模板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链互补的半保留复制链重复循环变性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退火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延伸三过程，就可获得更多的</w:t>
      </w:r>
      <w:r w:rsidRPr="003342AF">
        <w:rPr>
          <w:rFonts w:ascii="Arial" w:hAnsi="Arial" w:cs="Arial"/>
          <w:color w:val="000000"/>
          <w:kern w:val="0"/>
        </w:rPr>
        <w:t>“</w:t>
      </w:r>
      <w:r w:rsidRPr="003342AF">
        <w:rPr>
          <w:rFonts w:ascii="Arial" w:hAnsi="Arial" w:cs="Arial"/>
          <w:color w:val="000000"/>
          <w:kern w:val="0"/>
        </w:rPr>
        <w:t>半保留复制链</w:t>
      </w:r>
      <w:r w:rsidRPr="003342AF">
        <w:rPr>
          <w:rFonts w:ascii="Arial" w:hAnsi="Arial" w:cs="Arial"/>
          <w:color w:val="000000"/>
          <w:kern w:val="0"/>
        </w:rPr>
        <w:t>”</w:t>
      </w:r>
      <w:r w:rsidRPr="003342AF">
        <w:rPr>
          <w:rFonts w:ascii="Arial" w:hAnsi="Arial" w:cs="Arial"/>
          <w:color w:val="000000"/>
          <w:kern w:val="0"/>
        </w:rPr>
        <w:t>，而且这种新链又可成为下次循环的模板。每完成一个循环需</w:t>
      </w:r>
      <w:r w:rsidRPr="003342AF">
        <w:rPr>
          <w:rFonts w:ascii="Arial" w:hAnsi="Arial" w:cs="Arial"/>
          <w:color w:val="000000"/>
          <w:kern w:val="0"/>
        </w:rPr>
        <w:t>2</w:t>
      </w:r>
      <w:r w:rsidRPr="003342AF">
        <w:rPr>
          <w:rFonts w:ascii="Arial" w:hAnsi="Arial" w:cs="Arial"/>
          <w:color w:val="000000"/>
          <w:kern w:val="0"/>
        </w:rPr>
        <w:t>～</w:t>
      </w:r>
      <w:r w:rsidRPr="003342AF">
        <w:rPr>
          <w:rFonts w:ascii="Arial" w:hAnsi="Arial" w:cs="Arial"/>
          <w:color w:val="000000"/>
          <w:kern w:val="0"/>
        </w:rPr>
        <w:t>4</w:t>
      </w:r>
      <w:r w:rsidRPr="003342AF">
        <w:rPr>
          <w:rFonts w:ascii="Arial" w:hAnsi="Arial" w:cs="Arial"/>
          <w:color w:val="000000"/>
          <w:kern w:val="0"/>
        </w:rPr>
        <w:t>分钟，</w:t>
      </w:r>
      <w:r w:rsidRPr="003342AF">
        <w:rPr>
          <w:rFonts w:ascii="Arial" w:hAnsi="Arial" w:cs="Arial"/>
          <w:color w:val="000000"/>
          <w:kern w:val="0"/>
        </w:rPr>
        <w:t>2</w:t>
      </w:r>
      <w:r w:rsidRPr="003342AF">
        <w:rPr>
          <w:rFonts w:ascii="Arial" w:hAnsi="Arial" w:cs="Arial"/>
          <w:color w:val="000000"/>
          <w:kern w:val="0"/>
        </w:rPr>
        <w:t>～</w:t>
      </w:r>
      <w:r w:rsidRPr="003342AF">
        <w:rPr>
          <w:rFonts w:ascii="Arial" w:hAnsi="Arial" w:cs="Arial"/>
          <w:color w:val="000000"/>
          <w:kern w:val="0"/>
        </w:rPr>
        <w:t>3</w:t>
      </w:r>
      <w:r w:rsidRPr="003342AF">
        <w:rPr>
          <w:rFonts w:ascii="Arial" w:hAnsi="Arial" w:cs="Arial"/>
          <w:color w:val="000000"/>
          <w:kern w:val="0"/>
        </w:rPr>
        <w:t>小时就能将待扩目的基因扩增放大几百万倍。</w:t>
      </w:r>
    </w:p>
    <w:p w14:paraId="66D95B54" w14:textId="77777777" w:rsidR="00900E4C" w:rsidRDefault="00900E4C" w:rsidP="003342AF">
      <w:pPr>
        <w:widowControl/>
        <w:shd w:val="clear" w:color="auto" w:fill="F6F6F6"/>
        <w:spacing w:before="45" w:line="270" w:lineRule="atLeast"/>
        <w:outlineLvl w:val="2"/>
        <w:rPr>
          <w:rStyle w:val="apple-style-span"/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Similar to the natural DNA replication process, its specific target sequence depends on both ends with complementary oligonucleotide primers.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PCR by the degeneration - annealing - extension of three basic reaction steps components: </w:t>
      </w:r>
      <w:r>
        <w:rPr>
          <w:rStyle w:val="apple-style-span"/>
          <w:rFonts w:cs="宋体" w:hint="eastAsia"/>
          <w:color w:val="000000"/>
          <w:sz w:val="20"/>
          <w:szCs w:val="20"/>
          <w:shd w:val="clear" w:color="auto" w:fill="FFFFFF"/>
        </w:rPr>
        <w:t>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template DNA denaturation: template DNA was heated to about </w:t>
      </w:r>
      <w:smartTag w:uri="urn:schemas-microsoft-com:office:smarttags" w:element="chmetcnv">
        <w:smartTagPr>
          <w:attr w:name="UnitName" w:val="℃"/>
          <w:attr w:name="SourceValue" w:val="93"/>
          <w:attr w:name="HasSpace" w:val="True"/>
          <w:attr w:name="Negative" w:val="False"/>
          <w:attr w:name="NumberType" w:val="1"/>
          <w:attr w:name="TCSC" w:val="0"/>
        </w:smartTagPr>
        <w:r>
          <w:rPr>
            <w:rStyle w:val="apple-style-span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93 </w:t>
        </w:r>
        <w:r>
          <w:rPr>
            <w:rStyle w:val="apple-style-span"/>
            <w:rFonts w:cs="宋体" w:hint="eastAsia"/>
            <w:color w:val="000000"/>
            <w:sz w:val="20"/>
            <w:szCs w:val="20"/>
            <w:shd w:val="clear" w:color="auto" w:fill="FFFFFF"/>
          </w:rPr>
          <w:t>℃</w:t>
        </w:r>
      </w:smartTag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 after a certain time, so that double-stranded DNA templates by PCR amplification or the formation of double-stranded DNA solution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away, making a single chain, so that it primer binding, for the next round of reactions to prepare; </w:t>
      </w:r>
      <w:r>
        <w:rPr>
          <w:rStyle w:val="apple-style-span"/>
          <w:rFonts w:cs="宋体" w:hint="eastAsia"/>
          <w:color w:val="000000"/>
          <w:sz w:val="20"/>
          <w:szCs w:val="20"/>
          <w:shd w:val="clear" w:color="auto" w:fill="FFFFFF"/>
        </w:rPr>
        <w:t>②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template DNA and primer annealing (recovery of): template DNA was heated denatured into a single chain, the temperature dropped to </w:t>
      </w:r>
      <w:smartTag w:uri="urn:schemas-microsoft-com:office:smarttags" w:element="chmetcnv">
        <w:smartTagPr>
          <w:attr w:name="UnitName" w:val="℃"/>
          <w:attr w:name="SourceValue" w:val="55"/>
          <w:attr w:name="HasSpace" w:val="True"/>
          <w:attr w:name="Negative" w:val="False"/>
          <w:attr w:name="NumberType" w:val="1"/>
          <w:attr w:name="TCSC" w:val="0"/>
        </w:smartTagPr>
        <w:r>
          <w:rPr>
            <w:rStyle w:val="apple-style-span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55 </w:t>
        </w:r>
        <w:r>
          <w:rPr>
            <w:rStyle w:val="apple-style-span"/>
            <w:rFonts w:cs="宋体" w:hint="eastAsia"/>
            <w:color w:val="000000"/>
            <w:sz w:val="20"/>
            <w:szCs w:val="20"/>
            <w:shd w:val="clear" w:color="auto" w:fill="FFFFFF"/>
          </w:rPr>
          <w:t>℃</w:t>
        </w:r>
      </w:smartTag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so,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</w:rPr>
        <w:t xml:space="preserve">primers and template DNA single-strand binding complementary sequence pair; </w:t>
      </w:r>
      <w:r>
        <w:rPr>
          <w:rStyle w:val="apple-style-span"/>
          <w:rFonts w:cs="宋体" w:hint="eastAsia"/>
          <w:color w:val="000000"/>
          <w:sz w:val="20"/>
          <w:szCs w:val="20"/>
          <w:shd w:val="clear" w:color="auto" w:fill="EBEFF9"/>
        </w:rPr>
        <w:t>③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</w:rPr>
        <w:t xml:space="preserve"> extension primer: DNA template - primer conjugates under the action of the TaqDNA polymerase to dNTP as the reaction raw material, the target sequence as a template by base pairing with the semi-reservation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FF9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copy principle, synthesis of a new chain with the template DNA chain of complementary repeat cycle of semiconservative replication degeneration - annealing - extension of three processes, you can get more "semi-reserved reproduction chain", and the new chain can be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the next cycle of the template.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Required to complete a cycle every 2 to 4 minutes, 2 to 3 hours can be extended to amplify target gene amplification by millions.</w:t>
      </w:r>
    </w:p>
    <w:p w14:paraId="3B918580" w14:textId="77777777" w:rsidR="00E43057" w:rsidRDefault="00E43057" w:rsidP="003342AF">
      <w:pPr>
        <w:widowControl/>
        <w:shd w:val="clear" w:color="auto" w:fill="F6F6F6"/>
        <w:spacing w:before="45" w:line="270" w:lineRule="atLeast"/>
        <w:outlineLvl w:val="2"/>
        <w:rPr>
          <w:rStyle w:val="apple-style-span"/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14:paraId="58BB4D20" w14:textId="77777777" w:rsidR="00E43057" w:rsidRDefault="00E43057" w:rsidP="003342AF">
      <w:pPr>
        <w:widowControl/>
        <w:shd w:val="clear" w:color="auto" w:fill="F6F6F6"/>
        <w:spacing w:before="45" w:line="270" w:lineRule="atLeast"/>
        <w:outlineLvl w:val="2"/>
        <w:rPr>
          <w:rStyle w:val="apple-style-span"/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14:paraId="248AA55C" w14:textId="77777777" w:rsidR="00E43057" w:rsidRPr="00E43057" w:rsidRDefault="00E43057" w:rsidP="00E43057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</w:rPr>
      </w:pPr>
    </w:p>
    <w:p w14:paraId="75F68100" w14:textId="77777777" w:rsidR="00E43057" w:rsidRPr="00E43057" w:rsidRDefault="00E43057" w:rsidP="00E43057">
      <w:pPr>
        <w:autoSpaceDE w:val="0"/>
        <w:autoSpaceDN w:val="0"/>
        <w:adjustRightInd w:val="0"/>
        <w:ind w:left="2305" w:right="2305" w:hanging="600"/>
        <w:jc w:val="center"/>
        <w:rPr>
          <w:rFonts w:ascii="Tahoma" w:hAnsi="Tahoma" w:cs="Tahoma"/>
          <w:color w:val="000000"/>
          <w:kern w:val="0"/>
          <w:szCs w:val="21"/>
        </w:rPr>
      </w:pPr>
      <w:r w:rsidRPr="00E43057">
        <w:rPr>
          <w:rFonts w:ascii="Tahoma" w:hAnsi="Tahoma" w:cs="Tahoma"/>
          <w:bCs/>
          <w:color w:val="000000"/>
          <w:kern w:val="0"/>
          <w:szCs w:val="21"/>
        </w:rPr>
        <w:lastRenderedPageBreak/>
        <w:t xml:space="preserve">Structure of Nucleotides </w:t>
      </w:r>
    </w:p>
    <w:p w14:paraId="0CBFE140" w14:textId="77777777" w:rsidR="00E43057" w:rsidRDefault="00E43057" w:rsidP="00E43057">
      <w:pPr>
        <w:widowControl/>
        <w:shd w:val="clear" w:color="auto" w:fill="F6F6F6"/>
        <w:spacing w:before="45" w:line="270" w:lineRule="atLeast"/>
        <w:outlineLvl w:val="2"/>
        <w:rPr>
          <w:rFonts w:ascii="Tahoma" w:hAnsi="Tahoma" w:cs="Tahoma" w:hint="eastAsia"/>
          <w:bCs/>
          <w:color w:val="000000"/>
          <w:kern w:val="0"/>
          <w:szCs w:val="21"/>
        </w:rPr>
      </w:pPr>
      <w:r w:rsidRPr="00E43057">
        <w:rPr>
          <w:rFonts w:ascii="Tahoma" w:hAnsi="Tahoma" w:cs="Tahoma"/>
          <w:bCs/>
          <w:color w:val="000000"/>
          <w:kern w:val="0"/>
          <w:szCs w:val="21"/>
        </w:rPr>
        <w:t>in DNA</w:t>
      </w:r>
      <w:r w:rsidRPr="00E43057">
        <w:rPr>
          <w:rFonts w:ascii="Tahoma" w:hAnsi="Tahoma" w:cs="Tahoma"/>
          <w:color w:val="000000"/>
          <w:kern w:val="0"/>
          <w:szCs w:val="21"/>
        </w:rPr>
        <w:t>•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Each nucleotide consists of</w:t>
      </w:r>
      <w:r w:rsidRPr="00E43057">
        <w:rPr>
          <w:rFonts w:ascii="Tahoma" w:hAnsi="Tahoma" w:cs="Tahoma"/>
          <w:color w:val="000000"/>
          <w:kern w:val="0"/>
          <w:szCs w:val="21"/>
        </w:rPr>
        <w:t>–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 xml:space="preserve">Deoxyribose(5-carbon sugar) </w:t>
      </w:r>
      <w:r w:rsidRPr="00E43057">
        <w:rPr>
          <w:rFonts w:ascii="Tahoma" w:hAnsi="Tahoma" w:cs="Tahoma"/>
          <w:color w:val="000000"/>
          <w:kern w:val="0"/>
          <w:szCs w:val="21"/>
        </w:rPr>
        <w:t>–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Phosphate group</w:t>
      </w:r>
      <w:r w:rsidRPr="00E43057">
        <w:rPr>
          <w:rFonts w:ascii="Tahoma" w:hAnsi="Tahoma" w:cs="Tahoma"/>
          <w:color w:val="000000"/>
          <w:kern w:val="0"/>
          <w:szCs w:val="21"/>
        </w:rPr>
        <w:t>–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A nitrogen-containing base</w:t>
      </w:r>
      <w:r w:rsidRPr="00E43057">
        <w:rPr>
          <w:rFonts w:ascii="Tahoma" w:hAnsi="Tahoma" w:cs="Tahoma"/>
          <w:color w:val="000000"/>
          <w:kern w:val="0"/>
          <w:szCs w:val="21"/>
        </w:rPr>
        <w:t>•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Four bases</w:t>
      </w:r>
      <w:r w:rsidRPr="00E43057">
        <w:rPr>
          <w:rFonts w:ascii="Tahoma" w:hAnsi="Tahoma" w:cs="Tahoma"/>
          <w:color w:val="000000"/>
          <w:kern w:val="0"/>
          <w:szCs w:val="21"/>
        </w:rPr>
        <w:t>–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Adenine, Guanine, Thymine, Cytosine</w:t>
      </w:r>
    </w:p>
    <w:p w14:paraId="38311EA8" w14:textId="77777777" w:rsidR="00164CF6" w:rsidRDefault="00164CF6" w:rsidP="00E43057">
      <w:pPr>
        <w:widowControl/>
        <w:shd w:val="clear" w:color="auto" w:fill="F6F6F6"/>
        <w:spacing w:before="45" w:line="270" w:lineRule="atLeast"/>
        <w:outlineLvl w:val="2"/>
        <w:rPr>
          <w:rFonts w:ascii="Arial" w:hAnsi="Arial" w:cs="Arial" w:hint="eastAsia"/>
          <w:color w:val="666666"/>
          <w:kern w:val="0"/>
          <w:szCs w:val="21"/>
        </w:rPr>
      </w:pPr>
      <w:r w:rsidRPr="00164CF6">
        <w:rPr>
          <w:rFonts w:ascii="Arial" w:hAnsi="Arial" w:cs="Arial"/>
          <w:color w:val="666666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6pt;height:299.4pt">
            <v:imagedata r:id="rId7" o:title="核苷酸"/>
          </v:shape>
        </w:pict>
      </w:r>
    </w:p>
    <w:p w14:paraId="4F71D4AB" w14:textId="77777777" w:rsidR="006151F3" w:rsidRPr="006151F3" w:rsidRDefault="006151F3" w:rsidP="00E43057">
      <w:pPr>
        <w:widowControl/>
        <w:shd w:val="clear" w:color="auto" w:fill="F6F6F6"/>
        <w:spacing w:before="45" w:line="270" w:lineRule="atLeast"/>
        <w:outlineLvl w:val="2"/>
        <w:rPr>
          <w:rFonts w:ascii="Arial" w:hAnsi="Arial" w:cs="Arial" w:hint="eastAsia"/>
          <w:color w:val="666666"/>
          <w:kern w:val="0"/>
          <w:szCs w:val="21"/>
        </w:rPr>
      </w:pPr>
      <w:r w:rsidRPr="006151F3">
        <w:rPr>
          <w:rFonts w:ascii="Arial" w:hAnsi="Arial" w:cs="Arial"/>
          <w:color w:val="666666"/>
          <w:kern w:val="0"/>
          <w:szCs w:val="21"/>
        </w:rPr>
        <w:lastRenderedPageBreak/>
        <w:pict>
          <v:shape id="_x0000_i1026" type="#_x0000_t75" style="width:418.2pt;height:334.8pt">
            <v:imagedata r:id="rId8" o:title="氢键"/>
          </v:shape>
        </w:pict>
      </w:r>
    </w:p>
    <w:sectPr w:rsidR="006151F3" w:rsidRPr="00615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98AC" w14:textId="77777777" w:rsidR="00314209" w:rsidRDefault="00314209" w:rsidP="00314209">
      <w:r>
        <w:separator/>
      </w:r>
    </w:p>
  </w:endnote>
  <w:endnote w:type="continuationSeparator" w:id="0">
    <w:p w14:paraId="781A3E89" w14:textId="77777777" w:rsidR="00314209" w:rsidRDefault="00314209" w:rsidP="0031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8274" w14:textId="77777777" w:rsidR="00314209" w:rsidRDefault="00314209" w:rsidP="00314209">
      <w:r>
        <w:separator/>
      </w:r>
    </w:p>
  </w:footnote>
  <w:footnote w:type="continuationSeparator" w:id="0">
    <w:p w14:paraId="6AF8E276" w14:textId="77777777" w:rsidR="00314209" w:rsidRDefault="00314209" w:rsidP="00314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6D4A"/>
    <w:rsid w:val="00136D4A"/>
    <w:rsid w:val="00164CF6"/>
    <w:rsid w:val="00314209"/>
    <w:rsid w:val="003342AF"/>
    <w:rsid w:val="00594613"/>
    <w:rsid w:val="005E2F03"/>
    <w:rsid w:val="006151F3"/>
    <w:rsid w:val="00634BA9"/>
    <w:rsid w:val="007102D9"/>
    <w:rsid w:val="007F040D"/>
    <w:rsid w:val="00900E4C"/>
    <w:rsid w:val="00C80C22"/>
    <w:rsid w:val="00D70081"/>
    <w:rsid w:val="00E43057"/>
    <w:rsid w:val="00FB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23CB0D33"/>
  <w15:chartTrackingRefBased/>
  <w15:docId w15:val="{BD188F34-BA23-4C25-8816-E948D007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3">
    <w:name w:val="heading 3"/>
    <w:basedOn w:val="a"/>
    <w:qFormat/>
    <w:rsid w:val="003342AF"/>
    <w:pPr>
      <w:widowControl/>
      <w:spacing w:before="100" w:beforeAutospacing="1" w:after="100" w:afterAutospacing="1"/>
      <w:jc w:val="left"/>
      <w:outlineLvl w:val="2"/>
    </w:pPr>
    <w:rPr>
      <w:rFonts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style-span">
    <w:name w:val="apple-style-span"/>
    <w:basedOn w:val="a0"/>
    <w:rsid w:val="003342AF"/>
  </w:style>
  <w:style w:type="character" w:customStyle="1" w:styleId="apple-converted-space">
    <w:name w:val="apple-converted-space"/>
    <w:basedOn w:val="a0"/>
    <w:rsid w:val="00900E4C"/>
  </w:style>
  <w:style w:type="paragraph" w:customStyle="1" w:styleId="Default">
    <w:name w:val="Default"/>
    <w:rsid w:val="007F040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3">
    <w:name w:val="Hyperlink"/>
    <w:basedOn w:val="a0"/>
    <w:rsid w:val="007F040D"/>
    <w:rPr>
      <w:color w:val="0000FF"/>
      <w:u w:val="single"/>
    </w:rPr>
  </w:style>
  <w:style w:type="paragraph" w:styleId="a4">
    <w:name w:val="header"/>
    <w:basedOn w:val="a"/>
    <w:link w:val="a5"/>
    <w:rsid w:val="00314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14209"/>
    <w:rPr>
      <w:rFonts w:ascii="宋体" w:hAnsi="宋体"/>
      <w:kern w:val="2"/>
      <w:sz w:val="18"/>
      <w:szCs w:val="18"/>
    </w:rPr>
  </w:style>
  <w:style w:type="paragraph" w:styleId="a6">
    <w:name w:val="footer"/>
    <w:basedOn w:val="a"/>
    <w:link w:val="a7"/>
    <w:rsid w:val="00314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14209"/>
    <w:rPr>
      <w:rFonts w:ascii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523">
          <w:marLeft w:val="75"/>
          <w:marRight w:val="75"/>
          <w:marTop w:val="75"/>
          <w:marBottom w:val="75"/>
          <w:divBdr>
            <w:top w:val="single" w:sz="6" w:space="8" w:color="E8E8E8"/>
            <w:left w:val="single" w:sz="6" w:space="8" w:color="E8E8E8"/>
            <w:bottom w:val="single" w:sz="6" w:space="2" w:color="E8E8E8"/>
            <w:right w:val="single" w:sz="6" w:space="8" w:color="E8E8E8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uxiaofeng@zju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>WWW.YlmF.CoM</Company>
  <LinksUpToDate>false</LinksUpToDate>
  <CharactersWithSpaces>2209</CharactersWithSpaces>
  <SharedDoc>false</SharedDoc>
  <HLinks>
    <vt:vector size="6" baseType="variant">
      <vt:variant>
        <vt:i4>2359367</vt:i4>
      </vt:variant>
      <vt:variant>
        <vt:i4>0</vt:i4>
      </vt:variant>
      <vt:variant>
        <vt:i4>0</vt:i4>
      </vt:variant>
      <vt:variant>
        <vt:i4>5</vt:i4>
      </vt:variant>
      <vt:variant>
        <vt:lpwstr>mailto:wuxiaofeng@zju.edu.cn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：①极性氨基酸：其中包括赖氨酸、精氨酸、组氨酸3种碱性氨基酸（带负电荷）；谷氨酸、天门冬氨酸2种酸性氨基酸（带正电荷）；丝氨酸、苏氨酸、天冬酰胺、谷氨酰胺、酪氨酸、半胱氨酸6种不带电荷</dc:title>
  <dc:subject/>
  <dc:creator>雨林木风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