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jc w:val="center"/>
        <w:spacing w:before="800" w:after="160"/>
      </w:pPr>
      <w:r>
        <w:rPr>
          <w:b/>
          <w:color w:val="C58A2A"/>
          <w:sz w:val="22"/>
          <w:szCs w:val="22"/>
          <w:caps/>
        </w:rPr>
        <w:t xml:space="preserve">OPERATION PROMETHEUS</w:t>
      </w:r>
    </w:p>
    <w:p>
      <w:pPr>
        <w:pStyle w:val="Title"/>
        <w:jc w:val="center"/>
        <w:spacing w:before="0" w:after="180"/>
      </w:pPr>
      <w:r>
        <w:t xml:space="preserve">THE INTELLIGENCE
MANIFESTO</w:t>
      </w:r>
    </w:p>
    <w:p>
      <w:pPr>
        <w:jc w:val="center"/>
        <w:spacing w:before="0" w:after="520"/>
      </w:pPr>
      <w:r>
        <w:rPr>
          <w:i/>
          <w:color w:val="52606D"/>
          <w:sz w:val="22"/>
          <w:szCs w:val="22"/>
        </w:rPr>
        <w:t xml:space="preserve">Prometheus / Ask IntrinsicIQ</w:t>
      </w:r>
    </w:p>
    <w:p>
      <w:pPr>
        <w:pStyle w:val="Heading1"/>
        <w:spacing w:before="0" w:after="130"/>
      </w:pPr>
      <w:r>
        <w:t xml:space="preserve">Our promise</w:t>
      </w:r>
    </w:p>
    <w:p>
      <w:pPr>
        <w:pStyle w:val="Quote"/>
        <w:spacing w:before="0" w:after="260"/>
        <w:pBdr>
          <w:left w:val="single" w:sz="18" w:space="14" w:color="C58A2A"/>
        </w:pBdr>
      </w:pPr>
      <w:r>
        <w:t xml:space="preserve">Prometheus exists to help an investor understand how a business is changing, why that change matters, and what the evidence justifies believing. It does not exist to place more numbers on a screen.</w:t>
      </w:r>
    </w:p>
    <w:p>
      <w:pPr>
        <w:pStyle w:val="Heading2"/>
        <w:spacing w:before="0" w:after="90"/>
      </w:pPr>
      <w:r>
        <w:t xml:space="preserve">A screener retrieves. Prometheus interprets.</w:t>
      </w:r>
    </w:p>
    <w:p>
      <w:pPr>
        <w:pStyle w:val="Body"/>
        <w:spacing w:before="0" w:after="170"/>
      </w:pPr>
      <w:r>
        <w:t xml:space="preserve">A screener answers: What is the number? Prometheus must continue: Is it improving or declining? Why? What caused it? Does management understand it? What could disprove the conclusion? What should the investor watch next?</w:t>
      </w:r>
    </w:p>
    <w:p>
      <w:pPr>
        <w:pStyle w:val="Body"/>
        <w:spacing w:before="0" w:after="210"/>
      </w:pPr>
      <w:r>
        <w:rPr>
          <w:b/>
          <w:color w:val="17324D"/>
        </w:rPr>
        <w:t xml:space="preserve">The unit of presentation is not a metric. It is a judgment backed by evidence.</w:t>
      </w:r>
    </w:p>
    <w:p>
      <w:pPr>
        <w:pStyle w:val="Label"/>
        <w:spacing w:before="0" w:after="90"/>
      </w:pPr>
      <w:r>
        <w:t xml:space="preserve">THE REQUIRED FLOW</w:t>
      </w:r>
    </w:p>
    <w:p>
      <w:pPr>
        <w:pStyle w:val="Flow"/>
        <w:jc w:val="center"/>
        <w:spacing w:before="0" w:after="260"/>
      </w:pPr>
      <w:r>
        <w:t xml:space="preserve">Question  →  Conclusion  →  Progression  →  Why it matters  →  Evidence  →  Raw numbers</w:t>
      </w:r>
    </w:p>
    <w:p>
      <w:pPr>
        <w:pStyle w:val="Heading1"/>
        <w:spacing w:before="0" w:after="110"/>
      </w:pPr>
      <w:r>
        <w:t xml:space="preserve">Our standard</w:t>
      </w:r>
    </w:p>
    <w:p>
      <w:pPr>
        <w:pStyle w:val="Quote"/>
        <w:spacing w:before="0" w:after="100"/>
        <w:pBdr>
          <w:left w:val="single" w:sz="18" w:space="14" w:color="17324D"/>
        </w:pBdr>
      </w:pPr>
      <w:r>
        <w:t xml:space="preserve">Every product decision must improve understanding, judgment, or trust. If it merely increases information density, it is unfinished.</w:t>
      </w:r>
    </w:p>
    <w:p>
      <w:r>
        <w:br w:type="page"/>
      </w:r>
    </w:p>
    <w:p>
      <w:pPr>
        <w:pStyle w:val="Kicker"/>
        <w:spacing w:before="0" w:after="80"/>
      </w:pPr>
      <w:r>
        <w:t xml:space="preserve">I. THE INVESTOR EXPERIENCE</w:t>
      </w:r>
    </w:p>
    <w:p>
      <w:pPr>
        <w:pStyle w:val="Heading1"/>
        <w:spacing w:before="0" w:after="120"/>
      </w:pPr>
      <w:r>
        <w:t xml:space="preserve">Intelligence before raw numbers</w:t>
      </w:r>
    </w:p>
    <w:p>
      <w:pPr>
        <w:pStyle w:val="Body"/>
        <w:spacing w:before="0" w:after="95"/>
      </w:pPr>
      <w:r>
        <w:rPr>
          <w:b/>
          <w:color w:val="17324D"/>
        </w:rPr>
        <w:t xml:space="preserve">1  Lead with meaning. </w:t>
      </w:r>
      <w:r>
        <w:t xml:space="preserve">State what changed, whether it matters, and the level of concern before showing the calculation.</w:t>
      </w:r>
    </w:p>
    <w:p>
      <w:pPr>
        <w:pStyle w:val="Body"/>
        <w:spacing w:before="0" w:after="95"/>
      </w:pPr>
      <w:r>
        <w:rPr>
          <w:b/>
          <w:color w:val="17324D"/>
        </w:rPr>
        <w:t xml:space="preserve">2  Show progression, not snapshots. </w:t>
      </w:r>
      <w:r>
        <w:t xml:space="preserve">Every important subject should tell a multi-year story: direction, turning points, persistence, reversals, and the latest state.</w:t>
      </w:r>
    </w:p>
    <w:p>
      <w:pPr>
        <w:pStyle w:val="Body"/>
        <w:spacing w:before="0" w:after="95"/>
      </w:pPr>
      <w:r>
        <w:rPr>
          <w:b/>
          <w:color w:val="17324D"/>
        </w:rPr>
        <w:t xml:space="preserve">3  Teach while analyzing. </w:t>
      </w:r>
      <w:r>
        <w:t xml:space="preserve">Explain terms in plain language, in context. Receivable days are not a definition to memorize; they show how long customers hold the company’s cash. Inventory days reveal how long capital waits before becoming a sale. Payable days show how supplier credit supports—or strains—the operating cycle.</w:t>
      </w:r>
    </w:p>
    <w:p>
      <w:pPr>
        <w:pStyle w:val="Body"/>
        <w:spacing w:before="0" w:after="180"/>
      </w:pPr>
      <w:r>
        <w:rPr>
          <w:b/>
          <w:color w:val="17324D"/>
        </w:rPr>
        <w:t xml:space="preserve">4  Make investor lenses evolve. </w:t>
      </w:r>
      <w:r>
        <w:t xml:space="preserve">A Buffett, Fisher, Lynch, or forensic lens is not a themed dashboard. It is a changing judgment: what strengthened conviction, what weakened it, what remains unknown, and what evidence would change the view.</w:t>
      </w:r>
    </w:p>
    <w:p>
      <w:pPr>
        <w:pStyle w:val="Heading2"/>
        <w:spacing w:before="0" w:after="95"/>
      </w:pPr>
      <w:r>
        <w:t xml:space="preserve">Restore the company-understanding model</w:t>
      </w:r>
    </w:p>
    <w:p>
      <w:pPr>
        <w:pStyle w:val="Body"/>
        <w:spacing w:before="0" w:after="90"/>
      </w:pPr>
      <w:r>
        <w:t xml:space="preserve">Financial statements describe outcomes. Prometheus must also reveal the forces creating them:</w:t>
      </w:r>
    </w:p>
    <w:p>
      <w:pPr>
        <w:pStyle w:val="Body"/>
        <w:numPr>
          <w:ilvl w:val="0"/>
          <w:numId w:val="1"/>
        </w:numPr>
        <w:spacing w:after="60"/>
      </w:pPr>
      <w:r>
        <w:t xml:space="preserve">Projects — what the company is building and where execution stands.</w:t>
      </w:r>
    </w:p>
    <w:p>
      <w:pPr>
        <w:pStyle w:val="Body"/>
        <w:numPr>
          <w:ilvl w:val="0"/>
          <w:numId w:val="1"/>
        </w:numPr>
        <w:spacing w:after="60"/>
      </w:pPr>
      <w:r>
        <w:t xml:space="preserve">Promises — what management said, when it said it, and whether later evidence shows delivery, delay, or ambiguity.</w:t>
      </w:r>
    </w:p>
    <w:p>
      <w:pPr>
        <w:pStyle w:val="Body"/>
        <w:numPr>
          <w:ilvl w:val="0"/>
          <w:numId w:val="1"/>
        </w:numPr>
        <w:spacing w:after="60"/>
      </w:pPr>
      <w:r>
        <w:t xml:space="preserve">Risks — how threats emerge, intensify, recede, or remain unresolved.</w:t>
      </w:r>
    </w:p>
    <w:p>
      <w:pPr>
        <w:pStyle w:val="Body"/>
        <w:numPr>
          <w:ilvl w:val="0"/>
          <w:numId w:val="1"/>
        </w:numPr>
        <w:spacing w:after="60"/>
      </w:pPr>
      <w:r>
        <w:t xml:space="preserve">Capacity — what was announced, funded, commissioned, utilized, and converted into returns.</w:t>
      </w:r>
    </w:p>
    <w:p>
      <w:pPr>
        <w:pStyle w:val="Body"/>
        <w:numPr>
          <w:ilvl w:val="0"/>
          <w:numId w:val="1"/>
        </w:numPr>
        <w:spacing w:after="60"/>
      </w:pPr>
      <w:r>
        <w:t xml:space="preserve">Capital Allocation — where cash went and whether the outcome justified the choice.</w:t>
      </w:r>
    </w:p>
    <w:p>
      <w:pPr>
        <w:pStyle w:val="Body"/>
        <w:numPr>
          <w:ilvl w:val="0"/>
          <w:numId w:val="1"/>
        </w:numPr>
        <w:spacing w:after="60"/>
      </w:pPr>
      <w:r>
        <w:t xml:space="preserve">Initiatives — the purpose, progress, evidence of execution, and present economic relevance.</w:t>
      </w:r>
    </w:p>
    <w:p>
      <w:pPr>
        <w:pStyle w:val="Body"/>
        <w:numPr>
          <w:ilvl w:val="0"/>
          <w:numId w:val="1"/>
        </w:numPr>
        <w:spacing w:after="60"/>
      </w:pPr>
      <w:r>
        <w:t xml:space="preserve">Commentary — how management’s language, priorities, explanations, and consistency change over time.</w:t>
      </w:r>
    </w:p>
    <w:p>
      <w:pPr>
        <w:pStyle w:val="Body"/>
        <w:spacing w:before="0" w:after="180"/>
      </w:pPr>
      <w:r>
        <w:rPr>
          <w:b/>
        </w:rPr>
        <w:t xml:space="preserve">These are not side panels. Together they explain the evolution of the business.</w:t>
      </w:r>
    </w:p>
    <w:p>
      <w:pPr>
        <w:pStyle w:val="Heading2"/>
        <w:spacing w:before="0" w:after="90"/>
      </w:pPr>
      <w:r>
        <w:t xml:space="preserve">Charts must explain change</w:t>
      </w:r>
    </w:p>
    <w:p>
      <w:pPr>
        <w:pStyle w:val="Body"/>
        <w:spacing w:before="0" w:after="100"/>
      </w:pPr>
      <w:r>
        <w:t xml:space="preserve">A chart earns its place only when it makes a conclusion faster to see. Use visuals for progression, tension, cause, and consequence: cash flow versus profit, working-capital movement, promise versus delivery, capacity announced versus commissioned, risk evolution, and conviction over time. No dashboard furniture. No chart without an interpretation.</w:t>
      </w:r>
    </w:p>
    <w:p>
      <w:r>
        <w:br w:type="page"/>
      </w:r>
    </w:p>
    <w:p>
      <w:pPr>
        <w:pStyle w:val="Kicker"/>
        <w:spacing w:before="0" w:after="80"/>
      </w:pPr>
      <w:r>
        <w:t xml:space="preserve">II. THE SYSTEM BEHIND THE EXPERIENCE</w:t>
      </w:r>
    </w:p>
    <w:p>
      <w:pPr>
        <w:pStyle w:val="Heading1"/>
        <w:spacing w:before="0" w:after="110"/>
      </w:pPr>
      <w:r>
        <w:t xml:space="preserve">Trust is a product capability</w:t>
      </w:r>
    </w:p>
    <w:p>
      <w:pPr>
        <w:pStyle w:val="Body"/>
        <w:spacing w:before="0" w:after="140"/>
      </w:pPr>
      <w:r>
        <w:t xml:space="preserve">Every conclusion must be traceable to evidence. Facts, calculations, management claims, and inferences must remain distinguishable. When sources conflict, the conflict is shown. When evidence is incomplete, the system says so. Confidence must reflect evidence quality—not writing confidence.</w:t>
      </w:r>
    </w:p>
    <w:p>
      <w:pPr>
        <w:pStyle w:val="Quote"/>
        <w:spacing w:before="0" w:after="190"/>
        <w:pBdr>
          <w:left w:val="single" w:sz="18" w:space="14" w:color="C58A2A"/>
        </w:pBdr>
      </w:pPr>
      <w:r>
        <w:t xml:space="preserve">Uncertainty is not a defect to hide. False certainty is.</w:t>
      </w:r>
    </w:p>
    <w:p>
      <w:pPr>
        <w:pStyle w:val="Heading1"/>
        <w:spacing w:before="0" w:after="110"/>
      </w:pPr>
      <w:r>
        <w:t xml:space="preserve">Every failure must strengthen the pipeline</w:t>
      </w:r>
    </w:p>
    <w:p>
      <w:pPr>
        <w:pStyle w:val="Body"/>
        <w:spacing w:before="0" w:after="110"/>
      </w:pPr>
      <w:r>
        <w:t xml:space="preserve">Prometheus will process thousands of annual reports, earnings calls, quarterly results, investor presentations, and press releases. It cannot depend on discovering and repairing the same class of failure one document at a time.</w:t>
      </w:r>
    </w:p>
    <w:p>
      <w:pPr>
        <w:pStyle w:val="Body"/>
        <w:spacing w:before="0" w:after="80"/>
      </w:pPr>
      <w:r>
        <w:t xml:space="preserve">Every meaningful production failure creates an incident record: what failed, where, why, the affected document pattern, the fix, and the prevention added. A fix is not complete until it produces at least one durable safeguard:</w:t>
      </w:r>
    </w:p>
    <w:p>
      <w:pPr>
        <w:pStyle w:val="Body"/>
        <w:numPr>
          <w:ilvl w:val="0"/>
          <w:numId w:val="1"/>
        </w:numPr>
        <w:spacing w:after="60"/>
      </w:pPr>
      <w:r>
        <w:t xml:space="preserve">a regression test that proves the failure cannot silently return;</w:t>
      </w:r>
    </w:p>
    <w:p>
      <w:pPr>
        <w:pStyle w:val="Body"/>
        <w:numPr>
          <w:ilvl w:val="0"/>
          <w:numId w:val="1"/>
        </w:numPr>
        <w:spacing w:after="60"/>
      </w:pPr>
      <w:r>
        <w:t xml:space="preserve">a validator that catches corrupt, inconsistent, or unsupported output;</w:t>
      </w:r>
    </w:p>
    <w:p>
      <w:pPr>
        <w:pStyle w:val="Body"/>
        <w:numPr>
          <w:ilvl w:val="0"/>
          <w:numId w:val="1"/>
        </w:numPr>
        <w:spacing w:after="60"/>
      </w:pPr>
      <w:r>
        <w:t xml:space="preserve">a fallback that recovers safely without inventing data; or</w:t>
      </w:r>
    </w:p>
    <w:p>
      <w:pPr>
        <w:pStyle w:val="Body"/>
        <w:numPr>
          <w:ilvl w:val="0"/>
          <w:numId w:val="1"/>
        </w:numPr>
        <w:spacing w:after="60"/>
      </w:pPr>
      <w:r>
        <w:t xml:space="preserve">a quarantine rule that stops uncertain output from reaching investors.</w:t>
      </w:r>
    </w:p>
    <w:p>
      <w:pPr>
        <w:pStyle w:val="Body"/>
        <w:spacing w:before="0" w:after="180"/>
      </w:pPr>
      <w:r>
        <w:t xml:space="preserve">Incidents become a searchable failure taxonomy. Repeated patterns become fixtures and test corpora. Checkpoints, resumable stages, idempotent retries, and cached completed work prevent time and tokens from being wasted. The system should become harder to break after every break.</w:t>
      </w:r>
    </w:p>
    <w:p>
      <w:pPr>
        <w:pStyle w:val="Kicker"/>
        <w:spacing w:before="0" w:after="80"/>
      </w:pPr>
      <w:r>
        <w:t xml:space="preserve">III. THE ANTI-SCREENER TEST</w:t>
      </w:r>
    </w:p>
    <w:p>
      <w:pPr>
        <w:pStyle w:val="Heading2"/>
        <w:spacing w:before="0" w:after="80"/>
      </w:pPr>
      <w:r>
        <w:t xml:space="preserve">Before shipping a page, panel, metric, or chart, ask:</w:t>
      </w:r>
    </w:p>
    <w:p>
      <w:pPr>
        <w:pStyle w:val="Body"/>
        <w:numPr>
          <w:ilvl w:val="0"/>
          <w:numId w:val="1"/>
        </w:numPr>
        <w:spacing w:after="60"/>
      </w:pPr>
      <w:r>
        <w:t xml:space="preserve">What will the investor understand here that a traditional screener cannot explain?</w:t>
      </w:r>
    </w:p>
    <w:p>
      <w:pPr>
        <w:pStyle w:val="Body"/>
        <w:numPr>
          <w:ilvl w:val="0"/>
          <w:numId w:val="1"/>
        </w:numPr>
        <w:spacing w:after="60"/>
      </w:pPr>
      <w:r>
        <w:t xml:space="preserve">Does this show a journey, or only the latest value?</w:t>
      </w:r>
    </w:p>
    <w:p>
      <w:pPr>
        <w:pStyle w:val="Body"/>
        <w:numPr>
          <w:ilvl w:val="0"/>
          <w:numId w:val="1"/>
        </w:numPr>
        <w:spacing w:after="60"/>
      </w:pPr>
      <w:r>
        <w:t xml:space="preserve">Does it teach why the subject matters without oversimplifying it?</w:t>
      </w:r>
    </w:p>
    <w:p>
      <w:pPr>
        <w:pStyle w:val="Body"/>
        <w:numPr>
          <w:ilvl w:val="0"/>
          <w:numId w:val="1"/>
        </w:numPr>
        <w:spacing w:after="60"/>
      </w:pPr>
      <w:r>
        <w:t xml:space="preserve">Can every judgment be traced, challenged, and revised as evidence changes?</w:t>
      </w:r>
    </w:p>
    <w:p>
      <w:pPr>
        <w:pStyle w:val="Body"/>
        <w:numPr>
          <w:ilvl w:val="0"/>
          <w:numId w:val="1"/>
        </w:numPr>
        <w:spacing w:after="60"/>
      </w:pPr>
      <w:r>
        <w:t xml:space="preserve">Are uncertainty and disagreement visible?</w:t>
      </w:r>
    </w:p>
    <w:p>
      <w:pPr>
        <w:pStyle w:val="Body"/>
        <w:numPr>
          <w:ilvl w:val="0"/>
          <w:numId w:val="1"/>
        </w:numPr>
        <w:spacing w:after="60"/>
      </w:pPr>
      <w:r>
        <w:t xml:space="preserve">Does this reveal business reality—execution, promises, risks, capacity, initiatives, capital allocation, and commentary—or merely financial abstraction?</w:t>
      </w:r>
    </w:p>
    <w:p>
      <w:pPr>
        <w:pStyle w:val="Quote"/>
        <w:spacing w:before="0" w:after="180"/>
        <w:pBdr>
          <w:left w:val="single" w:sz="18" w:space="14" w:color="17324D"/>
        </w:pBdr>
      </w:pPr>
      <w:r>
        <w:t xml:space="preserve">If the answer is no, the work is not ready.</w:t>
      </w:r>
    </w:p>
    <w:p>
      <w:pPr>
        <w:pStyle w:val="Label"/>
        <w:jc w:val="center"/>
        <w:spacing w:before="0" w:after="80"/>
      </w:pPr>
      <w:r>
        <w:t xml:space="preserve">THE COMMITMENT</w:t>
      </w:r>
    </w:p>
    <w:p>
      <w:pPr>
        <w:pStyle w:val="Closing"/>
        <w:jc w:val="center"/>
        <w:spacing w:before="0" w:after="60"/>
      </w:pPr>
      <w:r>
        <w:t xml:space="preserve">Prometheus will not compete by displaying more data.
It will compete by producing better understanding.</w:t>
      </w:r>
    </w:p>
    <w:sectPr>
      <w:headerReference w:type="default" r:id="rId2"/>
      <w:footerReference w:type="default" r:id="rId3"/>
      <w:pgSz w:w="11906" w:h="16838"/>
      <w:pgMar w:top="950" w:right="1080" w:bottom="850" w:left="1080" w:header="400" w:footer="400"/>
      <w:cols w:space="720"/>
      <w:docGrid w:linePitch="360"/>
    </w:sectPr>
  </w:body>
</w:document>
</file>

<file path=word/footer1.xml><?xml version="1.0" encoding="utf-8"?>
<w:ftr xmlns:w="http://schemas.openxmlformats.org/wordprocessingml/2006/main">
  <w:p>
    <w:pPr>
      <w:jc w:val="center"/>
    </w:pPr>
    <w:r>
      <w:rPr>
        <w:color w:val="7C8994"/>
        <w:sz w:val="14"/>
        <w:szCs w:val="14"/>
      </w:rPr>
      <w:t xml:space="preserve">THE INTELLIGENCE MANIFESTO   •   </w:t>
    </w:r>
    <w:r>
      <w:rPr>
        <w:color w:val="7C8994"/>
        <w:sz w:val="14"/>
      </w:rPr>
      <w:fldChar w:fldCharType="begin"/>
    </w:r>
    <w:r>
      <w:instrText> PAGE </w:instrText>
    </w:r>
    <w:r>
      <w:fldChar w:fldCharType="end"/>
    </w:r>
  </w:p>
</w:ftr>
</file>

<file path=word/header1.xml><?xml version="1.0" encoding="utf-8"?>
<w:hdr xmlns:w="http://schemas.openxmlformats.org/wordprocessingml/2006/main">
  <w:p>
    <w:pPr>
      <w:jc w:val="right"/>
      <w:pBdr>
        <w:bottom w:val="single" w:sz="5" w:space="7" w:color="D9E0E6"/>
      </w:pBdr>
    </w:pPr>
    <w:r>
      <w:rPr>
        <w:b/>
        <w:color w:val="687684"/>
        <w:sz w:val="14"/>
        <w:szCs w:val="14"/>
        <w:caps/>
      </w:rPr>
      <w:t xml:space="preserve">PROMETHEUS  /  ASK INTRINSICIQ</w:t>
    </w:r>
  </w:p>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360"/>
        </w:tabs>
        <w:ind w:left="360" w:hanging="220"/>
      </w:pPr>
      <w:rPr>
        <w:color w:val="C58A2A"/>
      </w:rPr>
    </w:lvl>
  </w:abstractNum>
  <w:num w:numId="1">
    <w:abstractNumId w:val="0"/>
  </w:num>
</w:numbering>
</file>

<file path=word/styles.xml><?xml version="1.0" encoding="utf-8"?>
<w:styles xmlns:w="http://schemas.openxmlformats.org/wordprocessingml/2006/main">
  <w:docDefaults>
    <w:rPrDefault>
      <w:rPr>
        <w:rFonts w:ascii="Aptos" w:hAnsi="Aptos"/>
        <w:color w:val="243240"/>
        <w:sz w:val="20"/>
      </w:rPr>
    </w:rPrDefault>
    <w:pPrDefault>
      <w:pPr>
        <w:spacing w:line="250" w:lineRule="auto"/>
      </w:pPr>
    </w:pPrDefault>
  </w:docDefaults>
  <w:style w:type="paragraph" w:default="1" w:styleId="Normal">
    <w:name w:val="Normal"/>
  </w:style>
  <w:style w:type="paragraph" w:styleId="Title">
    <w:name w:val="Title"/>
    <w:rPr>
      <w:rFonts w:ascii="Aptos Display" w:hAnsi="Aptos Display"/>
      <w:b/>
      <w:color w:val="17324D"/>
      <w:sz w:val="46"/>
    </w:rPr>
  </w:style>
  <w:style w:type="paragraph" w:styleId="Heading1">
    <w:name w:val="heading 1"/>
    <w:pPr>
      <w:keepNext/>
      <w:spacing w:before="80" w:after="100"/>
    </w:pPr>
    <w:rPr>
      <w:rFonts w:ascii="Aptos Display" w:hAnsi="Aptos Display"/>
      <w:b/>
      <w:color w:val="17324D"/>
      <w:sz w:val="29"/>
    </w:rPr>
  </w:style>
  <w:style w:type="paragraph" w:styleId="Heading2">
    <w:name w:val="heading 2"/>
    <w:pPr>
      <w:keepNext/>
    </w:pPr>
    <w:rPr>
      <w:rFonts w:ascii="Aptos Display" w:hAnsi="Aptos Display"/>
      <w:b/>
      <w:color w:val="17324D"/>
      <w:sz w:val="23"/>
    </w:rPr>
  </w:style>
  <w:style w:type="paragraph" w:styleId="Body">
    <w:name w:val="Body"/>
    <w:rPr>
      <w:sz w:val="19"/>
    </w:rPr>
  </w:style>
  <w:style w:type="paragraph" w:styleId="Quote">
    <w:name w:val="Quote"/>
    <w:pPr>
      <w:ind w:left="180"/>
      <w:spacing w:before="80" w:after="120"/>
    </w:pPr>
    <w:rPr>
      <w:rFonts w:ascii="Aptos Display" w:hAnsi="Aptos Display"/>
      <w:i/>
      <w:color w:val="34495E"/>
      <w:sz w:val="24"/>
    </w:rPr>
  </w:style>
  <w:style w:type="paragraph" w:styleId="Kicker">
    <w:name w:val="Kicker"/>
    <w:pPr>
      <w:keepNext/>
    </w:pPr>
    <w:rPr>
      <w:b/>
      <w:caps/>
      <w:color w:val="C58A2A"/>
      <w:sz w:val="18"/>
      <w:spacing w:val="30"/>
    </w:rPr>
  </w:style>
  <w:style w:type="paragraph" w:styleId="Label">
    <w:name w:val="Label"/>
    <w:rPr>
      <w:b/>
      <w:caps/>
      <w:color w:val="687684"/>
      <w:sz w:val="16"/>
      <w:spacing w:val="24"/>
    </w:rPr>
  </w:style>
  <w:style w:type="paragraph" w:styleId="Flow">
    <w:name w:val="Flow"/>
    <w:pPr>
      <w:shd w:val="clear" w:fill="EEF2F5"/>
      <w:spacing w:before="100" w:after="100"/>
      <w:ind w:left="120" w:right="120"/>
    </w:pPr>
    <w:rPr>
      <w:b/>
      <w:color w:val="17324D"/>
      <w:sz w:val="19"/>
    </w:rPr>
  </w:style>
  <w:style w:type="paragraph" w:styleId="Closing">
    <w:name w:val="Closing"/>
    <w:rPr>
      <w:rFonts w:ascii="Aptos Display" w:hAnsi="Aptos Display"/>
      <w:b/>
      <w:color w:val="17324D"/>
      <w:sz w:val="27"/>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s>
</file>

<file path=docProps/app.xml><?xml version="1.0" encoding="utf-8"?>
<Properties xmlns="http://schemas.openxmlformats.org/officeDocument/2006/extended-properties" xmlns:vt="http://schemas.openxmlformats.org/officeDocument/2006/docPropsVTypes">
  <Application>Microsoft Office Word</Application>
  <Pages>3</Pages>
  <Words>1100</Words>
  <Company>Operation Prometheus</Company>
</Properties>
</file>

<file path=docProps/core.xml><?xml version="1.0" encoding="utf-8"?>
<cp:coreProperties xmlns:cp="http://schemas.openxmlformats.org/package/2006/metadata/core-properties" xmlns:dc="http://purl.org/dc/elements/1.1/" xmlns:dcterms="http://purl.org/dc/terms/" xmlns:xsi="http://www.w3.org/2001/XMLSchema-instance">
  <dc:title>The Intelligence Manifesto</dc:title>
  <dc:subject>Prometheus / Ask IntrinsicIQ product constitution</dc:subject>
  <dc:creator>Operation Prometheus</dc:creator>
  <dc:description>Principles for investor intelligence, evidence discipline, and pipeline learning.</dc:description>
  <dcterms:created xsi:type="dcterms:W3CDTF">2026-08-03T16:16:28Z</dcterms:created>
  <dcterms:modified xsi:type="dcterms:W3CDTF">2026-08-03T16:16:28Z</dcterms:modified>
</cp:coreProperties>
</file>