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字典管理 · 产品需求文档</w:t>
      </w:r>
    </w:p>
    <w:p>
      <w:r>
        <w:rPr>
          <w:b w:val="0"/>
          <w:i/>
        </w:rPr>
        <w:t>本体中心 → 本体模型 → 字典管理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</w:tcPr>
          <w:p>
            <w:r/>
            <w:r>
              <w:rPr>
                <w:b/>
                <w:sz w:val="19"/>
              </w:rPr>
              <w:t>项目</w:t>
            </w:r>
          </w:p>
        </w:tc>
        <w:tc>
          <w:tcPr>
            <w:tcW w:type="dxa" w:w="7056"/>
          </w:tcPr>
          <w:p>
            <w:r/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PingFang SC" w:hAnsi="PingFang SC" w:eastAsia="PingFang SC"/>
                <w:sz w:val="19"/>
              </w:rPr>
              <w:t>功能名称</w:t>
            </w:r>
          </w:p>
        </w:tc>
        <w:tc>
          <w:tcPr>
            <w:tcW w:type="dxa" w:w="7056"/>
          </w:tcPr>
          <w:p>
            <w:r/>
            <w:r>
              <w:rPr>
                <w:rFonts w:ascii="PingFang SC" w:hAnsi="PingFang SC" w:eastAsia="PingFang SC"/>
                <w:sz w:val="19"/>
              </w:rPr>
              <w:t>字典管理（全局共享语义选项）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PingFang SC" w:hAnsi="PingFang SC" w:eastAsia="PingFang SC"/>
                <w:sz w:val="19"/>
              </w:rPr>
              <w:t>所属模块</w:t>
            </w:r>
          </w:p>
        </w:tc>
        <w:tc>
          <w:tcPr>
            <w:tcW w:type="dxa" w:w="7056"/>
          </w:tcPr>
          <w:p>
            <w:r/>
            <w:r>
              <w:rPr>
                <w:rFonts w:ascii="PingFang SC" w:hAnsi="PingFang SC" w:eastAsia="PingFang SC"/>
                <w:sz w:val="19"/>
              </w:rPr>
              <w:t>本体中心 → 本体模型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PingFang SC" w:hAnsi="PingFang SC" w:eastAsia="PingFang SC"/>
                <w:sz w:val="19"/>
              </w:rPr>
              <w:t>页面路由</w:t>
            </w:r>
          </w:p>
        </w:tc>
        <w:tc>
          <w:tcPr>
            <w:tcW w:type="dxa" w:w="7056"/>
          </w:tcPr>
          <w:p>
            <w:r/>
            <w:r>
              <w:rPr>
                <w:rFonts w:ascii="PingFang SC" w:hAnsi="PingFang SC" w:eastAsia="PingFang SC"/>
                <w:sz w:val="19"/>
              </w:rPr>
              <w:t>#/ontology/model/dictionaries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PingFang SC" w:hAnsi="PingFang SC" w:eastAsia="PingFang SC"/>
                <w:sz w:val="19"/>
              </w:rPr>
              <w:t>适用对象</w:t>
            </w:r>
          </w:p>
        </w:tc>
        <w:tc>
          <w:tcPr>
            <w:tcW w:type="dxa" w:w="7056"/>
          </w:tcPr>
          <w:p>
            <w:r/>
            <w:r>
              <w:rPr>
                <w:rFonts w:ascii="PingFang SC" w:hAnsi="PingFang SC" w:eastAsia="PingFang SC"/>
                <w:sz w:val="19"/>
              </w:rPr>
              <w:t>本体建模人员、数据治理人员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PingFang SC" w:hAnsi="PingFang SC" w:eastAsia="PingFang SC"/>
                <w:sz w:val="19"/>
              </w:rPr>
              <w:t>文档状态</w:t>
            </w:r>
          </w:p>
        </w:tc>
        <w:tc>
          <w:tcPr>
            <w:tcW w:type="dxa" w:w="7056"/>
          </w:tcPr>
          <w:p>
            <w:r/>
            <w:r>
              <w:rPr>
                <w:rFonts w:ascii="PingFang SC" w:hAnsi="PingFang SC" w:eastAsia="PingFang SC"/>
                <w:sz w:val="19"/>
              </w:rPr>
              <w:t>评审中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PingFang SC" w:hAnsi="PingFang SC" w:eastAsia="PingFang SC"/>
                <w:sz w:val="19"/>
              </w:rPr>
              <w:t>更新日期</w:t>
            </w:r>
          </w:p>
        </w:tc>
        <w:tc>
          <w:tcPr>
            <w:tcW w:type="dxa" w:w="7056"/>
          </w:tcPr>
          <w:p>
            <w:r/>
            <w:r>
              <w:rPr>
                <w:rFonts w:ascii="PingFang SC" w:hAnsi="PingFang SC" w:eastAsia="PingFang SC"/>
                <w:sz w:val="19"/>
              </w:rPr>
              <w:t>2026-10-12</w:t>
            </w:r>
          </w:p>
        </w:tc>
      </w:tr>
    </w:tbl>
    <w:p/>
    <w:p>
      <w:pPr>
        <w:pStyle w:val="Heading1"/>
      </w:pPr>
      <w:r>
        <w:t>1. 功能概述</w:t>
      </w:r>
    </w:p>
    <w:p>
      <w:r>
        <w:rPr>
          <w:b w:val="0"/>
          <w:i w:val="0"/>
        </w:rPr>
        <w:t>字典管理维护全局共享的建模选项，让同一个概念在所有本体里写法一致——避免一个本体写「直接映射」、另一个本体写「direct」。</w:t>
      </w:r>
    </w:p>
    <w:p>
      <w:r>
        <w:rPr>
          <w:b w:val="0"/>
          <w:i w:val="0"/>
        </w:rPr>
        <w:t>业务域与主题域属于本体目录实体，不在字典里管理；它们有独立的目录页面。</w:t>
      </w:r>
    </w:p>
    <w:p>
      <w:pPr>
        <w:pStyle w:val="Heading1"/>
      </w:pPr>
      <w:r>
        <w:t>2. 字典类别</w:t>
      </w:r>
    </w:p>
    <w:p>
      <w:r>
        <w:rPr>
          <w:b w:val="0"/>
          <w:i w:val="0"/>
        </w:rPr>
        <w:t>系统统一管理 7 类全局字典：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584"/>
          </w:tcPr>
          <w:p>
            <w:r/>
            <w:r>
              <w:rPr>
                <w:b/>
                <w:sz w:val="19"/>
              </w:rPr>
              <w:t>类别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代码</w:t>
            </w:r>
          </w:p>
        </w:tc>
        <w:tc>
          <w:tcPr>
            <w:tcW w:type="dxa" w:w="5616"/>
          </w:tcPr>
          <w:p>
            <w:r/>
            <w:r>
              <w:rPr>
                <w:b/>
                <w:sz w:val="19"/>
              </w:rPr>
              <w:t>典型字典项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PingFang SC" w:hAnsi="PingFang SC" w:eastAsia="PingFang SC"/>
                <w:sz w:val="19"/>
              </w:rPr>
              <w:t>数据类型</w:t>
            </w:r>
          </w:p>
        </w:tc>
        <w:tc>
          <w:tcPr>
            <w:tcW w:type="dxa" w:w="1872"/>
          </w:tcPr>
          <w:p>
            <w:r/>
            <w:r>
              <w:rPr>
                <w:rFonts w:ascii="PingFang SC" w:hAnsi="PingFang SC" w:eastAsia="PingFang SC"/>
                <w:sz w:val="19"/>
              </w:rPr>
              <w:t>data_type</w:t>
            </w:r>
          </w:p>
        </w:tc>
        <w:tc>
          <w:tcPr>
            <w:tcW w:type="dxa" w:w="5616"/>
          </w:tcPr>
          <w:p>
            <w:r/>
            <w:r>
              <w:rPr>
                <w:rFonts w:ascii="PingFang SC" w:hAnsi="PingFang SC" w:eastAsia="PingFang SC"/>
                <w:sz w:val="19"/>
              </w:rPr>
              <w:t>字符串 string、整数 integer、小数 decimal、布尔 boolean、日期时间 datetime、枚举 enum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PingFang SC" w:hAnsi="PingFang SC" w:eastAsia="PingFang SC"/>
                <w:sz w:val="19"/>
              </w:rPr>
              <w:t>系统类型</w:t>
            </w:r>
          </w:p>
        </w:tc>
        <w:tc>
          <w:tcPr>
            <w:tcW w:type="dxa" w:w="1872"/>
          </w:tcPr>
          <w:p>
            <w:r/>
            <w:r>
              <w:rPr>
                <w:rFonts w:ascii="PingFang SC" w:hAnsi="PingFang SC" w:eastAsia="PingFang SC"/>
                <w:sz w:val="19"/>
              </w:rPr>
              <w:t>system_type</w:t>
            </w:r>
          </w:p>
        </w:tc>
        <w:tc>
          <w:tcPr>
            <w:tcW w:type="dxa" w:w="5616"/>
          </w:tcPr>
          <w:p>
            <w:r/>
            <w:r>
              <w:rPr>
                <w:rFonts w:ascii="PingFang SC" w:hAnsi="PingFang SC" w:eastAsia="PingFang SC"/>
                <w:sz w:val="19"/>
              </w:rPr>
              <w:t>业务系统 business、实时系统 realtime、资产系统 asset、财务系统 finance、监测系统 monitor、调度系统 dispatch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PingFang SC" w:hAnsi="PingFang SC" w:eastAsia="PingFang SC"/>
                <w:sz w:val="19"/>
              </w:rPr>
              <w:t>数据类别</w:t>
            </w:r>
          </w:p>
        </w:tc>
        <w:tc>
          <w:tcPr>
            <w:tcW w:type="dxa" w:w="1872"/>
          </w:tcPr>
          <w:p>
            <w:r/>
            <w:r>
              <w:rPr>
                <w:rFonts w:ascii="PingFang SC" w:hAnsi="PingFang SC" w:eastAsia="PingFang SC"/>
                <w:sz w:val="19"/>
              </w:rPr>
              <w:t>data_category</w:t>
            </w:r>
          </w:p>
        </w:tc>
        <w:tc>
          <w:tcPr>
            <w:tcW w:type="dxa" w:w="5616"/>
          </w:tcPr>
          <w:p>
            <w:r/>
            <w:r>
              <w:rPr>
                <w:rFonts w:ascii="PingFang SC" w:hAnsi="PingFang SC" w:eastAsia="PingFang SC"/>
                <w:sz w:val="19"/>
              </w:rPr>
              <w:t>主数据、交易数据、时序数据、分析数据 等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PingFang SC" w:hAnsi="PingFang SC" w:eastAsia="PingFang SC"/>
                <w:sz w:val="19"/>
              </w:rPr>
              <w:t>接口方式</w:t>
            </w:r>
          </w:p>
        </w:tc>
        <w:tc>
          <w:tcPr>
            <w:tcW w:type="dxa" w:w="1872"/>
          </w:tcPr>
          <w:p>
            <w:r/>
            <w:r>
              <w:rPr>
                <w:rFonts w:ascii="PingFang SC" w:hAnsi="PingFang SC" w:eastAsia="PingFang SC"/>
                <w:sz w:val="19"/>
              </w:rPr>
              <w:t>interface_type</w:t>
            </w:r>
          </w:p>
        </w:tc>
        <w:tc>
          <w:tcPr>
            <w:tcW w:type="dxa" w:w="5616"/>
          </w:tcPr>
          <w:p>
            <w:r/>
            <w:r>
              <w:rPr>
                <w:rFonts w:ascii="PingFang SC" w:hAnsi="PingFang SC" w:eastAsia="PingFang SC"/>
                <w:sz w:val="19"/>
              </w:rPr>
              <w:t>数据库、接口、REST API、文件交换、消息队列 等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PingFang SC" w:hAnsi="PingFang SC" w:eastAsia="PingFang SC"/>
                <w:sz w:val="19"/>
              </w:rPr>
              <w:t>映射方式</w:t>
            </w:r>
          </w:p>
        </w:tc>
        <w:tc>
          <w:tcPr>
            <w:tcW w:type="dxa" w:w="1872"/>
          </w:tcPr>
          <w:p>
            <w:r/>
            <w:r>
              <w:rPr>
                <w:rFonts w:ascii="PingFang SC" w:hAnsi="PingFang SC" w:eastAsia="PingFang SC"/>
                <w:sz w:val="19"/>
              </w:rPr>
              <w:t>mapping_way</w:t>
            </w:r>
          </w:p>
        </w:tc>
        <w:tc>
          <w:tcPr>
            <w:tcW w:type="dxa" w:w="5616"/>
          </w:tcPr>
          <w:p>
            <w:r/>
            <w:r>
              <w:rPr>
                <w:rFonts w:ascii="PingFang SC" w:hAnsi="PingFang SC" w:eastAsia="PingFang SC"/>
                <w:sz w:val="19"/>
              </w:rPr>
              <w:t>直接映射、表达式转换、枚举映射 等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PingFang SC" w:hAnsi="PingFang SC" w:eastAsia="PingFang SC"/>
                <w:sz w:val="19"/>
              </w:rPr>
              <w:t>行动类型</w:t>
            </w:r>
          </w:p>
        </w:tc>
        <w:tc>
          <w:tcPr>
            <w:tcW w:type="dxa" w:w="1872"/>
          </w:tcPr>
          <w:p>
            <w:r/>
            <w:r>
              <w:rPr>
                <w:rFonts w:ascii="PingFang SC" w:hAnsi="PingFang SC" w:eastAsia="PingFang SC"/>
                <w:sz w:val="19"/>
              </w:rPr>
              <w:t>action_type</w:t>
            </w:r>
          </w:p>
        </w:tc>
        <w:tc>
          <w:tcPr>
            <w:tcW w:type="dxa" w:w="5616"/>
          </w:tcPr>
          <w:p>
            <w:r/>
            <w:r>
              <w:rPr>
                <w:rFonts w:ascii="PingFang SC" w:hAnsi="PingFang SC" w:eastAsia="PingFang SC"/>
                <w:sz w:val="19"/>
              </w:rPr>
              <w:t>业务行动、通知行动、控制行动 等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PingFang SC" w:hAnsi="PingFang SC" w:eastAsia="PingFang SC"/>
                <w:sz w:val="19"/>
              </w:rPr>
              <w:t>转换规则</w:t>
            </w:r>
          </w:p>
        </w:tc>
        <w:tc>
          <w:tcPr>
            <w:tcW w:type="dxa" w:w="1872"/>
          </w:tcPr>
          <w:p>
            <w:r/>
            <w:r>
              <w:rPr>
                <w:rFonts w:ascii="PingFang SC" w:hAnsi="PingFang SC" w:eastAsia="PingFang SC"/>
                <w:sz w:val="19"/>
              </w:rPr>
              <w:t>xform_rule</w:t>
            </w:r>
          </w:p>
        </w:tc>
        <w:tc>
          <w:tcPr>
            <w:tcW w:type="dxa" w:w="5616"/>
          </w:tcPr>
          <w:p>
            <w:r/>
            <w:r>
              <w:rPr>
                <w:rFonts w:ascii="PingFang SC" w:hAnsi="PingFang SC" w:eastAsia="PingFang SC"/>
                <w:sz w:val="19"/>
              </w:rPr>
              <w:t>单位标准化、状态值归一 等</w:t>
            </w:r>
          </w:p>
        </w:tc>
      </w:tr>
    </w:tbl>
    <w:p/>
    <w:p>
      <w:pPr>
        <w:pStyle w:val="Heading1"/>
      </w:pPr>
      <w:r>
        <w:t>3. 页面结构</w:t>
      </w:r>
    </w:p>
    <w:p>
      <w:r>
        <w:rPr>
          <w:b w:val="0"/>
          <w:i w:val="0"/>
        </w:rPr>
        <w:t>页面为「左侧类别导航 + 右侧（列表 + 详情）」结构：左侧切换字典类别，右侧维护该类别下的字典项。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5588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-字典管理-整页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588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C8C"/>
          <w:sz w:val="18"/>
        </w:rPr>
        <w:t>图 1　字典管理整页：左侧 7 类字典，右侧字典项列表与详情</w:t>
      </w:r>
    </w:p>
    <w:p>
      <w:pPr>
        <w:pStyle w:val="Heading1"/>
      </w:pPr>
      <w:r>
        <w:t>4. 类别导航与字典项列表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5588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-字典管理-行动类型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588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C8C"/>
          <w:sz w:val="18"/>
        </w:rPr>
        <w:t>图 2　切换到「行动类型」类别</w:t>
      </w:r>
    </w:p>
    <w:p>
      <w:pPr>
        <w:pStyle w:val="ListBullet"/>
      </w:pPr>
      <w:r>
        <w:t>左侧 7 个类别入口，每项实时显示该类别的字典项数量。</w:t>
      </w:r>
    </w:p>
    <w:p>
      <w:pPr>
        <w:pStyle w:val="ListBullet"/>
      </w:pPr>
      <w:r>
        <w:t>列表列：名称 / 代码、状态（有效 / 禁用）、排序值。</w:t>
      </w:r>
    </w:p>
    <w:p>
      <w:pPr>
        <w:pStyle w:val="ListBullet"/>
      </w:pPr>
      <w:r>
        <w:t>工具条：按名称或代码搜索、新增字典项、刷新。</w:t>
      </w:r>
    </w:p>
    <w:p>
      <w:pPr>
        <w:pStyle w:val="Heading1"/>
      </w:pPr>
      <w:r>
        <w:t>5. 字典项详情与编辑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737360" cy="19830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3-字典管理-字典项详情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1983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C8C"/>
          <w:sz w:val="18"/>
        </w:rPr>
        <w:t>图 3　字典项详情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737360" cy="36911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-字典管理-新增表单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3691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C8C"/>
          <w:sz w:val="18"/>
        </w:rPr>
        <w:t>图 4　新增 / 编辑字典项</w:t>
      </w:r>
    </w:p>
    <w:p>
      <w:r>
        <w:rPr>
          <w:b w:val="0"/>
          <w:i w:val="0"/>
        </w:rPr>
        <w:t>通用字段：代码、名称、描述、排序、状态。</w:t>
      </w:r>
    </w:p>
    <w:p>
      <w:r>
        <w:rPr>
          <w:b w:val="0"/>
          <w:i w:val="0"/>
        </w:rPr>
        <w:t>类别特有字段：数据类型可维护「默认值」「系统代码」；系统类型可维护「联络人」。</w:t>
      </w:r>
    </w:p>
    <w:p>
      <w:pPr>
        <w:pStyle w:val="ListBullet"/>
      </w:pPr>
      <w:r>
        <w:t>代码：创建后不可修改，它是被模型引用的稳定标识。</w:t>
      </w:r>
    </w:p>
    <w:p>
      <w:pPr>
        <w:pStyle w:val="ListBullet"/>
      </w:pPr>
      <w:r>
        <w:t>状态：有效 / 禁用。禁用项不再出现在新建下拉中，但历史值仍可查看。</w:t>
      </w:r>
    </w:p>
    <w:p>
      <w:pPr>
        <w:pStyle w:val="ListBullet"/>
      </w:pPr>
      <w:r>
        <w:t>编辑：详情右上角铅笔图标；删除：垃圾桶图标，删除前二次确认。</w:t>
      </w:r>
    </w:p>
    <w:p>
      <w:pPr>
        <w:pStyle w:val="Heading1"/>
      </w:pPr>
      <w:r>
        <w:t>6. 表单内联管理</w:t>
      </w:r>
    </w:p>
    <w:p>
      <w:r>
        <w:rPr>
          <w:b w:val="0"/>
          <w:i w:val="0"/>
        </w:rPr>
        <w:t>在数据源、数据映射、对象属性、行动等表单中，每个字典下拉旁都有「管理此字典」，点开即为就地管理面板，可以不离开当前表单完成增删改；新建的字典项会自动写回当前表单，省去"保存表单 → 去字典页新增 → 回来重填"的往返。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43944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-表单内联字典管理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394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C8C"/>
          <w:sz w:val="18"/>
        </w:rPr>
        <w:t>图 5　登记数据源表单里的内联字典管理（系统类型）</w:t>
      </w:r>
    </w:p>
    <w:p>
      <w:pPr>
        <w:pStyle w:val="Heading1"/>
      </w:pPr>
      <w:r>
        <w:t>7. 规则与口径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规则</w:t>
            </w:r>
          </w:p>
        </w:tc>
        <w:tc>
          <w:tcPr>
            <w:tcW w:type="dxa" w:w="6912"/>
          </w:tcPr>
          <w:p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sz w:val="19"/>
              </w:rPr>
              <w:t>代码不可改</w:t>
            </w:r>
          </w:p>
        </w:tc>
        <w:tc>
          <w:tcPr>
            <w:tcW w:type="dxa" w:w="6912"/>
          </w:tcPr>
          <w:p>
            <w:r/>
            <w:r>
              <w:rPr>
                <w:rFonts w:ascii="PingFang SC" w:hAnsi="PingFang SC" w:eastAsia="PingFang SC"/>
                <w:sz w:val="19"/>
              </w:rPr>
              <w:t>代码是稳定引用标识，创建后不能修改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sz w:val="19"/>
              </w:rPr>
              <w:t>在用项不可禁用或删除</w:t>
            </w:r>
          </w:p>
        </w:tc>
        <w:tc>
          <w:tcPr>
            <w:tcW w:type="dxa" w:w="6912"/>
          </w:tcPr>
          <w:p>
            <w:r/>
            <w:r>
              <w:rPr>
                <w:rFonts w:ascii="PingFang SC" w:hAnsi="PingFang SC" w:eastAsia="PingFang SC"/>
                <w:sz w:val="19"/>
              </w:rPr>
              <w:t>服务端校验并返回 409，提示“字典项已被模型引用，不能删除 / 禁用；请先处理引用”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sz w:val="19"/>
              </w:rPr>
              <w:t>名称被引用时不可改名</w:t>
            </w:r>
          </w:p>
        </w:tc>
        <w:tc>
          <w:tcPr>
            <w:tcW w:type="dxa" w:w="6912"/>
          </w:tcPr>
          <w:p>
            <w:r/>
            <w:r>
              <w:rPr>
                <w:rFonts w:ascii="PingFang SC" w:hAnsi="PingFang SC" w:eastAsia="PingFang SC"/>
                <w:sz w:val="19"/>
              </w:rPr>
              <w:t>历史数据中存在按名称保存的引用，直接改名会断链；服务端返回 409 并提示先完成引用迁移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sz w:val="19"/>
              </w:rPr>
              <w:t>禁用项不出现在新建下拉</w:t>
            </w:r>
          </w:p>
        </w:tc>
        <w:tc>
          <w:tcPr>
            <w:tcW w:type="dxa" w:w="6912"/>
          </w:tcPr>
          <w:p>
            <w:r/>
            <w:r>
              <w:rPr>
                <w:rFonts w:ascii="PingFang SC" w:hAnsi="PingFang SC" w:eastAsia="PingFang SC"/>
                <w:sz w:val="19"/>
              </w:rPr>
              <w:t>已有历史值仍可在详情与下拉中看到，标注为「已禁用，历史值」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sz w:val="19"/>
              </w:rPr>
              <w:t>行为类新增默认禁用</w:t>
            </w:r>
          </w:p>
        </w:tc>
        <w:tc>
          <w:tcPr>
            <w:tcW w:type="dxa" w:w="6912"/>
          </w:tcPr>
          <w:p>
            <w:r/>
            <w:r>
              <w:rPr>
                <w:rFonts w:ascii="PingFang SC" w:hAnsi="PingFang SC" w:eastAsia="PingFang SC"/>
                <w:sz w:val="19"/>
              </w:rPr>
              <w:t>数据类型、接口方式、映射方式、行动类型、转换规则新增时先保存为禁用，接入处理能力后再启用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sz w:val="19"/>
              </w:rPr>
              <w:t>字典外历史值保留</w:t>
            </w:r>
          </w:p>
        </w:tc>
        <w:tc>
          <w:tcPr>
            <w:tcW w:type="dxa" w:w="6912"/>
          </w:tcPr>
          <w:p>
            <w:r/>
            <w:r>
              <w:rPr>
                <w:rFonts w:ascii="PingFang SC" w:hAnsi="PingFang SC" w:eastAsia="PingFang SC"/>
                <w:sz w:val="19"/>
              </w:rPr>
              <w:t>已保存但不在字典中的取值显示为「（已有值，待规范）」，不静默丢弃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sz w:val="19"/>
              </w:rPr>
              <w:t>排序</w:t>
            </w:r>
          </w:p>
        </w:tc>
        <w:tc>
          <w:tcPr>
            <w:tcW w:type="dxa" w:w="6912"/>
          </w:tcPr>
          <w:p>
            <w:r/>
            <w:r>
              <w:rPr>
                <w:rFonts w:ascii="PingFang SC" w:hAnsi="PingFang SC" w:eastAsia="PingFang SC"/>
                <w:sz w:val="19"/>
              </w:rPr>
              <w:t>数值排序，用于控制下拉中字典项的先后顺序</w:t>
            </w:r>
          </w:p>
        </w:tc>
      </w:tr>
    </w:tbl>
    <w:p/>
    <w:p>
      <w:pPr>
        <w:pStyle w:val="Heading1"/>
      </w:pPr>
      <w:r>
        <w:t>8. 与建模的关系</w:t>
      </w:r>
    </w:p>
    <w:p>
      <w:pPr>
        <w:pStyle w:val="ListBullet"/>
      </w:pPr>
      <w:r>
        <w:t>数据类型：影响对象属性与规则参数的类型定义。</w:t>
      </w:r>
    </w:p>
    <w:p>
      <w:pPr>
        <w:pStyle w:val="ListBullet"/>
      </w:pPr>
      <w:r>
        <w:t>系统类型、数据类别、接口方式、转换规则：影响数据源登记。</w:t>
      </w:r>
    </w:p>
    <w:p>
      <w:pPr>
        <w:pStyle w:val="ListBullet"/>
      </w:pPr>
      <w:r>
        <w:t>映射方式：影响语义映射的转换配置。</w:t>
      </w:r>
    </w:p>
    <w:p>
      <w:pPr>
        <w:pStyle w:val="ListBullet"/>
      </w:pPr>
      <w:r>
        <w:t>行动类型：影响动作类型的定义。</w:t>
      </w:r>
    </w:p>
    <w:p>
      <w:pPr>
        <w:pStyle w:val="ListBullet"/>
      </w:pPr>
      <w:r>
        <w:t>字典项的增删改会立即刷新所有使用该字典的下拉选项。</w:t>
      </w:r>
    </w:p>
    <w:p>
      <w:pPr>
        <w:pStyle w:val="Heading1"/>
      </w:pPr>
      <w:r>
        <w:t>9. 边界与已知限制</w:t>
      </w:r>
    </w:p>
    <w:p>
      <w:pPr>
        <w:pStyle w:val="ListBullet"/>
      </w:pPr>
      <w:r>
        <w:t>同一字段存在「按代码保存」与「按名称保存」两种历史写法，尚未统一迁移；这也是改名守卫采用保守策略的原因。</w:t>
      </w:r>
    </w:p>
    <w:p>
      <w:pPr>
        <w:pStyle w:val="ListBullet"/>
      </w:pPr>
      <w:r>
        <w:t>暂未对字典外取值做强制校验，也没有「字典外取值清单」用于批量归一。</w:t>
      </w:r>
    </w:p>
    <w:p>
      <w:pPr>
        <w:pStyle w:val="ListBullet"/>
      </w:pPr>
      <w:r>
        <w:t>字典是全局资源，不属于任何本体，因此字典项的编辑目前不写入本体的变更记录。</w:t>
      </w:r>
    </w:p>
    <w:p>
      <w:pPr>
        <w:pStyle w:val="ListBullet"/>
      </w:pPr>
      <w:r>
        <w:t>内联面板中对当前选中项改名或删除时，外层表单不会自动回写取值，需要重新选择。</w:t>
      </w:r>
    </w:p>
    <w:p>
      <w:pPr>
        <w:pStyle w:val="Heading1"/>
      </w:pPr>
      <w:r>
        <w:t>10. 验收要点</w:t>
      </w:r>
    </w:p>
    <w:p>
      <w:pPr>
        <w:pStyle w:val="ListBullet"/>
      </w:pPr>
      <w:r>
        <w:t>7 类字典均可增删改查，代码创建后不可修改。</w:t>
      </w:r>
    </w:p>
    <w:p>
      <w:pPr>
        <w:pStyle w:val="ListBullet"/>
      </w:pPr>
      <w:r>
        <w:t>在用字典项的禁用与删除被服务端拒绝，并给出可读原因。</w:t>
      </w:r>
    </w:p>
    <w:p>
      <w:pPr>
        <w:pStyle w:val="ListBullet"/>
      </w:pPr>
      <w:r>
        <w:t>按名称被引用的字典项改名被拒绝，并提示先处理引用。</w:t>
      </w:r>
    </w:p>
    <w:p>
      <w:pPr>
        <w:pStyle w:val="ListBullet"/>
      </w:pPr>
      <w:r>
        <w:t>禁用项不出现在新建下拉，历史值仍可见。</w:t>
      </w:r>
    </w:p>
    <w:p>
      <w:pPr>
        <w:pStyle w:val="ListBullet"/>
      </w:pPr>
      <w:r>
        <w:t>表单内联管理可新增字典项并自动写回当前表单。</w:t>
      </w:r>
    </w:p>
    <w:p>
      <w:pPr>
        <w:pStyle w:val="ListBullet"/>
      </w:pPr>
      <w:r>
        <w:t>左侧类别导航的项数随增删实时变化。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1F3A5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1F3A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1F3A5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PingFang SC" w:hAnsi="PingFang SC" w:eastAsia="PingFang SC"/>
      <w:color w:val="1F3A5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