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.3902136884483"/>
        <w:gridCol w:w="2524.7940538866524"/>
        <w:gridCol w:w="2455.2245277175593"/>
        <w:gridCol w:w="2759.59120470734"/>
        <w:tblGridChange w:id="0">
          <w:tblGrid>
            <w:gridCol w:w="1620.3902136884483"/>
            <w:gridCol w:w="2524.7940538866524"/>
            <w:gridCol w:w="2455.2245277175593"/>
            <w:gridCol w:w="2759.591204707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Plan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$49/month; Quarterly Payment - $41/month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159/month; Quarterly Payment - $129/month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Seed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Upto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Overall AI Prompts Tracked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Upto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Upto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LLMs Tracked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Chatgpt, Gemini, AIO, Perplexity* (Coming Soon)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Chatgpt, Gemini, AIO, Perplexity* (Coming Soon)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Competitors Tracked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Region Tracked/ICP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Upto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Upto 5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GEO Agent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 conversations/day (1 Conv = 1 user message + 1 bot reponse); Additional Conv to be charged @ $.01/conv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 conversations/day (1 Conv = 1 user message + 1 bot reponse); Additional Conv to be charged @ $.01/conv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Daily Prompt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 (can we do this 1 run/48 hours??)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Report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Integrations (* Coming Soon)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Google Analyitcs, Google Search Console)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Google Analyitcs, Google Search Console)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Google Analyitcs, Google Search Console)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Email, Slack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Email, Slack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Dedicated Account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Analytics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Last 2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Last 5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Dedicatd GEO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