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注意读题！</w:t>
      </w: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u w:val="single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注意读选项对应内容！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br w:type="textWrapping"/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u w:val="single"/>
          <w:lang w:val="en-US" w:eastAsia="zh-CN"/>
        </w:rPr>
        <w:t>注意！H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u w:val="single"/>
          <w:vertAlign w:val="subscript"/>
          <w:lang w:val="en-US" w:eastAsia="zh-CN"/>
        </w:rPr>
        <w:t>2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u w:val="single"/>
          <w:lang w:val="en-US" w:eastAsia="zh-CN"/>
        </w:rPr>
        <w:t xml:space="preserve">O(水)有氢键！            </w:t>
      </w: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</w:rPr>
        <w:drawing>
          <wp:inline distT="0" distB="0" distL="114300" distR="114300">
            <wp:extent cx="2168525" cy="1121410"/>
            <wp:effectExtent l="0" t="0" r="3175" b="2540"/>
            <wp:docPr id="13316" name="Picture 6" descr="C:\Documents and Settings\GEX\Desktop\51579 image ppt\Chapter 06\06_04_Fig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" name="Picture 6" descr="C:\Documents and Settings\GEX\Desktop\51579 image ppt\Chapter 06\06_04_Figure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8525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The Photoelectric Effect E=hν</w:t>
      </w: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h(Planck’s constant)=6.626×10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vertAlign w:val="superscript"/>
          <w:lang w:val="en-US" w:eastAsia="zh-CN"/>
        </w:rPr>
        <w:t>−34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 J∙s</w:t>
      </w: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Atomic Emissions</w:t>
      </w:r>
    </w:p>
    <w:p>
      <w:pPr>
        <w:pStyle w:val="4"/>
        <w:numPr>
          <w:ilvl w:val="0"/>
          <w:numId w:val="0"/>
        </w:numPr>
        <w:tabs>
          <w:tab w:val="left" w:pos="541"/>
        </w:tabs>
        <w:spacing w:before="0" w:after="0" w:line="236" w:lineRule="exact"/>
        <w:ind w:right="0" w:rightChars="0"/>
        <w:jc w:val="left"/>
        <w:rPr>
          <w:rFonts w:hint="default" w:ascii="Calibri" w:hAnsi="Calibri" w:cs="Calibri" w:eastAsiaTheme="minorEastAsia"/>
          <w:b w:val="0"/>
          <w:bCs w:val="0"/>
          <w:i w:val="0"/>
          <w:iCs w:val="0"/>
          <w:spacing w:val="-2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pacing w:val="-2"/>
          <w:sz w:val="20"/>
          <w:szCs w:val="20"/>
          <w:lang w:val="en-US" w:eastAsia="zh-CN"/>
        </w:rPr>
        <w:t>光速(c)</w:t>
      </w:r>
      <w:r>
        <w:rPr>
          <w:rFonts w:hint="default" w:ascii="Calibri" w:hAnsi="Calibri" w:cs="Calibri"/>
          <w:b w:val="0"/>
          <w:bCs w:val="0"/>
          <w:i w:val="0"/>
          <w:iCs w:val="0"/>
          <w:spacing w:val="-2"/>
          <w:sz w:val="20"/>
          <w:szCs w:val="20"/>
        </w:rPr>
        <w:t>:</w:t>
      </w:r>
      <w:r>
        <w:rPr>
          <w:rFonts w:hint="default" w:ascii="Calibri" w:hAnsi="Calibri" w:cs="Calibri"/>
          <w:b w:val="0"/>
          <w:bCs w:val="0"/>
          <w:i w:val="0"/>
          <w:iCs w:val="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i w:val="0"/>
          <w:iCs w:val="0"/>
          <w:spacing w:val="-2"/>
          <w:sz w:val="20"/>
          <w:szCs w:val="20"/>
        </w:rPr>
        <w:t>2.998×10</w:t>
      </w:r>
      <w:r>
        <w:rPr>
          <w:rFonts w:hint="default" w:ascii="Calibri" w:hAnsi="Calibri" w:cs="Calibri"/>
          <w:b w:val="0"/>
          <w:bCs w:val="0"/>
          <w:i w:val="0"/>
          <w:iCs w:val="0"/>
          <w:spacing w:val="-2"/>
          <w:position w:val="7"/>
          <w:sz w:val="20"/>
          <w:szCs w:val="20"/>
        </w:rPr>
        <w:t xml:space="preserve">8 </w:t>
      </w:r>
      <w:r>
        <w:rPr>
          <w:rFonts w:hint="default" w:ascii="Calibri" w:hAnsi="Calibri" w:cs="Calibri"/>
          <w:b w:val="0"/>
          <w:bCs w:val="0"/>
          <w:i w:val="0"/>
          <w:iCs w:val="0"/>
          <w:spacing w:val="-2"/>
          <w:sz w:val="20"/>
          <w:szCs w:val="20"/>
        </w:rPr>
        <w:t>m/s</w:t>
      </w:r>
      <w:r>
        <w:rPr>
          <w:rFonts w:hint="default" w:ascii="Calibri" w:hAnsi="Calibri" w:cs="Calibri"/>
          <w:b w:val="0"/>
          <w:bCs w:val="0"/>
          <w:i w:val="0"/>
          <w:iCs w:val="0"/>
          <w:spacing w:val="-2"/>
          <w:sz w:val="20"/>
          <w:szCs w:val="20"/>
          <w:lang w:val="en-US" w:eastAsia="zh-CN"/>
        </w:rPr>
        <w:t xml:space="preserve"> </w:t>
      </w:r>
      <w:r>
        <w:rPr>
          <w:rFonts w:hint="default" w:ascii="Calibri" w:hAnsi="Calibri" w:eastAsia="Cambria Math" w:cs="Calibri"/>
          <w:b w:val="0"/>
          <w:bCs w:val="0"/>
          <w:i w:val="0"/>
          <w:iCs w:val="0"/>
          <w:sz w:val="20"/>
          <w:szCs w:val="20"/>
          <w:u w:val="none"/>
        </w:rPr>
        <w:t>𝛌𝛎</w:t>
      </w:r>
      <w:r>
        <w:rPr>
          <w:rFonts w:hint="default" w:ascii="Calibri" w:hAnsi="Calibri" w:eastAsia="Cambria Math" w:cs="Calibri"/>
          <w:b w:val="0"/>
          <w:bCs w:val="0"/>
          <w:i w:val="0"/>
          <w:iCs w:val="0"/>
          <w:spacing w:val="10"/>
          <w:sz w:val="20"/>
          <w:szCs w:val="20"/>
          <w:u w:val="none"/>
        </w:rPr>
        <w:t xml:space="preserve"> </w:t>
      </w:r>
      <w:r>
        <w:rPr>
          <w:rFonts w:hint="default" w:ascii="Calibri" w:hAnsi="Calibri" w:eastAsia="Cambria Math" w:cs="Calibri"/>
          <w:b w:val="0"/>
          <w:bCs w:val="0"/>
          <w:i w:val="0"/>
          <w:iCs w:val="0"/>
          <w:sz w:val="20"/>
          <w:szCs w:val="20"/>
          <w:u w:val="none"/>
        </w:rPr>
        <w:t>=</w:t>
      </w:r>
      <w:r>
        <w:rPr>
          <w:rFonts w:hint="default" w:ascii="Calibri" w:hAnsi="Calibri" w:eastAsia="Cambria Math" w:cs="Calibri"/>
          <w:b w:val="0"/>
          <w:bCs w:val="0"/>
          <w:i w:val="0"/>
          <w:iCs w:val="0"/>
          <w:spacing w:val="11"/>
          <w:sz w:val="20"/>
          <w:szCs w:val="20"/>
          <w:u w:val="none"/>
        </w:rPr>
        <w:t xml:space="preserve"> </w:t>
      </w:r>
      <w:r>
        <w:rPr>
          <w:rFonts w:hint="default" w:ascii="Calibri" w:hAnsi="Calibri" w:eastAsia="Cambria Math" w:cs="Calibri"/>
          <w:b w:val="0"/>
          <w:bCs w:val="0"/>
          <w:i w:val="0"/>
          <w:iCs w:val="0"/>
          <w:spacing w:val="-10"/>
          <w:sz w:val="20"/>
          <w:szCs w:val="20"/>
          <w:u w:val="none"/>
        </w:rPr>
        <w:t>𝐜</w:t>
      </w: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</w:rPr>
        <w:t>Work function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 逸出功（功函数）</w:t>
      </w: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yellow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highlight w:val="yellow"/>
        </w:rPr>
        <w:t>Monochromatic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yellow"/>
          <w:lang w:val="en-US" w:eastAsia="zh-CN"/>
        </w:rPr>
        <w:t>单色(光谱) (单波长)</w:t>
      </w: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yellow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highlight w:val="yellow"/>
        </w:rPr>
        <w:t>Polychromati</w:t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highlight w:val="yellow"/>
          <w:lang w:val="en-US" w:eastAsia="zh-CN"/>
        </w:rPr>
        <w:t>c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yellow"/>
          <w:lang w:val="en-US" w:eastAsia="zh-CN"/>
        </w:rPr>
        <w:t>多色(光谱) (多波长)</w:t>
      </w: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Continuous spectra 连续光谱</w:t>
      </w: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Line spectra 线性光谱</w:t>
      </w:r>
    </w:p>
    <w:p>
      <w:p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The Hydrogen Spectrum 氢原子光谱 </w:t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</w:rPr>
        <w:drawing>
          <wp:inline distT="0" distB="0" distL="114300" distR="114300">
            <wp:extent cx="932180" cy="259080"/>
            <wp:effectExtent l="0" t="0" r="1270" b="7620"/>
            <wp:docPr id="19461" name="Picture 7" descr="C:\Documents and Settings\GEX\Desktop\51579 image ppt\6.4 Equ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" name="Picture 7" descr="C:\Documents and Settings\GEX\Desktop\51579 image ppt\6.4 Equation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218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Calibri" w:hAnsi="Calibri" w:cs="Calibri" w:eastAsiaTheme="minorEastAsia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各原子光谱均不止一条线！</w:t>
      </w:r>
    </w:p>
    <w:p>
      <w:p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The Bohr Model 玻尔模型 </w:t>
      </w:r>
    </w:p>
    <w:p>
      <w:p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</w:rPr>
        <w:drawing>
          <wp:inline distT="0" distB="0" distL="114300" distR="114300">
            <wp:extent cx="1269365" cy="305435"/>
            <wp:effectExtent l="0" t="0" r="6985" b="8890"/>
            <wp:docPr id="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69365" cy="30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vertAlign w:val="superscript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-</w:t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</w:rPr>
        <w:t>R</w:t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vertAlign w:val="subscript"/>
          <w:lang w:val="en-US" w:eastAsia="zh-CN"/>
        </w:rPr>
        <w:t>H</w:t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vertAlign w:val="baseline"/>
          <w:lang w:val="en-US" w:eastAsia="zh-CN"/>
        </w:rPr>
        <w:t xml:space="preserve"> (</w:t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</w:rPr>
        <w:t>the Rydberg constant</w:t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) = </w:t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</w:rPr>
        <w:t>1.097</w:t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×</w:t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</w:rPr>
        <w:t>10</w:t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vertAlign w:val="superscript"/>
        </w:rPr>
        <w:t>7</w:t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</w:rPr>
        <w:t>m</w:t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vertAlign w:val="superscript"/>
        </w:rPr>
        <w:t>−1</w:t>
      </w:r>
    </w:p>
    <w:p>
      <w:pPr>
        <w:jc w:val="left"/>
        <w:rPr>
          <w:rFonts w:hint="default" w:ascii="Calibri" w:hAnsi="Calibri" w:cs="Calibri" w:eastAsiaTheme="minorEastAsia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-</w:t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</w:rPr>
        <w:t>n</w:t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vertAlign w:val="subscript"/>
        </w:rPr>
        <w:t>i</w:t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</w:rPr>
        <w:t xml:space="preserve"> the initial</w:t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 </w:t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</w:rPr>
        <w:t>energy levels of the electron</w:t>
      </w:r>
    </w:p>
    <w:p>
      <w:pPr>
        <w:jc w:val="left"/>
        <w:rPr>
          <w:rFonts w:hint="default" w:ascii="Calibri" w:hAnsi="Calibri" w:cs="Calibri" w:eastAsiaTheme="minorEastAsia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vertAlign w:val="baseline"/>
          <w:lang w:val="en-US" w:eastAsia="zh-CN"/>
        </w:rPr>
        <w:t>-n</w:t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vertAlign w:val="subscript"/>
        </w:rPr>
        <w:t>f</w:t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the </w:t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</w:rPr>
        <w:t>final energy levels of the electron.</w:t>
      </w:r>
    </w:p>
    <w:p>
      <w:p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</w:rPr>
        <w:drawing>
          <wp:inline distT="0" distB="0" distL="114300" distR="114300">
            <wp:extent cx="528320" cy="328295"/>
            <wp:effectExtent l="0" t="0" r="5080" b="5080"/>
            <wp:docPr id="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320" cy="32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</w:rPr>
        <w:t>Uncertainty</w:t>
      </w:r>
      <w:r>
        <w:rPr>
          <w:rFonts w:hint="default" w:ascii="Calibri" w:hAnsi="Calibri" w:cs="Calibri"/>
          <w:b w:val="0"/>
          <w:bCs w:val="0"/>
          <w:i w:val="0"/>
          <w:iCs w:val="0"/>
          <w:spacing w:val="-3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</w:rPr>
        <w:t>principl</w:t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e</w:t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</w:rPr>
        <w:drawing>
          <wp:inline distT="0" distB="0" distL="114300" distR="114300">
            <wp:extent cx="706755" cy="283210"/>
            <wp:effectExtent l="0" t="0" r="7620" b="2540"/>
            <wp:docPr id="5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6755" cy="28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</w:rPr>
        <w:t>Probability density</w:t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 (electron density) 电子密度ψ</w:t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vertAlign w:val="superscript"/>
          <w:lang w:val="en-US" w:eastAsia="zh-CN"/>
        </w:rPr>
        <w:t>2</w:t>
      </w:r>
    </w:p>
    <w:p>
      <w:p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角动量量子数</w:t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(l)</w:t>
      </w:r>
    </w:p>
    <w:p>
      <w:p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-对应能级,轨道形状</w:t>
      </w:r>
    </w:p>
    <w:p>
      <w:p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</w:rPr>
        <w:drawing>
          <wp:inline distT="0" distB="0" distL="114300" distR="114300">
            <wp:extent cx="2032000" cy="516255"/>
            <wp:effectExtent l="0" t="0" r="635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rcRect t="355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Magnetic Quantum Number (m</w:t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vertAlign w:val="subscript"/>
          <w:lang w:val="en-US" w:eastAsia="zh-CN"/>
        </w:rPr>
        <w:t>l</w:t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)</w:t>
      </w:r>
    </w:p>
    <w:p>
      <w:p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-对应轨道方</w:t>
      </w:r>
      <w:r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向</w:t>
      </w:r>
    </w:p>
    <w:p>
      <w:p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vertAlign w:val="baseline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vertAlign w:val="baseline"/>
          <w:lang w:val="en-US" w:eastAsia="zh-CN"/>
        </w:rPr>
        <w:t>Peak: 电子出现概率最高的地方</w:t>
      </w:r>
    </w:p>
    <w:p>
      <w:p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vertAlign w:val="baseline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vertAlign w:val="baseline"/>
          <w:lang w:val="en-US" w:eastAsia="zh-CN"/>
        </w:rPr>
        <w:t>Node: 电子不可能出现的地方</w:t>
      </w: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degenerate orbitals 简并轨道</w:t>
      </w: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电子数↑, 电子间斥力↑</w:t>
      </w: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Spin QuantumNumber (m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vertAlign w:val="subscript"/>
          <w:lang w:val="en-US" w:eastAsia="zh-CN"/>
        </w:rPr>
        <w:t>s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) 自旋量子数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 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= +½ or –½</w:t>
      </w: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Electron Configurations 电子排布式</w:t>
      </w: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Orbital Diagrams 电子排布图</w:t>
      </w: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Condensed(adj.)精简的 </w:t>
      </w: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valence electrons 价电子</w:t>
      </w: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core electrons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: 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充满的内层电子(含充满的d&amp;f)</w:t>
      </w: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f区：lanthanides(p.l.)镧系元素 &amp;  actinides(p.l.)锕系元素 &amp; inner transition elements 内过渡元素</w:t>
      </w:r>
    </w:p>
    <w:p>
      <w:p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Anomalies(p.l.)反常现象</w:t>
      </w:r>
    </w:p>
    <w:p>
      <w:p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u w:val="single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充满轨道由于轨道能量，移除电子由</w:t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u w:val="single"/>
          <w:lang w:val="en-US" w:eastAsia="zh-CN"/>
        </w:rPr>
        <w:t>于轨道位置</w:t>
      </w:r>
      <w:r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u w:val="single"/>
          <w:lang w:val="en-US" w:eastAsia="zh-CN"/>
        </w:rPr>
        <w:t xml:space="preserve">                   </w:t>
      </w:r>
    </w:p>
    <w:p>
      <w:pPr>
        <w:jc w:val="left"/>
        <w:rPr>
          <w:rFonts w:hint="default"/>
          <w:b w:val="0"/>
          <w:bCs w:val="0"/>
          <w:i w:val="0"/>
          <w:iCs w:val="0"/>
          <w:sz w:val="20"/>
          <w:szCs w:val="20"/>
          <w:vertAlign w:val="baseli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0"/>
          <w:szCs w:val="20"/>
          <w:lang w:val="en-US" w:eastAsia="zh-CN"/>
        </w:rPr>
        <w:t>(ENC) Effective Nuclear Charge (Z</w:t>
      </w:r>
      <w:r>
        <w:rPr>
          <w:rFonts w:hint="eastAsia"/>
          <w:b w:val="0"/>
          <w:bCs w:val="0"/>
          <w:i w:val="0"/>
          <w:iCs w:val="0"/>
          <w:sz w:val="20"/>
          <w:szCs w:val="20"/>
          <w:vertAlign w:val="subscript"/>
          <w:lang w:val="en-US" w:eastAsia="zh-CN"/>
        </w:rPr>
        <w:t>eff</w:t>
      </w:r>
      <w:r>
        <w:rPr>
          <w:rFonts w:hint="eastAsia"/>
          <w:b w:val="0"/>
          <w:bCs w:val="0"/>
          <w:i w:val="0"/>
          <w:iCs w:val="0"/>
          <w:sz w:val="20"/>
          <w:szCs w:val="20"/>
          <w:vertAlign w:val="baseline"/>
          <w:lang w:val="en-US" w:eastAsia="zh-CN"/>
        </w:rPr>
        <w:t>)</w:t>
      </w:r>
    </w:p>
    <w:p>
      <w:p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0"/>
          <w:szCs w:val="20"/>
          <w:lang w:val="en-US" w:eastAsia="zh-CN"/>
        </w:rPr>
        <w:t>Z</w:t>
      </w:r>
      <w:r>
        <w:rPr>
          <w:rFonts w:hint="eastAsia"/>
          <w:b w:val="0"/>
          <w:bCs w:val="0"/>
          <w:i w:val="0"/>
          <w:iCs w:val="0"/>
          <w:sz w:val="20"/>
          <w:szCs w:val="20"/>
          <w:vertAlign w:val="subscript"/>
          <w:lang w:val="en-US" w:eastAsia="zh-CN"/>
        </w:rPr>
        <w:t>eff</w:t>
      </w:r>
      <w:r>
        <w:rPr>
          <w:rFonts w:hint="eastAsia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 = Z − S</w:t>
      </w:r>
    </w:p>
    <w:p>
      <w:pPr>
        <w:jc w:val="left"/>
        <w:rPr>
          <w:rFonts w:hint="eastAsia"/>
          <w:b w:val="0"/>
          <w:bCs w:val="0"/>
          <w:i w:val="0"/>
          <w:iCs w:val="0"/>
          <w:sz w:val="20"/>
          <w:szCs w:val="20"/>
          <w:highlight w:val="yellow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S: Screening Constant: </w:t>
      </w:r>
      <w:r>
        <w:rPr>
          <w:rFonts w:hint="eastAsia"/>
          <w:b w:val="0"/>
          <w:bCs w:val="0"/>
          <w:i w:val="0"/>
          <w:iCs w:val="0"/>
          <w:sz w:val="20"/>
          <w:szCs w:val="20"/>
          <w:highlight w:val="yellow"/>
          <w:lang w:val="en-US" w:eastAsia="zh-CN"/>
        </w:rPr>
        <w:t>同能层0.35 次一能层0.85 其他内部能层1</w:t>
      </w:r>
    </w:p>
    <w:p>
      <w:pPr>
        <w:jc w:val="left"/>
        <w:rPr>
          <w:rFonts w:hint="eastAsia"/>
          <w:b w:val="0"/>
          <w:bCs w:val="0"/>
          <w:i w:val="0"/>
          <w:iCs w:val="0"/>
          <w:sz w:val="20"/>
          <w:szCs w:val="20"/>
          <w:highlight w:val="none"/>
          <w:vertAlign w:val="baseli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0"/>
          <w:szCs w:val="20"/>
          <w:highlight w:val="none"/>
          <w:lang w:val="en-US" w:eastAsia="zh-CN"/>
        </w:rPr>
        <w:t>Z</w:t>
      </w:r>
      <w:r>
        <w:rPr>
          <w:rFonts w:hint="eastAsia"/>
          <w:b w:val="0"/>
          <w:bCs w:val="0"/>
          <w:i w:val="0"/>
          <w:iCs w:val="0"/>
          <w:sz w:val="20"/>
          <w:szCs w:val="20"/>
          <w:highlight w:val="none"/>
          <w:vertAlign w:val="subscript"/>
          <w:lang w:val="en-US" w:eastAsia="zh-CN"/>
        </w:rPr>
        <w:t>eff</w:t>
      </w:r>
      <w:r>
        <w:rPr>
          <w:rFonts w:hint="eastAsia"/>
          <w:b w:val="0"/>
          <w:bCs w:val="0"/>
          <w:i w:val="0"/>
          <w:iCs w:val="0"/>
          <w:sz w:val="20"/>
          <w:szCs w:val="20"/>
          <w:highlight w:val="none"/>
          <w:vertAlign w:val="baseline"/>
          <w:lang w:val="en-US" w:eastAsia="zh-CN"/>
        </w:rPr>
        <w:t>↑: 同周期→&amp;同族(group)↑</w:t>
      </w:r>
    </w:p>
    <w:p>
      <w:pPr>
        <w:jc w:val="left"/>
        <w:rPr>
          <w:rFonts w:hint="eastAsia"/>
          <w:b w:val="0"/>
          <w:bCs w:val="0"/>
          <w:i w:val="0"/>
          <w:iCs w:val="0"/>
          <w:sz w:val="20"/>
          <w:szCs w:val="20"/>
          <w:highlight w:val="none"/>
          <w:vertAlign w:val="baseli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0"/>
          <w:szCs w:val="20"/>
          <w:highlight w:val="none"/>
          <w:vertAlign w:val="baseline"/>
          <w:lang w:val="en-US" w:eastAsia="zh-CN"/>
        </w:rPr>
        <w:t>芯电子对价电子：屏蔽作用</w:t>
      </w:r>
    </w:p>
    <w:p>
      <w:pPr>
        <w:jc w:val="left"/>
        <w:rPr>
          <w:rFonts w:hint="eastAsia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nonbonding atomic radius </w:t>
      </w:r>
      <w:r>
        <w:rPr>
          <w:rFonts w:hint="eastAsia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未成键原子半径 = </w:t>
      </w:r>
      <w:r>
        <w:rPr>
          <w:rFonts w:hint="default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van der Waals radius </w:t>
      </w:r>
      <w:r>
        <w:rPr>
          <w:rFonts w:hint="eastAsia"/>
          <w:b w:val="0"/>
          <w:bCs w:val="0"/>
          <w:i w:val="0"/>
          <w:iCs w:val="0"/>
          <w:sz w:val="20"/>
          <w:szCs w:val="20"/>
          <w:lang w:val="en-US" w:eastAsia="zh-CN"/>
        </w:rPr>
        <w:t>范德华半径</w:t>
      </w:r>
    </w:p>
    <w:p>
      <w:pPr>
        <w:jc w:val="left"/>
        <w:rPr>
          <w:rFonts w:hint="eastAsia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 w:eastAsia="zh-CN"/>
        </w:rPr>
        <w:t>Z</w:t>
      </w:r>
      <w:r>
        <w:rPr>
          <w:rFonts w:hint="default"/>
          <w:b w:val="0"/>
          <w:bCs w:val="0"/>
          <w:i w:val="0"/>
          <w:iCs w:val="0"/>
          <w:sz w:val="20"/>
          <w:szCs w:val="20"/>
          <w:vertAlign w:val="subscript"/>
          <w:lang w:val="en-US" w:eastAsia="zh-CN"/>
        </w:rPr>
        <w:t>eff</w:t>
      </w:r>
      <w:r>
        <w:rPr>
          <w:rFonts w:hint="default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 ↑</w:t>
      </w:r>
      <w:r>
        <w:rPr>
          <w:rFonts w:hint="eastAsia"/>
          <w:b w:val="0"/>
          <w:bCs w:val="0"/>
          <w:i w:val="0"/>
          <w:iCs w:val="0"/>
          <w:sz w:val="20"/>
          <w:szCs w:val="20"/>
          <w:lang w:val="en-US" w:eastAsia="zh-CN"/>
        </w:rPr>
        <w:t>，成键原子半径↓</w:t>
      </w:r>
    </w:p>
    <w:p>
      <w:pPr>
        <w:jc w:val="left"/>
        <w:rPr>
          <w:rFonts w:hint="eastAsia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0"/>
          <w:szCs w:val="20"/>
          <w:lang w:val="en-US" w:eastAsia="zh-CN"/>
        </w:rPr>
        <w:t>同族↓，成键原子半径↑</w:t>
      </w: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Di`anion二阶阴离子</w:t>
      </w:r>
    </w:p>
    <w:p>
      <w:pPr>
        <w:jc w:val="left"/>
        <w:rPr>
          <w:rFonts w:hint="eastAsia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0"/>
          <w:szCs w:val="20"/>
          <w:lang w:val="en-US" w:eastAsia="zh-CN"/>
        </w:rPr>
        <w:t>isoelectronic series 等电子序列</w:t>
      </w:r>
    </w:p>
    <w:p>
      <w:pPr>
        <w:jc w:val="left"/>
        <w:rPr>
          <w:rFonts w:hint="eastAsia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0"/>
          <w:szCs w:val="20"/>
          <w:lang w:val="en-US" w:eastAsia="zh-CN"/>
        </w:rPr>
        <w:t>Ionization Energy 电离能 (I)</w:t>
      </w:r>
    </w:p>
    <w:p>
      <w:pPr>
        <w:jc w:val="left"/>
        <w:rPr>
          <w:rFonts w:hint="eastAsia"/>
          <w:b w:val="0"/>
          <w:bCs w:val="0"/>
          <w:i w:val="0"/>
          <w:iCs w:val="0"/>
          <w:sz w:val="20"/>
          <w:szCs w:val="20"/>
          <w:highlight w:val="yellow"/>
          <w:vertAlign w:val="baseli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0"/>
          <w:szCs w:val="20"/>
          <w:highlight w:val="yellow"/>
          <w:vertAlign w:val="baseline"/>
          <w:lang w:val="en-US" w:eastAsia="zh-CN"/>
        </w:rPr>
        <w:t>Electron Affinity电子亲和势</w:t>
      </w:r>
      <w:r>
        <w:rPr>
          <w:rFonts w:hint="eastAsia"/>
          <w:b w:val="0"/>
          <w:bCs w:val="0"/>
          <w:i w:val="0"/>
          <w:iCs w:val="0"/>
          <w:sz w:val="20"/>
          <w:szCs w:val="20"/>
          <w:lang w:val="en-US" w:eastAsia="zh-CN"/>
        </w:rPr>
        <w:t>(e</w:t>
      </w:r>
      <w:r>
        <w:rPr>
          <w:rFonts w:hint="eastAsia"/>
          <w:b w:val="0"/>
          <w:bCs w:val="0"/>
          <w:i w:val="0"/>
          <w:iCs w:val="0"/>
          <w:sz w:val="20"/>
          <w:szCs w:val="20"/>
          <w:vertAlign w:val="superscript"/>
          <w:lang w:val="en-US" w:eastAsia="zh-CN"/>
        </w:rPr>
        <w:t>-</w:t>
      </w:r>
      <w:r>
        <w:rPr>
          <w:rFonts w:hint="eastAsia"/>
          <w:b w:val="0"/>
          <w:bCs w:val="0"/>
          <w:i w:val="0"/>
          <w:iCs w:val="0"/>
          <w:sz w:val="20"/>
          <w:szCs w:val="20"/>
          <w:lang w:val="en-US" w:eastAsia="zh-CN"/>
        </w:rPr>
        <w:t>×1)</w:t>
      </w:r>
    </w:p>
    <w:p>
      <w:pPr>
        <w:jc w:val="left"/>
        <w:rPr>
          <w:rFonts w:hint="default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0"/>
          <w:szCs w:val="20"/>
          <w:lang w:val="en-US" w:eastAsia="zh-CN"/>
        </w:rPr>
        <w:t>-</w:t>
      </w:r>
      <w:r>
        <w:rPr>
          <w:b w:val="0"/>
          <w:bCs w:val="0"/>
          <w:i w:val="0"/>
          <w:iCs w:val="0"/>
          <w:sz w:val="20"/>
          <w:szCs w:val="20"/>
        </w:rPr>
        <w:drawing>
          <wp:inline distT="0" distB="0" distL="114300" distR="114300">
            <wp:extent cx="843915" cy="120650"/>
            <wp:effectExtent l="0" t="0" r="3810" b="3175"/>
            <wp:docPr id="8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i w:val="0"/>
          <w:iCs w:val="0"/>
          <w:sz w:val="20"/>
          <w:szCs w:val="20"/>
          <w:lang w:val="en-US" w:eastAsia="zh-CN"/>
        </w:rPr>
        <w:t>常为放热(能)(-负的)</w:t>
      </w:r>
    </w:p>
    <w:p>
      <w:pPr>
        <w:jc w:val="left"/>
        <w:rPr>
          <w:rFonts w:hint="eastAsia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0"/>
          <w:szCs w:val="20"/>
          <w:lang w:val="en-US" w:eastAsia="zh-CN"/>
        </w:rPr>
        <w:t>-同族=；同周期→，EA↑</w:t>
      </w:r>
    </w:p>
    <w:p>
      <w:pPr>
        <w:jc w:val="left"/>
        <w:rPr>
          <w:rFonts w:hint="default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0"/>
          <w:szCs w:val="20"/>
          <w:lang w:val="en-US" w:eastAsia="zh-CN"/>
        </w:rPr>
        <w:t>-电负性↑→电子亲和势↓</w:t>
      </w:r>
    </w:p>
    <w:p>
      <w:pPr>
        <w:jc w:val="left"/>
        <w:rPr>
          <w:rFonts w:hint="default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0"/>
          <w:szCs w:val="20"/>
          <w:lang w:val="en-US" w:eastAsia="zh-CN"/>
        </w:rPr>
        <w:t>稀有气体的电子亲和能为正(+)(吸热)</w:t>
      </w:r>
    </w:p>
    <w:p>
      <w:pPr>
        <w:jc w:val="left"/>
        <w:rPr>
          <w:rFonts w:hint="eastAsia"/>
          <w:b w:val="0"/>
          <w:bCs w:val="0"/>
          <w:i w:val="0"/>
          <w:iCs w:val="0"/>
          <w:sz w:val="20"/>
          <w:szCs w:val="20"/>
          <w:vertAlign w:val="baseli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0"/>
          <w:szCs w:val="20"/>
          <w:vertAlign w:val="baseline"/>
          <w:lang w:val="en-US" w:eastAsia="zh-CN"/>
        </w:rPr>
        <w:t>Metalloid类金属 (e.g. Silicon(Si))</w:t>
      </w:r>
    </w:p>
    <w:p>
      <w:pPr>
        <w:jc w:val="left"/>
        <w:rPr>
          <w:rFonts w:hint="default"/>
          <w:b w:val="0"/>
          <w:bCs w:val="0"/>
          <w:sz w:val="20"/>
          <w:szCs w:val="20"/>
          <w:vertAlign w:val="baseli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vertAlign w:val="baseline"/>
          <w:lang w:val="en-US" w:eastAsia="zh-CN"/>
        </w:rPr>
        <w:t>Halogen (n.)卤素</w:t>
      </w:r>
    </w:p>
    <w:p>
      <w:pPr>
        <w:jc w:val="left"/>
        <w:rPr>
          <w:rFonts w:hint="eastAsia"/>
          <w:b/>
          <w:bCs/>
          <w:sz w:val="20"/>
          <w:szCs w:val="20"/>
          <w:vertAlign w:val="baseline"/>
          <w:lang w:val="en-US" w:eastAsia="zh-CN"/>
        </w:rPr>
      </w:pPr>
      <w:r>
        <w:rPr>
          <w:rFonts w:hint="default"/>
          <w:b w:val="0"/>
          <w:bCs w:val="0"/>
          <w:sz w:val="20"/>
          <w:szCs w:val="20"/>
          <w:vertAlign w:val="baseline"/>
          <w:lang w:val="en-US" w:eastAsia="zh-CN"/>
        </w:rPr>
        <w:t>The Alkaline Earth Metals</w:t>
      </w:r>
      <w:r>
        <w:rPr>
          <w:rFonts w:hint="eastAsia"/>
          <w:b w:val="0"/>
          <w:bCs w:val="0"/>
          <w:sz w:val="20"/>
          <w:szCs w:val="20"/>
          <w:vertAlign w:val="baseline"/>
          <w:lang w:val="en-US" w:eastAsia="zh-CN"/>
        </w:rPr>
        <w:t xml:space="preserve">碱土金属: 2A; </w:t>
      </w:r>
      <w:r>
        <w:rPr>
          <w:rFonts w:hint="eastAsia"/>
          <w:b/>
          <w:bCs/>
          <w:sz w:val="20"/>
          <w:szCs w:val="20"/>
          <w:vertAlign w:val="baseline"/>
          <w:lang w:val="en-US" w:eastAsia="zh-CN"/>
        </w:rPr>
        <w:t>氧族: 6A</w:t>
      </w:r>
    </w:p>
    <w:p>
      <w:pPr>
        <w:jc w:val="left"/>
        <w:rPr>
          <w:rFonts w:hint="eastAsia"/>
          <w:b/>
          <w:bCs/>
          <w:sz w:val="20"/>
          <w:szCs w:val="20"/>
          <w:vertAlign w:val="baseline"/>
          <w:lang w:val="en-US" w:eastAsia="zh-CN"/>
        </w:rPr>
      </w:pPr>
      <w:r>
        <w:rPr>
          <w:rFonts w:hint="eastAsia"/>
          <w:b/>
          <w:bCs/>
          <w:sz w:val="20"/>
          <w:szCs w:val="20"/>
          <w:vertAlign w:val="baseline"/>
          <w:lang w:val="en-US" w:eastAsia="zh-CN"/>
        </w:rPr>
        <w:t>m</w:t>
      </w:r>
      <w:r>
        <w:rPr>
          <w:rFonts w:hint="default"/>
          <w:b/>
          <w:bCs/>
          <w:sz w:val="20"/>
          <w:szCs w:val="20"/>
          <w:vertAlign w:val="baseline"/>
          <w:lang w:val="en-US" w:eastAsia="zh-CN"/>
        </w:rPr>
        <w:t>on</w:t>
      </w:r>
      <w:r>
        <w:rPr>
          <w:rFonts w:hint="eastAsia"/>
          <w:b/>
          <w:bCs/>
          <w:sz w:val="20"/>
          <w:szCs w:val="20"/>
          <w:vertAlign w:val="baseline"/>
          <w:lang w:val="en-US" w:eastAsia="zh-CN"/>
        </w:rPr>
        <w:t>`</w:t>
      </w:r>
      <w:r>
        <w:rPr>
          <w:rFonts w:hint="default"/>
          <w:b/>
          <w:bCs/>
          <w:sz w:val="20"/>
          <w:szCs w:val="20"/>
          <w:vertAlign w:val="baseline"/>
          <w:lang w:val="en-US" w:eastAsia="zh-CN"/>
        </w:rPr>
        <w:t>atomic</w:t>
      </w:r>
      <w:r>
        <w:rPr>
          <w:rFonts w:hint="eastAsia"/>
          <w:b/>
          <w:bCs/>
          <w:sz w:val="20"/>
          <w:szCs w:val="20"/>
          <w:vertAlign w:val="baseline"/>
          <w:lang w:val="en-US" w:eastAsia="zh-CN"/>
        </w:rPr>
        <w:t>单原子的</w:t>
      </w:r>
    </w:p>
    <w:p>
      <w:pPr>
        <w:numPr>
          <w:ilvl w:val="0"/>
          <w:numId w:val="0"/>
        </w:numPr>
        <w:jc w:val="left"/>
        <w:rPr>
          <w:rFonts w:hint="eastAsia"/>
          <w:b/>
          <w:bCs/>
          <w:sz w:val="20"/>
          <w:szCs w:val="20"/>
          <w:vertAlign w:val="baseline"/>
          <w:lang w:val="en-US" w:eastAsia="zh-CN"/>
        </w:rPr>
      </w:pPr>
      <w:r>
        <w:rPr>
          <w:rFonts w:hint="eastAsia"/>
          <w:b/>
          <w:bCs/>
          <w:sz w:val="20"/>
          <w:szCs w:val="20"/>
          <w:vertAlign w:val="baseline"/>
          <w:lang w:val="en-US" w:eastAsia="zh-CN"/>
        </w:rPr>
        <w:t>di`atomic (adj.)双原子的</w:t>
      </w:r>
    </w:p>
    <w:p>
      <w:pPr>
        <w:numPr>
          <w:ilvl w:val="0"/>
          <w:numId w:val="0"/>
        </w:numPr>
        <w:jc w:val="left"/>
        <w:rPr>
          <w:rFonts w:hint="default"/>
          <w:b/>
          <w:bCs/>
          <w:sz w:val="20"/>
          <w:szCs w:val="20"/>
          <w:vertAlign w:val="baseline"/>
          <w:lang w:val="en-US" w:eastAsia="zh-CN"/>
        </w:rPr>
      </w:pPr>
      <w:r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Allotrope 同素异形体: 同元素单质，排列不同，性质不同 (e.g.红磷&amp;白磷)</w:t>
      </w:r>
    </w:p>
    <w:p>
      <w:p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/>
          <w:b w:val="0"/>
          <w:bCs w:val="0"/>
          <w:sz w:val="20"/>
          <w:szCs w:val="20"/>
          <w:u w:val="single"/>
          <w:vertAlign w:val="baseline"/>
          <w:lang w:val="en-US" w:eastAsia="zh-CN"/>
        </w:rPr>
        <w:t>Radioactive</w:t>
      </w:r>
      <w:r>
        <w:rPr>
          <w:rFonts w:hint="eastAsia"/>
          <w:b w:val="0"/>
          <w:bCs w:val="0"/>
          <w:sz w:val="20"/>
          <w:szCs w:val="20"/>
          <w:u w:val="single"/>
          <w:vertAlign w:val="baseline"/>
          <w:lang w:val="en-US" w:eastAsia="zh-CN"/>
        </w:rPr>
        <w:t xml:space="preserve">放射性的              </w:t>
      </w:r>
    </w:p>
    <w:p>
      <w:p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Electrostatic</w:t>
      </w:r>
      <w:r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 (adj.)静电的</w:t>
      </w: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Lattice energy晶格能(固→气所需能)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↑: 离子电荷↑&amp;离子大小↓</w:t>
      </w: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-Coulomb’s law: 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</w:rPr>
        <w:drawing>
          <wp:inline distT="0" distB="0" distL="114300" distR="114300">
            <wp:extent cx="517525" cy="184150"/>
            <wp:effectExtent l="0" t="0" r="6350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1"/>
                    <a:srcRect l="5457" t="8179" r="3786" b="15303"/>
                    <a:stretch>
                      <a:fillRect/>
                    </a:stretch>
                  </pic:blipFill>
                  <pic:spPr>
                    <a:xfrm>
                      <a:off x="0" y="0"/>
                      <a:ext cx="517525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e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ndothermic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吸热的</w:t>
      </w: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e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xothermic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放热的</w:t>
      </w: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dipole moment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: 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μ = Qr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 (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measured in debyes (D)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) -e.g. D(C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—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H) = 413kJ</w:t>
      </w: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Oxidation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 氧化</w:t>
      </w: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Formal charge = valence electrons - ½ (bonding electrons) - all nonbonding electrons</w:t>
      </w:r>
    </w:p>
    <w:p>
      <w:pPr>
        <w:jc w:val="left"/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</w:rPr>
        <w:t>The dominant Lewis structure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eastAsia="zh-CN"/>
        </w:rPr>
        <w:t>：</w:t>
      </w:r>
    </w:p>
    <w:p>
      <w:pPr>
        <w:jc w:val="left"/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-FC→0 且 负FC→于电负性最大的原子</w:t>
      </w: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Resonance structure: 只由电子位置决定</w:t>
      </w:r>
    </w:p>
    <w:p>
      <w:pPr>
        <w:jc w:val="left"/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定域电子：具体在1原子上/2原子间</w:t>
      </w: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Ethalpy键焓: 断掉1摩尔化学键所需能量</w:t>
      </w: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平均键焓为正(+)</w:t>
      </w: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ΔH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vertAlign w:val="subscript"/>
          <w:lang w:val="en-US" w:eastAsia="zh-CN"/>
        </w:rPr>
        <w:t>rxn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 = Σ(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全部断的键的键焓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) - Σ(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全部成的键的键焓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)</w:t>
      </w:r>
    </w:p>
    <w:p>
      <w:p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u w:val="single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u w:val="single"/>
          <w:lang w:val="en-US" w:eastAsia="zh-CN"/>
        </w:rPr>
        <w:t xml:space="preserve">键数↑，键焓↑，键长↓            </w:t>
      </w:r>
    </w:p>
    <w:p>
      <w:p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Constructive</w:t>
      </w:r>
      <w:r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建设性(?)</w:t>
      </w:r>
    </w:p>
    <w:p>
      <w:p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Destructive</w:t>
      </w:r>
      <w:r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破坏性(?)</w:t>
      </w:r>
    </w:p>
    <w:p>
      <w:p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Antibonding molecular orbitals</w:t>
      </w:r>
    </w:p>
    <w:p>
      <w:p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vertAlign w:val="baseline"/>
          <w:lang w:val="en-US" w:eastAsia="zh-CN"/>
        </w:rPr>
        <w:t>e</w:t>
      </w:r>
      <w:r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vertAlign w:val="superscript"/>
          <w:lang w:val="en-US" w:eastAsia="zh-CN"/>
        </w:rPr>
        <w:t>-</w:t>
      </w:r>
      <w:r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填MO：低能到高能依次，能量bonding&lt;antibonding, </w:t>
      </w:r>
    </w:p>
    <w:p>
      <w:p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repel (v.)排斥</w:t>
      </w:r>
    </w:p>
    <w:p>
      <w:p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Diamagnetism</w:t>
      </w:r>
      <w:r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抗磁性:MO中无不成对e</w:t>
      </w:r>
      <w:r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vertAlign w:val="superscript"/>
          <w:lang w:val="en-US" w:eastAsia="zh-CN"/>
        </w:rPr>
        <w:t>-</w:t>
      </w:r>
    </w:p>
    <w:p>
      <w:p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Paramagnetism</w:t>
      </w:r>
      <w:r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顺磁性:MO中有不成对e</w:t>
      </w:r>
      <w:r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vertAlign w:val="superscript"/>
          <w:lang w:val="en-US" w:eastAsia="zh-CN"/>
        </w:rPr>
        <w:t>-</w:t>
      </w: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4 Tetrahedral </w:t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</w:rPr>
        <w:drawing>
          <wp:inline distT="0" distB="0" distL="114300" distR="114300">
            <wp:extent cx="342900" cy="366395"/>
            <wp:effectExtent l="0" t="0" r="0" b="508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00" w:firstLineChars="100"/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-1 trigonal pyramidal, -2 bent</w:t>
      </w:r>
    </w:p>
    <w:p>
      <w:p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5 Trigonal bipyramidal </w:t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</w:rPr>
        <w:drawing>
          <wp:inline distT="0" distB="0" distL="114300" distR="114300">
            <wp:extent cx="347345" cy="341630"/>
            <wp:effectExtent l="0" t="0" r="5080" b="12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00" w:firstLineChars="100"/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-1 Seesaw, -2 T-shaped, -3linear</w:t>
      </w:r>
    </w:p>
    <w:p>
      <w:p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6 Octahedral </w:t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</w:rPr>
        <w:drawing>
          <wp:inline distT="0" distB="0" distL="114300" distR="114300">
            <wp:extent cx="306705" cy="274320"/>
            <wp:effectExtent l="0" t="0" r="7620" b="190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705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u w:val="single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u w:val="single"/>
          <w:lang w:val="en-US" w:eastAsia="zh-CN"/>
        </w:rPr>
        <w:t xml:space="preserve"> -1 square pyramidal, -2 square planar</w:t>
      </w:r>
      <w:r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u w:val="single"/>
          <w:lang w:val="en-US" w:eastAsia="zh-CN"/>
        </w:rPr>
        <w:t xml:space="preserve">   </w:t>
      </w:r>
    </w:p>
    <w:p>
      <w:p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1℃=273.15K</w:t>
      </w:r>
    </w:p>
    <w:p>
      <w:p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1.00 atm = 760 torr = 760 mm Hg  = 101.325 kPa = 1.01325 bar</w:t>
      </w: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u w:val="single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yellow"/>
          <w:u w:val="single"/>
          <w:lang w:val="en-US" w:eastAsia="zh-CN"/>
        </w:rPr>
        <w:t>R: gas constant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u w:val="single"/>
          <w:lang w:val="en-US" w:eastAsia="zh-CN"/>
        </w:rPr>
        <w:t xml:space="preserve"> (8.31 kPa• dm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u w:val="single"/>
          <w:vertAlign w:val="superscript"/>
          <w:lang w:val="en-US" w:eastAsia="zh-CN"/>
        </w:rPr>
        <w:t>3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u w:val="single"/>
          <w:lang w:val="en-US" w:eastAsia="zh-CN"/>
        </w:rPr>
        <w:t>•mol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u w:val="single"/>
          <w:vertAlign w:val="superscript"/>
          <w:lang w:val="en-US" w:eastAsia="zh-CN"/>
        </w:rPr>
        <w:t>-1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u w:val="single"/>
          <w:lang w:val="en-US" w:eastAsia="zh-CN"/>
        </w:rPr>
        <w:t>•K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u w:val="single"/>
          <w:vertAlign w:val="superscript"/>
          <w:lang w:val="en-US" w:eastAsia="zh-CN"/>
        </w:rPr>
        <w:t>-1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u w:val="single"/>
          <w:lang w:val="en-US" w:eastAsia="zh-CN"/>
        </w:rPr>
        <w:t xml:space="preserve"> = 8.31J•mol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u w:val="single"/>
          <w:vertAlign w:val="superscript"/>
          <w:lang w:val="en-US" w:eastAsia="zh-CN"/>
        </w:rPr>
        <w:t>-1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u w:val="single"/>
          <w:lang w:val="en-US" w:eastAsia="zh-CN"/>
        </w:rPr>
        <w:t>•K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u w:val="single"/>
          <w:vertAlign w:val="superscript"/>
          <w:lang w:val="en-US" w:eastAsia="zh-CN"/>
        </w:rPr>
        <w:t>-1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u w:val="single"/>
          <w:lang w:val="en-US" w:eastAsia="zh-CN"/>
        </w:rPr>
        <w:t>)</w:t>
      </w:r>
    </w:p>
    <w:p>
      <w:pPr>
        <w:jc w:val="left"/>
        <w:rPr>
          <w:rFonts w:hint="default" w:ascii="Calibri" w:hAnsi="Calibri" w:eastAsia="宋体" w:cs="Calibri"/>
          <w:b/>
          <w:bCs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/>
          <w:bCs/>
          <w:sz w:val="20"/>
          <w:szCs w:val="20"/>
          <w:lang w:val="en-US" w:eastAsia="zh-CN"/>
        </w:rPr>
        <w:t>Boyle’s Law</w:t>
      </w:r>
      <w:r>
        <w:rPr>
          <w:rFonts w:hint="eastAsia" w:ascii="Calibri" w:hAnsi="Calibri" w:eastAsia="宋体" w:cs="Calibri"/>
          <w:b/>
          <w:bCs/>
          <w:sz w:val="20"/>
          <w:szCs w:val="20"/>
          <w:lang w:val="en-US" w:eastAsia="zh-CN"/>
        </w:rPr>
        <w:t xml:space="preserve">: </w:t>
      </w:r>
      <w:r>
        <w:rPr>
          <w:rFonts w:hint="default" w:ascii="Calibri" w:hAnsi="Calibri" w:eastAsia="宋体" w:cs="Calibri"/>
          <w:b/>
          <w:bCs/>
          <w:sz w:val="20"/>
          <w:szCs w:val="20"/>
          <w:lang w:val="en-US" w:eastAsia="zh-CN"/>
        </w:rPr>
        <w:t>PV = a constant</w:t>
      </w:r>
    </w:p>
    <w:p>
      <w:pPr>
        <w:jc w:val="left"/>
        <w:rPr>
          <w:rFonts w:hint="default" w:ascii="Calibri" w:hAnsi="Calibri" w:eastAsia="宋体" w:cs="Calibri"/>
          <w:b/>
          <w:bCs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/>
          <w:bCs/>
          <w:sz w:val="20"/>
          <w:szCs w:val="20"/>
          <w:lang w:val="en-US" w:eastAsia="zh-CN"/>
        </w:rPr>
        <w:t>Charles’s Law</w:t>
      </w:r>
      <w:r>
        <w:rPr>
          <w:rFonts w:hint="eastAsia" w:ascii="Calibri" w:hAnsi="Calibri" w:eastAsia="宋体" w:cs="Calibri"/>
          <w:b/>
          <w:bCs/>
          <w:sz w:val="20"/>
          <w:szCs w:val="20"/>
          <w:lang w:val="en-US" w:eastAsia="zh-CN"/>
        </w:rPr>
        <w:t xml:space="preserve">: </w:t>
      </w:r>
      <w:r>
        <w:rPr>
          <w:rFonts w:hint="default" w:ascii="Calibri" w:hAnsi="Calibri" w:eastAsia="宋体" w:cs="Calibri"/>
          <w:b/>
          <w:bCs/>
          <w:sz w:val="20"/>
          <w:szCs w:val="20"/>
          <w:lang w:val="en-US" w:eastAsia="zh-CN"/>
        </w:rPr>
        <w:t>V = constant × T</w:t>
      </w:r>
    </w:p>
    <w:p>
      <w:pPr>
        <w:jc w:val="left"/>
        <w:rPr>
          <w:rFonts w:hint="default" w:ascii="Calibri" w:hAnsi="Calibri" w:eastAsia="宋体" w:cs="Calibri"/>
          <w:b/>
          <w:bCs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/>
          <w:bCs/>
          <w:sz w:val="20"/>
          <w:szCs w:val="20"/>
          <w:lang w:val="en-US" w:eastAsia="zh-CN"/>
        </w:rPr>
        <w:t>Avogadro’s Law</w:t>
      </w:r>
      <w:r>
        <w:rPr>
          <w:rFonts w:hint="eastAsia" w:ascii="Calibri" w:hAnsi="Calibri" w:eastAsia="宋体" w:cs="Calibri"/>
          <w:b/>
          <w:bCs/>
          <w:sz w:val="20"/>
          <w:szCs w:val="20"/>
          <w:lang w:val="en-US" w:eastAsia="zh-CN"/>
        </w:rPr>
        <w:t xml:space="preserve">: 1. </w:t>
      </w:r>
      <w:r>
        <w:rPr>
          <w:rFonts w:hint="default" w:ascii="Calibri" w:hAnsi="Calibri" w:eastAsia="宋体" w:cs="Calibri"/>
          <w:b/>
          <w:bCs/>
          <w:sz w:val="20"/>
          <w:szCs w:val="20"/>
          <w:lang w:val="en-US" w:eastAsia="zh-CN"/>
        </w:rPr>
        <w:t>V = constant × n</w:t>
      </w:r>
      <w:r>
        <w:rPr>
          <w:rFonts w:hint="eastAsia" w:ascii="Calibri" w:hAnsi="Calibri" w:eastAsia="宋体" w:cs="Calibri"/>
          <w:b/>
          <w:bCs/>
          <w:sz w:val="20"/>
          <w:szCs w:val="20"/>
          <w:lang w:val="en-US" w:eastAsia="zh-CN"/>
        </w:rPr>
        <w:t>(气体分子子数) &amp; 2. at STP, 1mol→22.4L</w:t>
      </w:r>
    </w:p>
    <w:p>
      <w:pPr>
        <w:jc w:val="left"/>
        <w:rPr>
          <w:rFonts w:hint="default" w:ascii="Calibri" w:hAnsi="Calibri" w:eastAsia="宋体" w:cs="Calibri"/>
          <w:b/>
          <w:bCs/>
          <w:sz w:val="20"/>
          <w:szCs w:val="20"/>
          <w:highlight w:val="yellow"/>
          <w:u w:val="single"/>
          <w:lang w:val="en-US" w:eastAsia="zh-CN"/>
        </w:rPr>
      </w:pPr>
      <w:r>
        <w:rPr>
          <w:rFonts w:hint="default" w:ascii="Calibri" w:hAnsi="Calibri" w:eastAsia="宋体" w:cs="Calibri"/>
          <w:b/>
          <w:bCs/>
          <w:sz w:val="20"/>
          <w:szCs w:val="20"/>
          <w:highlight w:val="yellow"/>
          <w:u w:val="single"/>
          <w:lang w:val="en-US" w:eastAsia="zh-CN"/>
        </w:rPr>
        <w:t>STP</w:t>
      </w:r>
      <w:r>
        <w:rPr>
          <w:rFonts w:hint="eastAsia" w:ascii="Calibri" w:hAnsi="Calibri" w:eastAsia="宋体" w:cs="Calibri"/>
          <w:b/>
          <w:bCs/>
          <w:sz w:val="20"/>
          <w:szCs w:val="20"/>
          <w:highlight w:val="yellow"/>
          <w:u w:val="single"/>
          <w:lang w:val="en-US" w:eastAsia="zh-CN"/>
        </w:rPr>
        <w:t xml:space="preserve">: </w:t>
      </w:r>
      <w:r>
        <w:rPr>
          <w:rFonts w:hint="default" w:ascii="Calibri" w:hAnsi="Calibri" w:eastAsia="宋体" w:cs="Calibri"/>
          <w:b/>
          <w:bCs/>
          <w:sz w:val="20"/>
          <w:szCs w:val="20"/>
          <w:highlight w:val="yellow"/>
          <w:u w:val="single"/>
          <w:lang w:val="en-US" w:eastAsia="zh-CN"/>
        </w:rPr>
        <w:t>0℃, 1atm</w:t>
      </w: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气体密度 d = MP/RT</w:t>
      </w: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气体摩尔质量M = mRT/PV</w:t>
      </w: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道尔顿分压定律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</w:rPr>
        <w:drawing>
          <wp:inline distT="0" distB="0" distL="114300" distR="114300">
            <wp:extent cx="1109345" cy="123190"/>
            <wp:effectExtent l="0" t="0" r="5080" b="63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09345" cy="12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The mole fraction 摩尔分数 (χ)</w:t>
      </w: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(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</w:rPr>
        <w:drawing>
          <wp:inline distT="0" distB="0" distL="114300" distR="114300">
            <wp:extent cx="1085215" cy="328295"/>
            <wp:effectExtent l="0" t="0" r="635" b="508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85215" cy="32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)</w:t>
      </w: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</w:rPr>
        <w:drawing>
          <wp:inline distT="0" distB="0" distL="114300" distR="114300">
            <wp:extent cx="1370965" cy="290195"/>
            <wp:effectExtent l="0" t="0" r="635" b="508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29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(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</w:rPr>
        <w:drawing>
          <wp:inline distT="0" distB="0" distL="114300" distR="114300">
            <wp:extent cx="1083945" cy="308610"/>
            <wp:effectExtent l="0" t="0" r="1905" b="5715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3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)</w:t>
      </w: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tenet (n.)原则</w:t>
      </w: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negligible (adj.)可以忽略不计的，微不足道的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yellow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yellow"/>
          <w:lang w:val="en-US" w:eastAsia="zh-CN"/>
        </w:rPr>
        <w:t>u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yellow"/>
          <w:vertAlign w:val="subscript"/>
          <w:lang w:val="en-US" w:eastAsia="zh-CN"/>
        </w:rPr>
        <w:t>mp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yellow"/>
          <w:lang w:val="en-US" w:eastAsia="zh-CN"/>
        </w:rPr>
        <w:t>:分子最可能速度(最多分子速度)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yellow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yellow"/>
          <w:vertAlign w:val="baseline"/>
          <w:lang w:val="en-US" w:eastAsia="zh-CN"/>
        </w:rPr>
        <w:t>u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yellow"/>
          <w:vertAlign w:val="subscript"/>
          <w:lang w:val="en-US" w:eastAsia="zh-CN"/>
        </w:rPr>
        <w:t>av: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yellow"/>
          <w:lang w:val="en-US" w:eastAsia="zh-CN"/>
        </w:rPr>
        <w:t>分子平均速度</w:t>
      </w:r>
    </w:p>
    <w:p>
      <w:p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yellow"/>
          <w:vertAlign w:val="baseline"/>
          <w:lang w:val="en-US" w:eastAsia="zh-CN"/>
        </w:rPr>
        <w:t>u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yellow"/>
          <w:vertAlign w:val="subscript"/>
          <w:lang w:val="en-US" w:eastAsia="zh-CN"/>
        </w:rPr>
        <w:t>rms: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yellow"/>
          <w:lang w:val="en-US" w:eastAsia="zh-CN"/>
        </w:rPr>
        <w:t>the root-mean-square speed,与平均动能相关</w:t>
      </w:r>
    </w:p>
    <w:p>
      <w:p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14605</wp:posOffset>
            </wp:positionH>
            <wp:positionV relativeFrom="paragraph">
              <wp:posOffset>6985</wp:posOffset>
            </wp:positionV>
            <wp:extent cx="621030" cy="974090"/>
            <wp:effectExtent l="0" t="0" r="7620" b="6985"/>
            <wp:wrapTight wrapText="bothSides">
              <wp:wrapPolygon>
                <wp:start x="0" y="0"/>
                <wp:lineTo x="0" y="21332"/>
                <wp:lineTo x="21202" y="21332"/>
                <wp:lineTo x="21202" y="0"/>
                <wp:lineTo x="0" y="0"/>
              </wp:wrapPolygon>
            </wp:wrapTight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97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同温，则各气体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(1/2)m(u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vertAlign w:val="subscript"/>
          <w:lang w:val="en-US" w:eastAsia="zh-CN"/>
        </w:rPr>
        <w:t>rms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)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vertAlign w:val="superscript"/>
          <w:lang w:val="en-US" w:eastAsia="zh-CN"/>
        </w:rPr>
        <w:t>2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vertAlign w:val="baseline"/>
          <w:lang w:val="en-US" w:eastAsia="zh-CN"/>
        </w:rPr>
        <w:t>相同</w:t>
      </w:r>
    </w:p>
    <w:p>
      <w:p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</w:p>
    <w:p>
      <w:p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气体质量↓，速度↑</w:t>
      </w:r>
    </w:p>
    <w:p>
      <w:p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Effusion(n.)渗出：气体分子通过小孔转移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Diffusion (n.)扩散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u w:val="single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u w:val="single"/>
          <w:lang w:val="en-US" w:eastAsia="zh-CN"/>
        </w:rPr>
        <w:t>Graham’s Law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u w:val="single"/>
          <w:lang w:val="en-US" w:eastAsia="zh-CN"/>
        </w:rPr>
        <w:t xml:space="preserve"> = Effusion rate</w:t>
      </w: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highlight w:val="none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highlight w:val="none"/>
        </w:rPr>
        <w:drawing>
          <wp:inline distT="0" distB="0" distL="114300" distR="114300">
            <wp:extent cx="1219200" cy="409575"/>
            <wp:effectExtent l="0" t="0" r="0" b="0"/>
            <wp:docPr id="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highlight w:val="none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highlight w:val="none"/>
          <w:lang w:val="en-US" w:eastAsia="zh-CN"/>
        </w:rPr>
        <w:t>气体密度↓，渗出速率↑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Mean free path 平均自由程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colorless (adj.)无色的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odorless (adj.)无味的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现实气体相较于理想气体：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molecules do 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u w:val="single"/>
          <w:lang w:val="en-US" w:eastAsia="zh-CN"/>
        </w:rPr>
        <w:t>attract others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: P&lt;P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vertAlign w:val="subscript"/>
          <w:lang w:val="en-US" w:eastAsia="zh-CN"/>
        </w:rPr>
        <w:t>ideal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, Z=PV/nRT&lt;1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molecules do 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u w:val="single"/>
          <w:lang w:val="en-US" w:eastAsia="zh-CN"/>
        </w:rPr>
        <w:t>have volumes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: V&gt;V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vertAlign w:val="subscript"/>
          <w:lang w:val="en-US" w:eastAsia="zh-CN"/>
        </w:rPr>
        <w:t>ideal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, Z=PV/nRT&gt;1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Deviation(n.)偏离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yellow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The 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yellow"/>
          <w:lang w:val="en-US" w:eastAsia="zh-CN"/>
        </w:rPr>
        <w:t>Van Der Waals Equation范德华方程</w:t>
      </w:r>
    </w:p>
    <w:p>
      <w:pPr>
        <w:numPr>
          <w:ilvl w:val="0"/>
          <w:numId w:val="0"/>
        </w:numPr>
        <w:jc w:val="left"/>
        <w:rPr>
          <w:rFonts w:hint="default" w:ascii="Calibri" w:hAnsi="Calibri" w:cs="Calibri" w:eastAsiaTheme="minorEastAsia"/>
          <w:b w:val="0"/>
          <w:bCs w:val="0"/>
          <w:i w:val="0"/>
          <w:iCs w:val="0"/>
          <w:sz w:val="20"/>
          <w:szCs w:val="20"/>
          <w:u w:val="single"/>
          <w:lang w:val="en-US" w:eastAsia="zh-CN"/>
        </w:rPr>
      </w:pPr>
      <w:r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u w:val="single"/>
          <w:lang w:val="en-US" w:eastAsia="zh-CN"/>
        </w:rPr>
        <w:t xml:space="preserve">      </w:t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u w:val="single"/>
        </w:rPr>
        <w:drawing>
          <wp:inline distT="0" distB="0" distL="114300" distR="114300">
            <wp:extent cx="1371600" cy="538480"/>
            <wp:effectExtent l="0" t="0" r="0" b="444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u w:val="single"/>
          <w:lang w:val="en-US" w:eastAsia="zh-CN"/>
        </w:rPr>
        <w:t xml:space="preserve">    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condensed phases 凝聚相：液&amp;固体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物质状态取决于1.粒子的动能间的平衡, 2.粒子间的吸引的能量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Dispersion Force色散力: 非极性粒子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-由暂时极化产生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distort(v.)使变形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-色散力↑← : 电子数↑&amp;大小or质量↑&amp;分子more compact更致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密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Ion-dipole forces强于氢键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dissolve (v.)使溶解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viscosity黏滞性↑←: 分子间作用力↑&amp;温度↓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u w:val="none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u w:val="none"/>
          <w:lang w:val="en-US" w:eastAsia="zh-CN"/>
        </w:rPr>
        <w:t>compact (adj.)致密的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u w:val="none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u w:val="none"/>
          <w:lang w:val="en-US" w:eastAsia="zh-CN"/>
        </w:rPr>
        <w:t>Capillary action 毛细管作用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u w:val="none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u w:val="none"/>
          <w:lang w:val="en-US" w:eastAsia="zh-CN"/>
        </w:rPr>
        <w:t>Cohensive force: 结合相似原子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u w:val="none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u w:val="none"/>
          <w:lang w:val="en-US" w:eastAsia="zh-CN"/>
        </w:rPr>
        <w:t>Adhensive force: 结合平面与平面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yellow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yellow"/>
          <w:lang w:val="en-US" w:eastAsia="zh-CN"/>
        </w:rPr>
        <w:t>melting熔化 / freezing凝固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yellow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yellow"/>
          <w:lang w:val="en-US" w:eastAsia="zh-CN"/>
        </w:rPr>
        <w:t xml:space="preserve">vaporizing汽化 / condensing液化 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yellow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yellow"/>
          <w:lang w:val="en-US" w:eastAsia="zh-CN"/>
        </w:rPr>
        <w:t>subliming升华 /depositing凝华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yellow"/>
          <w:u w:val="single"/>
          <w:lang w:val="en-US" w:eastAsia="zh-CN"/>
        </w:rPr>
        <w:t>fusion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熔化(另用于热?)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Supercritical Fluids 超临界流体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compress (v.)压缩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同温，蒸汽压↑，Volatile挥发性↑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Normal沸点: at 1atm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临界压力: at 临界温度</w:t>
      </w: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sz w:val="20"/>
          <w:szCs w:val="20"/>
          <w:lang w:val="en-US" w:eastAsia="zh-CN"/>
        </w:rPr>
      </w:pPr>
      <w:r>
        <w:rPr>
          <w:rFonts w:hint="default" w:ascii="Calibri" w:hAnsi="Calibri" w:cs="Calibri"/>
          <w:b/>
          <w:bCs/>
          <w:sz w:val="20"/>
          <w:szCs w:val="20"/>
          <w:lang w:val="en-US" w:eastAsia="zh-CN"/>
        </w:rPr>
        <w:t>Nematic liquid crystals</w:t>
      </w:r>
      <w:r>
        <w:rPr>
          <w:rFonts w:hint="eastAsia" w:ascii="Calibri" w:hAnsi="Calibri" w:cs="Calibri"/>
          <w:b/>
          <w:bCs/>
          <w:sz w:val="20"/>
          <w:szCs w:val="20"/>
          <w:lang w:val="en-US" w:eastAsia="zh-CN"/>
        </w:rPr>
        <w:t>仅一维沿轴排列</w:t>
      </w:r>
    </w:p>
    <w:p>
      <w:pPr>
        <w:numPr>
          <w:ilvl w:val="0"/>
          <w:numId w:val="0"/>
        </w:numPr>
        <w:jc w:val="left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S</w:t>
      </w:r>
      <w:r>
        <w:rPr>
          <w:rFonts w:hint="default"/>
          <w:b/>
          <w:bCs/>
          <w:sz w:val="20"/>
          <w:szCs w:val="20"/>
          <w:lang w:val="en-US" w:eastAsia="zh-CN"/>
        </w:rPr>
        <w:t>mectic liquid crystals</w:t>
      </w:r>
      <w:r>
        <w:rPr>
          <w:rFonts w:hint="eastAsia"/>
          <w:b/>
          <w:bCs/>
          <w:sz w:val="20"/>
          <w:szCs w:val="20"/>
          <w:lang w:val="en-US" w:eastAsia="zh-CN"/>
        </w:rPr>
        <w:t>二维度沿轴和层排列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u w:val="single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C</w:t>
      </w:r>
      <w:r>
        <w:rPr>
          <w:rFonts w:hint="default"/>
          <w:b/>
          <w:bCs/>
          <w:sz w:val="20"/>
          <w:szCs w:val="20"/>
          <w:lang w:val="en-US" w:eastAsia="zh-CN"/>
        </w:rPr>
        <w:t>holesteryic liquid crystals</w:t>
      </w:r>
      <w:r>
        <w:rPr>
          <w:rFonts w:hint="eastAsia"/>
          <w:b/>
          <w:bCs/>
          <w:sz w:val="20"/>
          <w:szCs w:val="20"/>
          <w:lang w:val="en-US" w:eastAsia="zh-CN"/>
        </w:rPr>
        <w:t>各层成角</w:t>
      </w:r>
      <w:r>
        <w:rPr>
          <w:rFonts w:hint="eastAsia"/>
          <w:b/>
          <w:bCs/>
          <w:sz w:val="20"/>
          <w:szCs w:val="20"/>
          <w:u w:val="single"/>
          <w:lang w:val="en-US" w:eastAsia="zh-CN"/>
        </w:rPr>
        <w:t xml:space="preserve">度排列                      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Crystalline solids晶体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Amorphous solids非晶体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none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Motif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 (n.)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基元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yellow"/>
          <w:lang w:val="en-US" w:eastAsia="zh-CN"/>
        </w:rPr>
        <w:t>(???)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none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none"/>
          <w:lang w:val="en-US" w:eastAsia="zh-CN"/>
        </w:rPr>
        <w:t xml:space="preserve">Oblique lattice </w:t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</w:rPr>
        <w:drawing>
          <wp:inline distT="0" distB="0" distL="114300" distR="114300">
            <wp:extent cx="400050" cy="180975"/>
            <wp:effectExtent l="0" t="0" r="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none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none"/>
          <w:lang w:val="en-US" w:eastAsia="zh-CN"/>
        </w:rPr>
        <w:t xml:space="preserve">Square lattice </w:t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</w:rPr>
        <w:drawing>
          <wp:inline distT="0" distB="0" distL="114300" distR="114300">
            <wp:extent cx="304800" cy="352425"/>
            <wp:effectExtent l="0" t="0" r="0" b="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none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none"/>
          <w:lang w:val="en-US" w:eastAsia="zh-CN"/>
        </w:rPr>
        <w:t xml:space="preserve">Rectangular lattice </w:t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</w:rPr>
        <w:drawing>
          <wp:inline distT="0" distB="0" distL="114300" distR="114300">
            <wp:extent cx="352425" cy="290830"/>
            <wp:effectExtent l="0" t="0" r="0" b="4445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default" w:ascii="Calibri" w:hAnsi="Calibri" w:cs="Calibri" w:eastAsiaTheme="minorEastAsia"/>
          <w:b w:val="0"/>
          <w:bCs w:val="0"/>
          <w:i w:val="0"/>
          <w:iCs w:val="0"/>
          <w:sz w:val="20"/>
          <w:szCs w:val="20"/>
          <w:highlight w:val="none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none"/>
          <w:lang w:val="en-US" w:eastAsia="zh-CN"/>
        </w:rPr>
        <w:t xml:space="preserve">Hexagonal lattice </w:t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</w:rPr>
        <w:drawing>
          <wp:inline distT="0" distB="0" distL="114300" distR="114300">
            <wp:extent cx="338455" cy="290830"/>
            <wp:effectExtent l="0" t="0" r="4445" b="4445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845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none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none"/>
          <w:lang w:val="en-US" w:eastAsia="zh-CN"/>
        </w:rPr>
        <w:t xml:space="preserve">Rhombic lattice (centered rectangular lattice) </w:t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</w:rPr>
        <w:drawing>
          <wp:inline distT="0" distB="0" distL="114300" distR="114300">
            <wp:extent cx="662305" cy="433705"/>
            <wp:effectExtent l="0" t="0" r="4445" b="4445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2305" cy="43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none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none"/>
          <w:lang w:val="en-US" w:eastAsia="zh-CN"/>
        </w:rPr>
        <w:t>orthorhombic正交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none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none"/>
          <w:lang w:val="en-US" w:eastAsia="zh-CN"/>
        </w:rPr>
        <w:t>tetragonal四方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none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none"/>
          <w:lang w:val="en-US" w:eastAsia="zh-CN"/>
        </w:rPr>
        <w:t>monoclinic单斜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none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none"/>
          <w:lang w:val="en-US" w:eastAsia="zh-CN"/>
        </w:rPr>
        <w:t>Rhombohedral菱方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none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none"/>
          <w:lang w:val="en-US" w:eastAsia="zh-CN"/>
        </w:rPr>
        <w:t>Hexagonal六方</w:t>
      </w: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highlight w:val="none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highlight w:val="none"/>
          <w:lang w:val="en-US" w:eastAsia="zh-CN"/>
        </w:rPr>
        <w:t>Triclinic三斜</w:t>
      </w:r>
    </w:p>
    <w:p>
      <w:pPr>
        <w:numPr>
          <w:ilvl w:val="0"/>
          <w:numId w:val="0"/>
        </w:numPr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Cubic close-packed</w:t>
      </w:r>
    </w:p>
    <w:p>
      <w:pPr>
        <w:numPr>
          <w:ilvl w:val="0"/>
          <w:numId w:val="0"/>
        </w:numPr>
        <w:jc w:val="left"/>
        <w:rPr>
          <w:sz w:val="20"/>
          <w:szCs w:val="20"/>
        </w:rPr>
      </w:pPr>
      <w:r>
        <w:rPr>
          <w:rFonts w:hint="eastAsia"/>
          <w:sz w:val="20"/>
          <w:szCs w:val="20"/>
          <w:lang w:val="en-US" w:eastAsia="zh-CN"/>
        </w:rPr>
        <w:t>Hexagonal close-packed</w:t>
      </w:r>
    </w:p>
    <w:p>
      <w:pPr>
        <w:numPr>
          <w:ilvl w:val="0"/>
          <w:numId w:val="0"/>
        </w:numPr>
        <w:jc w:val="left"/>
        <w:rPr>
          <w:rFonts w:hint="default"/>
          <w:sz w:val="20"/>
          <w:szCs w:val="20"/>
          <w:lang w:val="en-US" w:eastAsia="zh-CN"/>
        </w:rPr>
      </w:pPr>
      <w:r>
        <w:rPr>
          <w:sz w:val="20"/>
          <w:szCs w:val="20"/>
        </w:rPr>
        <w:drawing>
          <wp:inline distT="0" distB="0" distL="114300" distR="114300">
            <wp:extent cx="1475740" cy="660400"/>
            <wp:effectExtent l="0" t="0" r="635" b="6350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rcRect t="53128"/>
                    <a:stretch>
                      <a:fillRect/>
                    </a:stretch>
                  </pic:blipFill>
                  <pic:spPr>
                    <a:xfrm>
                      <a:off x="0" y="0"/>
                      <a:ext cx="147574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</w:rPr>
        <w:drawing>
          <wp:inline distT="0" distB="0" distL="114300" distR="114300">
            <wp:extent cx="1891030" cy="268605"/>
            <wp:effectExtent l="0" t="0" r="4445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rcRect t="19316" b="-19316"/>
                    <a:stretch>
                      <a:fillRect/>
                    </a:stretch>
                  </pic:blipFill>
                  <pic:spPr>
                    <a:xfrm>
                      <a:off x="0" y="0"/>
                      <a:ext cx="1891030" cy="26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default" w:ascii="Calibri" w:hAnsi="Calibri" w:cs="Calibri" w:eastAsiaTheme="minorEastAsia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corner atoms被8个晶胞(??)共享</w:t>
      </w:r>
    </w:p>
    <w:p>
      <w:pPr>
        <w:numPr>
          <w:ilvl w:val="0"/>
          <w:numId w:val="0"/>
        </w:numPr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Metallic Bonding解释了：1. </w:t>
      </w:r>
      <w:r>
        <w:rPr>
          <w:rFonts w:hint="default"/>
          <w:sz w:val="20"/>
          <w:szCs w:val="20"/>
          <w:lang w:val="en-US" w:eastAsia="zh-CN"/>
        </w:rPr>
        <w:t>The electrical and thermal conductivity</w:t>
      </w:r>
      <w:r>
        <w:rPr>
          <w:rFonts w:hint="eastAsia"/>
          <w:sz w:val="20"/>
          <w:szCs w:val="20"/>
          <w:lang w:val="en-US" w:eastAsia="zh-CN"/>
        </w:rPr>
        <w:t xml:space="preserve">; 2. </w:t>
      </w:r>
      <w:r>
        <w:rPr>
          <w:rFonts w:hint="default"/>
          <w:sz w:val="20"/>
          <w:szCs w:val="20"/>
          <w:lang w:val="en-US" w:eastAsia="zh-CN"/>
        </w:rPr>
        <w:t>Ductility</w:t>
      </w:r>
      <w:r>
        <w:rPr>
          <w:rFonts w:hint="eastAsia"/>
          <w:sz w:val="20"/>
          <w:szCs w:val="20"/>
          <w:lang w:val="en-US" w:eastAsia="zh-CN"/>
        </w:rPr>
        <w:t>&amp;M</w:t>
      </w:r>
      <w:r>
        <w:rPr>
          <w:rFonts w:hint="default"/>
          <w:sz w:val="20"/>
          <w:szCs w:val="20"/>
          <w:lang w:val="en-US" w:eastAsia="zh-CN"/>
        </w:rPr>
        <w:t>alleability</w:t>
      </w:r>
      <w:r>
        <w:rPr>
          <w:rFonts w:hint="eastAsia"/>
          <w:sz w:val="20"/>
          <w:szCs w:val="20"/>
          <w:lang w:val="en-US" w:eastAsia="zh-CN"/>
        </w:rPr>
        <w:t>延展性×2</w:t>
      </w: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Substitutional alloy</w:t>
      </w: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Interstitial alloy: solute atom塞进空隙空洞里</w:t>
      </w: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Heterogeneous alloy: 化合物分布不一致</w:t>
      </w: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Doping掺杂: 增加半导体导电性</w:t>
      </w: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p-type semiconductors</w:t>
      </w:r>
    </w:p>
    <w:p>
      <w:pPr>
        <w:numPr>
          <w:ilvl w:val="0"/>
          <w:numId w:val="0"/>
        </w:numPr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conduction band: Antibonding MO</w:t>
      </w:r>
    </w:p>
    <w:p>
      <w:pPr>
        <w:numPr>
          <w:ilvl w:val="0"/>
          <w:numId w:val="0"/>
        </w:numPr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Valence band: Bonding MO</w:t>
      </w: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电子必须通过</w:t>
      </w:r>
      <w:r>
        <w:rPr>
          <w:rFonts w:hint="eastAsia"/>
          <w:sz w:val="20"/>
          <w:szCs w:val="20"/>
          <w:lang w:val="en-US" w:eastAsia="zh-CN"/>
        </w:rPr>
        <w:t>conduction band转移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电负性之差↑, Band gap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(E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vertAlign w:val="subscript"/>
          <w:lang w:val="en-US" w:eastAsia="zh-CN"/>
        </w:rPr>
        <w:t>g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 kJ/mol???)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↑</w: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 xml:space="preserve">Quantum dots量子点: </w:t>
      </w:r>
      <w:r>
        <w:rPr>
          <w:rFonts w:hint="eastAsia"/>
          <w:b w:val="0"/>
          <w:bCs w:val="0"/>
          <w:sz w:val="20"/>
          <w:szCs w:val="20"/>
          <w:lang w:val="en-US" w:eastAsia="zh-CN"/>
        </w:rPr>
        <w:t>1–10 nm的半导体</w:t>
      </w:r>
    </w:p>
    <w:p>
      <w:pPr>
        <w:numPr>
          <w:ilvl w:val="0"/>
          <w:numId w:val="0"/>
        </w:numPr>
        <w:jc w:val="left"/>
        <w:rPr>
          <w:rFonts w:hint="default"/>
          <w:b/>
          <w:bCs/>
          <w:sz w:val="20"/>
          <w:szCs w:val="20"/>
          <w:u w:val="single"/>
          <w:lang w:val="en-US" w:eastAsia="zh-CN"/>
        </w:rPr>
      </w:pPr>
      <w:r>
        <w:rPr>
          <w:rFonts w:hint="default"/>
          <w:b/>
          <w:bCs/>
          <w:sz w:val="20"/>
          <w:szCs w:val="20"/>
          <w:u w:val="single"/>
          <w:lang w:val="en-US" w:eastAsia="zh-CN"/>
        </w:rPr>
        <w:t>Graphene</w:t>
      </w:r>
      <w:r>
        <w:rPr>
          <w:rFonts w:hint="eastAsia"/>
          <w:b/>
          <w:bCs/>
          <w:sz w:val="20"/>
          <w:szCs w:val="20"/>
          <w:u w:val="single"/>
          <w:lang w:val="en-US" w:eastAsia="zh-CN"/>
        </w:rPr>
        <w:t xml:space="preserve">(n.)石墨烯             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1454785</wp:posOffset>
            </wp:positionH>
            <wp:positionV relativeFrom="paragraph">
              <wp:posOffset>128270</wp:posOffset>
            </wp:positionV>
            <wp:extent cx="779145" cy="1636395"/>
            <wp:effectExtent l="0" t="0" r="1905" b="1905"/>
            <wp:wrapTight wrapText="bothSides">
              <wp:wrapPolygon>
                <wp:start x="0" y="0"/>
                <wp:lineTo x="0" y="21499"/>
                <wp:lineTo x="21389" y="21499"/>
                <wp:lineTo x="21389" y="0"/>
                <wp:lineTo x="0" y="0"/>
              </wp:wrapPolygon>
            </wp:wrapTight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rcRect l="41195"/>
                    <a:stretch>
                      <a:fillRect/>
                    </a:stretch>
                  </pic:blipFill>
                  <pic:spPr>
                    <a:xfrm>
                      <a:off x="0" y="0"/>
                      <a:ext cx="779145" cy="163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Addition polymers: 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Polyethylene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Polypropylene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Polystyrene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Polyvinyl chloride (PVC)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Condensation polymers: 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Polyurethane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Nylon 6,6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Polycarbonate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Rubber 橡胶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meth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`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yl甲基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；m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eth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`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ane甲烷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meth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`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anol甲醇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di`eth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`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yl二乙基的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；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eth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`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ylene乙烯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glycol乙醇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；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ethylene glycol乙二醇</w:t>
      </w: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Prop`yl丙基</w:t>
      </w: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hydroxyl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羟基</w:t>
      </w: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f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orm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`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ic acid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甲酸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 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a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cet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`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ic acid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乙酸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 prop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`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ion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`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ic acid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丙酸</w:t>
      </w: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Eth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`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yl acet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`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ate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乙酸乙酯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乙醛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Acet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`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aldehyde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ether醚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benzene苯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vertAlign w:val="baseline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SO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vertAlign w:val="subscript"/>
          <w:lang w:val="en-US" w:eastAsia="zh-CN"/>
        </w:rPr>
        <w:t>4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vertAlign w:val="superscript"/>
          <w:lang w:val="en-US" w:eastAsia="zh-CN"/>
        </w:rPr>
        <w:t>2-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vertAlign w:val="baseline"/>
          <w:lang w:val="en-US" w:eastAsia="zh-CN"/>
        </w:rPr>
        <w:t xml:space="preserve"> ：sulfate radical；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SO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vertAlign w:val="subscript"/>
          <w:lang w:val="en-US" w:eastAsia="zh-CN"/>
        </w:rPr>
        <w:t>3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vertAlign w:val="superscript"/>
          <w:lang w:val="en-US" w:eastAsia="zh-CN"/>
        </w:rPr>
        <w:t>2-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vertAlign w:val="baseline"/>
          <w:lang w:val="en-US" w:eastAsia="zh-CN"/>
        </w:rPr>
        <w:t xml:space="preserve"> ：Sulfite</w:t>
      </w: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vertAlign w:val="baseline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CO3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vertAlign w:val="superscript"/>
          <w:lang w:val="en-US" w:eastAsia="zh-CN"/>
        </w:rPr>
        <w:t>2-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vertAlign w:val="baseline"/>
          <w:lang w:val="en-US" w:eastAsia="zh-CN"/>
        </w:rPr>
        <w:t>：</w:t>
      </w: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vertAlign w:val="baseline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vertAlign w:val="baseline"/>
          <w:lang w:val="en-US" w:eastAsia="zh-CN"/>
        </w:rPr>
        <w:t>H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vertAlign w:val="subscript"/>
          <w:lang w:val="en-US" w:eastAsia="zh-CN"/>
        </w:rPr>
        <w:t>2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vertAlign w:val="baseline"/>
          <w:lang w:val="en-US" w:eastAsia="zh-CN"/>
        </w:rPr>
        <w:t>CO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vertAlign w:val="subscript"/>
          <w:lang w:val="en-US" w:eastAsia="zh-CN"/>
        </w:rPr>
        <w:t>3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vertAlign w:val="baseline"/>
          <w:lang w:val="en-US" w:eastAsia="zh-CN"/>
        </w:rPr>
        <w:t>：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vertAlign w:val="baseline"/>
          <w:lang w:val="en-US" w:eastAsia="zh-CN"/>
        </w:rPr>
        <w:t>carbonic acid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vertAlign w:val="baseline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HCO3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vertAlign w:val="superscript"/>
          <w:lang w:val="en-US" w:eastAsia="zh-CN"/>
        </w:rPr>
        <w:t>-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vertAlign w:val="baseline"/>
          <w:lang w:val="en-US" w:eastAsia="zh-CN"/>
        </w:rPr>
        <w:t xml:space="preserve"> ：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vertAlign w:val="baseline"/>
          <w:lang w:val="en-US" w:eastAsia="zh-CN"/>
        </w:rPr>
        <w:t>Bicarbonate ions</w:t>
      </w:r>
      <w:bookmarkStart w:id="0" w:name="_GoBack"/>
      <w:bookmarkEnd w:id="0"/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HCl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 xml:space="preserve"> ：hydrochloride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inpurity杂质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almond杏仁</w:t>
      </w: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Interstitial</w:t>
      </w:r>
      <w:r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空隙</w:t>
      </w: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Solute溶质</w:t>
      </w: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Solvent溶剂</w:t>
      </w: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Oxide</w:t>
      </w:r>
      <w:r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氧化物；</w:t>
      </w: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Denser</w:t>
      </w:r>
      <w:r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密度</w:t>
      </w: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luster光泽；</w:t>
      </w:r>
      <w:r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darkening黯淡</w:t>
      </w: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Ejection (n.)排出, 喷出</w:t>
      </w: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Current (n.)电流</w:t>
      </w: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Relativistic</w:t>
      </w:r>
      <w:r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相对论(性质)的</w:t>
      </w: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photographic感光的</w:t>
      </w: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Subscript (n.)下标；superscript上标</w:t>
      </w: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Align (v.)使对齐</w:t>
      </w: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violate (v.)违反</w:t>
      </w: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Solar cell 太阳能电池</w:t>
      </w: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Vulcanize (v.)硫化</w:t>
      </w: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Entail (v.)需要</w:t>
      </w: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Tank (n.)容器</w:t>
      </w: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eastAsia" w:ascii="Calibri" w:hAnsi="Calibri" w:cs="Calibri"/>
          <w:b w:val="0"/>
          <w:bCs w:val="0"/>
          <w:i w:val="0"/>
          <w:iCs w:val="0"/>
          <w:sz w:val="20"/>
          <w:szCs w:val="20"/>
          <w:lang w:val="en-US" w:eastAsia="zh-CN"/>
        </w:rPr>
        <w:t>Heterogeneous (adj.)由很多种类组成的</w:t>
      </w:r>
    </w:p>
    <w:p>
      <w:pPr>
        <w:jc w:val="left"/>
        <w:rPr>
          <w:sz w:val="20"/>
          <w:szCs w:val="20"/>
        </w:rPr>
      </w:pPr>
      <w:r>
        <w:rPr>
          <w:rFonts w:hint="eastAsia" w:ascii="Calibri" w:hAnsi="Calibri" w:eastAsia="宋体" w:cs="Calibri"/>
          <w:b w:val="0"/>
          <w:bCs w:val="0"/>
          <w:i w:val="0"/>
          <w:iCs w:val="0"/>
          <w:sz w:val="20"/>
          <w:szCs w:val="20"/>
          <w:lang w:val="en-US" w:eastAsia="zh-CN"/>
        </w:rPr>
        <w:t>depict描绘</w:t>
      </w:r>
    </w:p>
    <w:sectPr>
      <w:pgSz w:w="11906" w:h="16838"/>
      <w:pgMar w:top="425" w:right="425" w:bottom="425" w:left="425" w:header="851" w:footer="992" w:gutter="0"/>
      <w:cols w:equalWidth="0" w:num="3" w:sep="1">
        <w:col w:w="3501" w:space="425"/>
        <w:col w:w="3205" w:space="425"/>
        <w:col w:w="3500"/>
      </w:cols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D0B27"/>
    <w:rsid w:val="005A3F14"/>
    <w:rsid w:val="01303342"/>
    <w:rsid w:val="02D964E5"/>
    <w:rsid w:val="080916A2"/>
    <w:rsid w:val="0B1F7071"/>
    <w:rsid w:val="0B650423"/>
    <w:rsid w:val="0BA02099"/>
    <w:rsid w:val="0BD940EF"/>
    <w:rsid w:val="0E346395"/>
    <w:rsid w:val="0F0C4358"/>
    <w:rsid w:val="13011E09"/>
    <w:rsid w:val="135166B0"/>
    <w:rsid w:val="13782BA8"/>
    <w:rsid w:val="13AA052F"/>
    <w:rsid w:val="160777BB"/>
    <w:rsid w:val="18CC7A98"/>
    <w:rsid w:val="1BD266F5"/>
    <w:rsid w:val="234864CF"/>
    <w:rsid w:val="25A828C2"/>
    <w:rsid w:val="28037112"/>
    <w:rsid w:val="282A5F34"/>
    <w:rsid w:val="29796022"/>
    <w:rsid w:val="2E7668E9"/>
    <w:rsid w:val="2EA825FC"/>
    <w:rsid w:val="328E6283"/>
    <w:rsid w:val="32C93F29"/>
    <w:rsid w:val="348D2533"/>
    <w:rsid w:val="38883D9A"/>
    <w:rsid w:val="3A897AE9"/>
    <w:rsid w:val="3C153099"/>
    <w:rsid w:val="3C852B62"/>
    <w:rsid w:val="3D143155"/>
    <w:rsid w:val="3E951708"/>
    <w:rsid w:val="404C1297"/>
    <w:rsid w:val="416702B8"/>
    <w:rsid w:val="418E52DC"/>
    <w:rsid w:val="41D46230"/>
    <w:rsid w:val="43291F7C"/>
    <w:rsid w:val="46590E50"/>
    <w:rsid w:val="471776CD"/>
    <w:rsid w:val="485C2F98"/>
    <w:rsid w:val="49373A6E"/>
    <w:rsid w:val="499C35C4"/>
    <w:rsid w:val="5173455C"/>
    <w:rsid w:val="53A60292"/>
    <w:rsid w:val="55FD1C33"/>
    <w:rsid w:val="56717721"/>
    <w:rsid w:val="5BAB0123"/>
    <w:rsid w:val="5DC57D59"/>
    <w:rsid w:val="64F62CBC"/>
    <w:rsid w:val="67D1307E"/>
    <w:rsid w:val="6BE854C4"/>
    <w:rsid w:val="6E81107A"/>
    <w:rsid w:val="6EB424E4"/>
    <w:rsid w:val="70A267FC"/>
    <w:rsid w:val="71BE33EE"/>
    <w:rsid w:val="74981BF2"/>
    <w:rsid w:val="75F1295F"/>
    <w:rsid w:val="7A69760E"/>
    <w:rsid w:val="7C6C67D2"/>
    <w:rsid w:val="7F3F6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1"/>
    <w:pPr>
      <w:spacing w:before="1"/>
      <w:ind w:left="540" w:hanging="42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Office_11.1.0.10943_F1E327BC-269C-435d-A152-05C5408002CA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2022-10-28T04:37:26Z</dcterms:created>
  <dc:creator>guoke</dc:creator>
  <cp:lastModifiedBy>CLL？？？？</cp:lastModifiedBy>
  <dcterms:modified xsi:type="dcterms:W3CDTF">2022-10-28T05:42:51Z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2052-11.1.0.10943</vt:lpwstr>
  </property>
  <property fmtid="{D5CDD505-2E9C-101B-9397-08002B2CF9AE}" pid="3" name="ICV">
    <vt:lpwstr>1DACA515CA1B40D5AA2EF5AF3A7B5E32</vt:lpwstr>
  </property>
</Properties>
</file>