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[1]，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727637"/>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727637"/>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4.2节所述扩展模型将当前状态向量与Transformer历史特征先行拼接，并将拼接结果输入一组独立的全连接动作头。</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模型训练通过连续执行多次仿真推进。本文将从环境初始化开始，经过若干天连续运行，直至触发第2.1节所述终止条件的一次完整仿真记为一个回合（episode）。一个回合包含若干天，每一天均依次执行P1-P6六个阶段。由多个回合构成的整体训练流程如图3-2所示。</w:t>
      </w:r>
    </w:p>
    <w:p>
      <w:pPr>
        <w:ind w:firstLine="420"/>
        <w:jc w:val="center"/>
        <w:rPr>
          <w:lang w:eastAsia="zh-CN"/>
        </w:rPr>
      </w:pPr>
      <w:r>
        <w:drawing>
          <wp:inline xmlns:a="http://schemas.openxmlformats.org/drawingml/2006/main" xmlns:pic="http://schemas.openxmlformats.org/drawingml/2006/picture">
            <wp:extent cx="5486400" cy="2579303"/>
            <wp:docPr id="2068173013" name="Picture 2068173013"/>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28"/>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图3-2  模型训练中的多回合仿真流程</w:t>
      </w:r>
    </w:p>
    <w:p>
      <w:pPr>
        <w:ind w:firstLine="420"/>
        <w:rPr>
          <w:lang w:eastAsia="zh-CN"/>
        </w:rPr>
      </w:pPr>
      <w:r>
        <w:rPr>
          <w:lang w:eastAsia="zh-CN"/>
        </w:rPr>
        <w:t>当一个回合结束时，系统重置仿真环境和各主体属性，并以新的初始状态开始下一回合。生产企业主体的Actor、Critic和判别器参数以及经验池不随环境重置而清空，而是在跨回合交互中持续更新。交互过程中产生的状态、动作、奖励、下一状态和终止标记被写入经验池，从而将单个回合内的环境演化与跨回合的模型训练衔接起来。</w:t>
      </w:r>
    </w:p>
    <w:p>
      <w:pPr>
        <w:ind w:firstLine="420"/>
        <w:rPr>
          <w:lang w:eastAsia="zh-CN"/>
        </w:rPr>
      </w:pPr>
      <w:r>
        <w:rPr>
          <w:lang w:eastAsia="zh-CN"/>
        </w:rPr>
        <w:t>在上述多回合交互框架下，本文基于第3.1节定义的Actor、专家样本和在线经验样本，将生成对抗模仿学习引入生产企业主体的TD3训练过程。生产企业Actor同时承担TD3策略网络和GAIL生成器的作用；经验池中的生产企业交互样本为判别器训练、模仿奖励构造和Critic价值估计提供统一的数据接口。</w:t>
      </w:r>
    </w:p>
    <w:p w14:paraId="0CEA4AC5" w14:textId="77777777" w:rsidR="00636361" w:rsidRDefault="00000000" w:rsidP="00106600">
      <w:pPr>
        <w:ind w:firstLine="420"/>
        <w:rPr>
          <w:lang w:eastAsia="zh-CN"/>
        </w:rPr>
      </w:pPr>
      <w:r>
        <w:rPr>
          <w:lang w:eastAsia="zh-CN"/>
        </w:rPr>
        <w:t>图3-3进一步展示了生成对抗模仿学习与TD3的联合训练流程。专家行为样本为判别器提供专家分布参照，生产企业在线交互形成的状态-动作对构成生成样本。判别器根据两类样本之间的差异产生模仿奖励；该奖励与环境奖励融合后进入Critic目标值计算，并通过Critic对策略动作的价值估计影响Actor更新。模仿学习信号在训练过程中的传递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图3-3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本文将历史序列所包含的时间步数定义为序列长度，并记为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前的状态向量。当回合初期可用历史序列的时间步数不足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本文将历史序列经过线性映射、Transformer编码和末时刻特征读取后所得向量的维数定义为表征维度。该参数决定历史特征进入后续拼接模块或判别器输出头时的特征规模。三条分支的Transformer编码器均采用单层结构和可学习的位置嵌入，其主要参数设置见表4-1。Actor与Critic分支的表征维度均为32，判别器分支的表征维度为100；三个分支的序列长度均为5，注意力头数均为1。各分支分别维护独立的线性映射、位置嵌入、Transformer编码器和归一化参数，彼此不共享参数。</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640"/>
        <w:jc w:val="center"/>
        <w:tblLayout w:type="fixed"/>
        <w:tblLook w:firstColumn="1" w:firstRow="1" w:lastColumn="0" w:lastRow="0" w:noHBand="0" w:noVBand="1" w:val="04A0"/>
      </w:tblPr>
      <w:tblGrid>
        <w:gridCol w:w="1152"/>
        <w:gridCol w:w="3096"/>
        <w:gridCol w:w="1584"/>
        <w:gridCol w:w="1440"/>
        <w:gridCol w:w="1368"/>
      </w:tblGrid>
      <w:tr>
        <w:tc>
          <w:tcPr>
            <w:tcW w:type="dxa" w:w="1152"/>
            <w:vAlign w:val="center"/>
            <w:tcBorders>
              <w:left w:val="nil"/>
              <w:right w:val="nil"/>
              <w:insideH w:val="nil"/>
              <w:insideV w:val="nil"/>
              <w:top w:val="single" w:sz="10" w:space="0" w:color="000000"/>
              <w:bottom w:val="single" w:sz="6" w:space="0" w:color="000000"/>
            </w:tcBorders>
          </w:tcPr>
          <w:p>
            <w:pPr>
              <w:jc w:val="center"/>
            </w:pPr>
            <w:r>
              <w:t>分支</w:t>
            </w:r>
          </w:p>
        </w:tc>
        <w:tc>
          <w:tcPr>
            <w:tcW w:type="dxa" w:w="3096"/>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584"/>
            <w:vAlign w:val="center"/>
            <w:tcBorders>
              <w:left w:val="nil"/>
              <w:right w:val="nil"/>
              <w:insideH w:val="nil"/>
              <w:insideV w:val="nil"/>
              <w:top w:val="single" w:sz="10" w:space="0" w:color="000000"/>
              <w:bottom w:val="single" w:sz="6" w:space="0" w:color="000000"/>
            </w:tcBorders>
          </w:tcPr>
          <w:p>
            <w:pPr>
              <w:jc w:val="center"/>
            </w:pPr>
            <w:r>
              <w:t>序列长度（l）</w:t>
            </w:r>
          </w:p>
        </w:tc>
        <w:tc>
          <w:tcPr>
            <w:tcW w:type="dxa" w:w="1440"/>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1368"/>
            <w:vAlign w:val="center"/>
            <w:tcBorders>
              <w:left w:val="nil"/>
              <w:right w:val="nil"/>
              <w:insideH w:val="nil"/>
              <w:insideV w:val="nil"/>
              <w:top w:val="single" w:sz="10" w:space="0" w:color="000000"/>
              <w:bottom w:val="single" w:sz="6" w:space="0" w:color="000000"/>
            </w:tcBorders>
          </w:tcPr>
          <w:p>
            <w:pPr>
              <w:jc w:val="center"/>
            </w:pPr>
            <w:r>
              <w:t>表征维度</w:t>
            </w:r>
          </w:p>
        </w:tc>
      </w:tr>
      <w:tr>
        <w:tc>
          <w:tcPr>
            <w:tcW w:type="dxa" w:w="1152"/>
            <w:vAlign w:val="center"/>
            <w:tcBorders>
              <w:left w:val="nil"/>
              <w:right w:val="nil"/>
              <w:insideH w:val="nil"/>
              <w:insideV w:val="nil"/>
              <w:top w:val="nil"/>
              <w:bottom w:val="nil"/>
            </w:tcBorders>
          </w:tcPr>
          <w:p>
            <w:pPr>
              <w:jc w:val="center"/>
            </w:pPr>
            <w:r>
              <w:rPr>
                <w:rFonts w:hint="eastAsia"/>
                <w:b w:val="0"/>
                <w:bCs w:val="0"/>
              </w:rPr>
              <w:t>Actor</w:t>
            </w:r>
          </w:p>
        </w:tc>
        <w:tc>
          <w:tcPr>
            <w:tcW w:type="dxa" w:w="3096"/>
            <w:vAlign w:val="center"/>
            <w:tcBorders>
              <w:left w:val="nil"/>
              <w:right w:val="nil"/>
              <w:insideH w:val="nil"/>
              <w:insideV w:val="nil"/>
              <w:top w:val="nil"/>
              <w:bottom w:val="nil"/>
            </w:tcBorders>
          </w:tcPr>
          <w:p>
            <w:pPr>
              <w:jc w:val="center"/>
            </w:pPr>
            <w:r>
              <w:rPr>
                <w:rFonts w:hint="eastAsia"/>
                <w:b w:val="0"/>
                <w:bCs w:val="0"/>
              </w:rPr>
              <w:t>状态序列</w:t>
            </w:r>
          </w:p>
        </w:tc>
        <w:tc>
          <w:tcPr>
            <w:tcW w:type="dxa" w:w="1584"/>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368"/>
            <w:vAlign w:val="center"/>
            <w:tcBorders>
              <w:left w:val="nil"/>
              <w:right w:val="nil"/>
              <w:insideH w:val="nil"/>
              <w:insideV w:val="nil"/>
              <w:top w:val="nil"/>
              <w:bottom w:val="nil"/>
            </w:tcBorders>
          </w:tcPr>
          <w:p>
            <w:pPr>
              <w:jc w:val="center"/>
            </w:pPr>
            <w:r>
              <w:rPr>
                <w:rFonts w:hint="eastAsia"/>
                <w:b w:val="0"/>
                <w:bCs w:val="0"/>
              </w:rPr>
              <w:t>32</w:t>
            </w:r>
          </w:p>
        </w:tc>
      </w:tr>
      <w:tr>
        <w:tc>
          <w:tcPr>
            <w:tcW w:type="dxa" w:w="1152"/>
            <w:vAlign w:val="center"/>
            <w:tcBorders>
              <w:left w:val="nil"/>
              <w:right w:val="nil"/>
              <w:insideH w:val="nil"/>
              <w:insideV w:val="nil"/>
              <w:top w:val="nil"/>
              <w:bottom w:val="nil"/>
            </w:tcBorders>
          </w:tcPr>
          <w:p>
            <w:pPr>
              <w:jc w:val="center"/>
            </w:pPr>
            <w:r>
              <w:rPr>
                <w:rFonts w:hint="eastAsia"/>
                <w:b w:val="0"/>
                <w:bCs w:val="0"/>
              </w:rPr>
              <w:t>Critic</w:t>
            </w:r>
          </w:p>
        </w:tc>
        <w:tc>
          <w:tcPr>
            <w:tcW w:type="dxa" w:w="3096"/>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584"/>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368"/>
            <w:vAlign w:val="center"/>
            <w:tcBorders>
              <w:left w:val="nil"/>
              <w:right w:val="nil"/>
              <w:insideH w:val="nil"/>
              <w:insideV w:val="nil"/>
              <w:top w:val="nil"/>
              <w:bottom w:val="nil"/>
            </w:tcBorders>
          </w:tcPr>
          <w:p>
            <w:pPr>
              <w:jc w:val="center"/>
            </w:pPr>
            <w:r>
              <w:rPr>
                <w:rFonts w:hint="eastAsia"/>
                <w:b w:val="0"/>
                <w:bCs w:val="0"/>
              </w:rPr>
              <w:t>32</w:t>
            </w:r>
          </w:p>
        </w:tc>
      </w:tr>
      <w:tr>
        <w:tc>
          <w:tcPr>
            <w:tcW w:type="dxa" w:w="1152"/>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3096"/>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584"/>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1440"/>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368"/>
            <w:vAlign w:val="center"/>
            <w:tcBorders>
              <w:left w:val="nil"/>
              <w:right w:val="nil"/>
              <w:insideH w:val="nil"/>
              <w:insideV w:val="nil"/>
              <w:top w:val="nil"/>
              <w:bottom w:val="single" w:sz="10" w:space="0" w:color="000000"/>
            </w:tcBorders>
          </w:tcPr>
          <w:p>
            <w:pPr>
              <w:jc w:val="center"/>
            </w:pPr>
            <w:r>
              <w:rPr>
                <w:rFonts w:hint="eastAsia"/>
                <w:b w:val="0"/>
                <w:bCs w:val="0"/>
              </w:rPr>
              <w:t>100</w:t>
            </w:r>
          </w:p>
        </w:tc>
      </w:tr>
    </w:tbl>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486400" cy="6009455"/>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486400" cy="6009455"/>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为统一描述Actor、Critic和判别器三个分支中结构相同的历史信息处理过程，本文将序列嵌入、Transformer编码和末时刻特征读取抽象为基于Transformer的历史序列表征模块。三个分支分别实例化该模块，各实例采用相同的网络拓扑，但参数彼此独立。图4-1在下方集中给出了该模块的内部结构，并在上方展示三个模块实例与各分支任务输出之间的连接关系。在表4-1所列参数设置下，Actor分支以历史状态序列作为表征模块的输入。每一个状态向量先经过线性映射进入隐藏空间，再与可学习的位置嵌入相加。随后，单层Transformer编码器对历史窗口进行编码。编码器输出的最后一个时间位置向量经归一化后形成32维历史状态特征。该特征与33维当前状态向量拼接为65维联合输入，并由独立的128-32-4全连接动作头生成连续动作。该过程定义如下：</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按回合组织为历史窗口，生成样本由生产企业在线交互轨迹按回合位置构造。每个时间位置的33维状态与4维动作组成37维状态—动作向量，该向量经线性映射进入100维隐藏空间，并与可学习的位置嵌入相加。单层Transformer编码器对长度为5的窗口进行编码，最后一个时间位置的编码结果经归一化后形成100维历史状态—动作特征。判别器输出头将该特征映射为logits，并经Sigmoid函数得到专家概率。其形式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4.3 历史表征模块与联合训练</w:t>
      </w:r>
    </w:p>
    <w:p w14:paraId="04334986" w14:textId="7EB1EC5B" w:rsidR="00D80834" w:rsidRDefault="00D80834" w:rsidP="00106600">
      <w:pPr>
        <w:ind w:firstLine="420"/>
        <w:rPr>
          <w:lang w:eastAsia="zh-CN"/>
        </w:rPr>
      </w:pPr>
      <w:r>
        <w:rPr>
          <w:lang w:eastAsia="zh-CN"/>
        </w:rPr>
        <w:t>在Transformer+GAIL+TD3的联合训练过程中，Actor、Critic和判别器分别接入基于Transformer的历史序列表征模块。Actor分支将当前状态与历史状态特征拼接后输入独立动作头；Critic分支将当前状态—动作对与历史状态—动作特征拼接后输入双Q值估计分支；判别器分支根据历史状态—动作窗口输出专家概率。奖励融合、Actor-Critic参数更新顺序和环境交互过程采用第3章所述的训练方式。</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上述接入方式使历史序列信息分别参与动作生成、价值估计和样本判别。判别器产生的模仿奖励按照第3章定义的融合路径进入Critic目标值，并通过Critic对策略动作的价值估计影响Actor更新，从而将历史序列表征纳入GAIL与TD3的联合训练过程。</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本次实验中的模仿学习与历史表征改进均应用于生产企业主体，消费企业主体和银行主体在三种模型中保持既有TD3决策流程，以控制非目标主体决策机制变化对比较结果的影响。GAIL+TD3和Transformer+GAIL+TD3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TD3、GAIL+TD3各8组；Transformer+GAIL+TD3为7组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各模型独立运行的均值及均值上下1个SEM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S表示对应模型纳入统计的独立运行次数；r表示独立运行编号；μ表示第k个评估时刻的平均存活天数均值；q表示目标存活天数，本文分别取80天和90天；T表示均值曲线达到目标值所需的评估时刻。较小的T表示模型以较少的训练回合达到目标存活水平。若均值曲线截至第60个评估时刻仍未满足连续3个评估时刻均不低于目标值的条件，则记为“未达到”。</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随机种子”。TD3与GAIL+TD3分别在8组随机种子下独立运行，Transformer+GAIL+TD3的统计分析纳入7组独立运行。每种模型据此形成相应数量的指标序列。本文在每个评估时刻计算同一模型各次独立运行结果的算术平均值，并以该均值作为曲线值。均值标准误（SEM: Standard Error of the Mean）用于描述各模型独立运行均值的不确定性，其定义为：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式中，s表示同一模型各次独立运行结果的样本标准差，S表示该模型纳入统计的独立运行次数。训练曲线中的实线表示同一模型各次独立运行的均值，阴影表示均值上下1个SEM。</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和累计归一化学习曲线下面积三项指标上的均值曲线及SEM阴影。其中，图6-1(a)中的水平虚线表示表5-1所列专家轨迹的合计平均存活天数，其数值为97.99天。为定量比较三种模型的训练表现，本文对每次独立运行在最后20个评估时刻的平均存活天数和生产企业累计收益分别取均值，再在各模型纳入统计的独立运行之间计算总体均值和SEM；累计归一化学习曲线下面积采用第60个评估时刻的数值；学习速度采用平均存活天数均值曲线达到80天和90天所需的评估时刻。表6-2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81.50（±3.05%）</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80.71（±5.38%）</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97.20（±0.94%）</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205.43K（±29.43%）</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126.35K（±20.57%）</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172.24K（±18.84%）</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0.435（±3.92%）</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0.683（±5.11%）</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0.813（±1.90%）</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平均存活天数和生产企业累计收益为每次独立运行最后20个评估时刻的均值，再对各模型纳入统计的独立运行进行统计；nAULC采用第60个评估时刻的数值。括号内为相对SEM，K表示10³。学习速度依据各模型独立运行的平均存活天数均值曲线计算；“未达到”表示均值曲线截至第60个评估时刻仍未连续3个评估时刻达到相应目标值。</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6-2中的具体数值显示，Transformer+GAIL+TD3达到80天所需的评估时刻由GAIL+TD3的第17个缩短至第12个，并在第17个评估时刻达到连续3个评估时刻不低于90天的条件，而GAIL+TD3在前60个评估时刻内未达到该条件。引入Transformer编码器后，最终稳定平均存活天数由80.71天提高至97.20天，与专家轨迹平均值的差距由17.28天缩小至0.80天，缩小幅度约为95.4%。第60个评估时刻的累计归一化学习曲线下面积由0.683提高至0.813，增幅约为19.2%；生产企业最终稳定累计收益由126.35K提高至172.24K。这些统计结果表明，在本文实验设置下，历史状态表征增强了模型对连续交互信息的利用，并进一步缩小了模型运行结果与专家轨迹之间的差距。</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0.80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TD3主体决策模型基础上引入生成对抗模仿学习，并采用Transformer编码器增强生产企业主体的历史状态表征。本文通过人工行为采集系统整理专家状态—动作数据，比较了TD3、GAIL+TD3和Transformer+GAIL+TD3三种主体训练方案的训练过程与系统运行结果。主要研究结论如下。</w:t>
      </w:r>
    </w:p>
    <w:p w14:paraId="39145297" w14:textId="77777777" w:rsidR="001E0DA4" w:rsidRDefault="001E0DA4" w:rsidP="001E0DA4">
      <w:pPr>
        <w:ind w:firstLine="420"/>
        <w:rPr>
          <w:lang w:eastAsia="zh-CN"/>
        </w:rPr>
      </w:pPr>
      <w:r>
        <w:rPr>
          <w:lang w:eastAsia="zh-CN"/>
        </w:rPr>
        <w:t>首先，生成对抗模仿学习信号提高了生产企业主体的前期学习效率。专家状态—动作样本经判别器形成的模仿奖励为策略更新提供了行为参照，使生产企业主体能够以较少的训练回合形成有效策略，并在训练全过程中保持较高的累积平均存活表现。</w:t>
      </w:r>
    </w:p>
    <w:p w14:paraId="5BB13987" w14:textId="77777777" w:rsidR="001E0DA4" w:rsidRDefault="001E0DA4" w:rsidP="001E0DA4">
      <w:pPr>
        <w:ind w:firstLine="420"/>
        <w:rPr>
          <w:lang w:eastAsia="zh-CN"/>
        </w:rPr>
      </w:pPr>
      <w:r>
        <w:rPr>
          <w:lang w:eastAsia="zh-CN"/>
        </w:rPr>
        <w:t>其次，Transformer编码器增强了生产企业主体对历史交互信息的表征能力。历史状态序列的引入进一步改善了模型的学习速度、稳定阶段存活水平和生产企业经营表现，使系统平均存活水平更加接近专家轨迹。</w:t>
      </w:r>
    </w:p>
    <w:p w14:paraId="1F4A0248" w14:textId="38F8E59B" w:rsidR="00815AAA" w:rsidRDefault="001E0DA4" w:rsidP="001E0DA4">
      <w:pPr>
        <w:ind w:firstLine="420"/>
        <w:rPr>
          <w:lang w:eastAsia="zh-CN"/>
        </w:rPr>
      </w:pPr>
      <w:r>
        <w:rPr>
          <w:lang w:eastAsia="zh-CN"/>
        </w:rPr>
        <w:t>最后，生产企业偿债风险分析表明，模仿学习信号与历史状态表征的引入对应着更低的当期偿债缺口观测比例。该结果说明，改进后的主体训练方案在促进策略学习的同时，有助于生产企业维持现金流与债务偿付之间的协调。</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