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727637"/>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727637"/>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4.2节所述扩展模型将当前状态向量与Transformer历史特征先行拼接，并将拼接结果输入一组独立的全连接动作头。</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模型训练通过连续执行多次仿真推进。本文将从环境初始化开始，经过若干天连续运行，直至触发第2.1节所述终止条件的一次完整仿真记为一个回合（episode）。一个回合包含若干天，每一天均依次执行P1-P6六个阶段。由多个回合构成的整体训练流程如图3-2所示。</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经验池中的生产企业交互样本为判别器训练、模仿奖励构造和Critic价值估计提供统一的数据接口。</w:t>
      </w:r>
    </w:p>
    <w:p w14:paraId="0CEA4AC5" w14:textId="77777777" w:rsidR="00636361" w:rsidRDefault="00000000" w:rsidP="00106600">
      <w:pPr>
        <w:ind w:firstLine="420"/>
        <w:rPr>
          <w:lang w:eastAsia="zh-CN"/>
        </w:rPr>
      </w:pPr>
      <w:r>
        <w:rPr>
          <w:lang w:eastAsia="zh-CN"/>
        </w:rPr>
        <w:t>图3-3进一步展示了生成对抗模仿学习与TD3的联合训练流程。专家行为样本为判别器提供专家分布参照，生产企业在线交互形成的状态-动作对构成生成样本。判别器根据两类样本之间的差异产生模仿奖励；该奖励与环境奖励融合后进入Critic目标值计算，并通过Critic对策略动作的价值估计影响Actor更新。模仿学习信号在训练过程中的传递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本文将历史序列经过线性映射、Transformer编码和末时刻特征读取后所得向量的维数定义为表征维度。该参数决定历史特征进入后续拼接模块或判别器输出头时的特征规模。三条分支的Transformer编码器均采用单层结构和可学习的位置嵌入，其主要参数设置见表4-1。Actor与Critic分支的表征维度均为32，判别器分支的表征维度为100；三个分支的序列长度均为5，注意力头数均为1。各分支分别维护独立的线性映射、位置嵌入、Transformer编码器和归一化参数，彼此不共享参数。</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640"/>
        <w:jc w:val="center"/>
        <w:tblLayout w:type="fixed"/>
        <w:tblLook w:firstColumn="1" w:firstRow="1" w:lastColumn="0" w:lastRow="0" w:noHBand="0" w:noVBand="1" w:val="04A0"/>
      </w:tblPr>
      <w:tblGrid>
        <w:gridCol w:w="1152"/>
        <w:gridCol w:w="3096"/>
        <w:gridCol w:w="1584"/>
        <w:gridCol w:w="1440"/>
        <w:gridCol w:w="1368"/>
      </w:tblGrid>
      <w:tr>
        <w:tc>
          <w:tcPr>
            <w:tcW w:type="dxa" w:w="1152"/>
            <w:vAlign w:val="center"/>
            <w:tcBorders>
              <w:left w:val="nil"/>
              <w:right w:val="nil"/>
              <w:insideH w:val="nil"/>
              <w:insideV w:val="nil"/>
              <w:top w:val="single" w:sz="10" w:space="0" w:color="000000"/>
              <w:bottom w:val="single" w:sz="6" w:space="0" w:color="000000"/>
            </w:tcBorders>
          </w:tcPr>
          <w:p>
            <w:pPr>
              <w:jc w:val="center"/>
            </w:pPr>
            <w:r>
              <w:t>分支</w:t>
            </w:r>
          </w:p>
        </w:tc>
        <w:tc>
          <w:tcPr>
            <w:tcW w:type="dxa" w:w="3096"/>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584"/>
            <w:vAlign w:val="center"/>
            <w:tcBorders>
              <w:left w:val="nil"/>
              <w:right w:val="nil"/>
              <w:insideH w:val="nil"/>
              <w:insideV w:val="nil"/>
              <w:top w:val="single" w:sz="10" w:space="0" w:color="000000"/>
              <w:bottom w:val="single" w:sz="6" w:space="0" w:color="000000"/>
            </w:tcBorders>
          </w:tcPr>
          <w:p>
            <w:pPr>
              <w:jc w:val="center"/>
            </w:pPr>
            <w:r>
              <w:t>序列长度（l）</w:t>
            </w:r>
          </w:p>
        </w:tc>
        <w:tc>
          <w:tcPr>
            <w:tcW w:type="dxa" w:w="1440"/>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1368"/>
            <w:vAlign w:val="center"/>
            <w:tcBorders>
              <w:left w:val="nil"/>
              <w:right w:val="nil"/>
              <w:insideH w:val="nil"/>
              <w:insideV w:val="nil"/>
              <w:top w:val="single" w:sz="10" w:space="0" w:color="000000"/>
              <w:bottom w:val="single" w:sz="6" w:space="0" w:color="000000"/>
            </w:tcBorders>
          </w:tcPr>
          <w:p>
            <w:pPr>
              <w:jc w:val="center"/>
            </w:pPr>
            <w:r>
              <w:t>表征维度</w:t>
            </w:r>
          </w:p>
        </w:tc>
      </w:tr>
      <w:tr>
        <w:tc>
          <w:tcPr>
            <w:tcW w:type="dxa" w:w="1152"/>
            <w:vAlign w:val="center"/>
            <w:tcBorders>
              <w:left w:val="nil"/>
              <w:right w:val="nil"/>
              <w:insideH w:val="nil"/>
              <w:insideV w:val="nil"/>
              <w:top w:val="nil"/>
              <w:bottom w:val="nil"/>
            </w:tcBorders>
          </w:tcPr>
          <w:p>
            <w:pPr>
              <w:jc w:val="center"/>
            </w:pPr>
            <w:r>
              <w:rPr>
                <w:rFonts w:hint="eastAsia"/>
                <w:b w:val="0"/>
                <w:bCs w:val="0"/>
              </w:rPr>
              <w:t>Actor</w:t>
            </w:r>
          </w:p>
        </w:tc>
        <w:tc>
          <w:tcPr>
            <w:tcW w:type="dxa" w:w="3096"/>
            <w:vAlign w:val="center"/>
            <w:tcBorders>
              <w:left w:val="nil"/>
              <w:right w:val="nil"/>
              <w:insideH w:val="nil"/>
              <w:insideV w:val="nil"/>
              <w:top w:val="nil"/>
              <w:bottom w:val="nil"/>
            </w:tcBorders>
          </w:tcPr>
          <w:p>
            <w:pPr>
              <w:jc w:val="center"/>
            </w:pPr>
            <w:r>
              <w:rPr>
                <w:rFonts w:hint="eastAsia"/>
                <w:b w:val="0"/>
                <w:bCs w:val="0"/>
              </w:rPr>
              <w:t>状态序列</w:t>
            </w:r>
          </w:p>
        </w:tc>
        <w:tc>
          <w:tcPr>
            <w:tcW w:type="dxa" w:w="1584"/>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368"/>
            <w:vAlign w:val="center"/>
            <w:tcBorders>
              <w:left w:val="nil"/>
              <w:right w:val="nil"/>
              <w:insideH w:val="nil"/>
              <w:insideV w:val="nil"/>
              <w:top w:val="nil"/>
              <w:bottom w:val="nil"/>
            </w:tcBorders>
          </w:tcPr>
          <w:p>
            <w:pPr>
              <w:jc w:val="center"/>
            </w:pPr>
            <w:r>
              <w:rPr>
                <w:rFonts w:hint="eastAsia"/>
                <w:b w:val="0"/>
                <w:bCs w:val="0"/>
              </w:rPr>
              <w:t>32</w:t>
            </w:r>
          </w:p>
        </w:tc>
      </w:tr>
      <w:tr>
        <w:tc>
          <w:tcPr>
            <w:tcW w:type="dxa" w:w="1152"/>
            <w:vAlign w:val="center"/>
            <w:tcBorders>
              <w:left w:val="nil"/>
              <w:right w:val="nil"/>
              <w:insideH w:val="nil"/>
              <w:insideV w:val="nil"/>
              <w:top w:val="nil"/>
              <w:bottom w:val="nil"/>
            </w:tcBorders>
          </w:tcPr>
          <w:p>
            <w:pPr>
              <w:jc w:val="center"/>
            </w:pPr>
            <w:r>
              <w:rPr>
                <w:rFonts w:hint="eastAsia"/>
                <w:b w:val="0"/>
                <w:bCs w:val="0"/>
              </w:rPr>
              <w:t>Critic</w:t>
            </w:r>
          </w:p>
        </w:tc>
        <w:tc>
          <w:tcPr>
            <w:tcW w:type="dxa" w:w="3096"/>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584"/>
            <w:vAlign w:val="center"/>
            <w:tcBorders>
              <w:left w:val="nil"/>
              <w:right w:val="nil"/>
              <w:insideH w:val="nil"/>
              <w:insideV w:val="nil"/>
              <w:top w:val="nil"/>
              <w:bottom w:val="nil"/>
            </w:tcBorders>
          </w:tcPr>
          <w:p>
            <w:pPr>
              <w:jc w:val="center"/>
            </w:pPr>
            <w:r>
              <w:rPr>
                <w:rFonts w:hint="eastAsia"/>
                <w:b w:val="0"/>
                <w:bCs w:val="0"/>
              </w:rPr>
              <w:t>5</w:t>
            </w:r>
          </w:p>
        </w:tc>
        <w:tc>
          <w:tcPr>
            <w:tcW w:type="dxa" w:w="1440"/>
            <w:vAlign w:val="center"/>
            <w:tcBorders>
              <w:left w:val="nil"/>
              <w:right w:val="nil"/>
              <w:insideH w:val="nil"/>
              <w:insideV w:val="nil"/>
              <w:top w:val="nil"/>
              <w:bottom w:val="nil"/>
            </w:tcBorders>
          </w:tcPr>
          <w:p>
            <w:pPr>
              <w:jc w:val="center"/>
            </w:pPr>
            <w:r>
              <w:rPr>
                <w:rFonts w:hint="eastAsia"/>
                <w:b w:val="0"/>
                <w:bCs w:val="0"/>
              </w:rPr>
              <w:t>1</w:t>
            </w:r>
          </w:p>
        </w:tc>
        <w:tc>
          <w:tcPr>
            <w:tcW w:type="dxa" w:w="1368"/>
            <w:vAlign w:val="center"/>
            <w:tcBorders>
              <w:left w:val="nil"/>
              <w:right w:val="nil"/>
              <w:insideH w:val="nil"/>
              <w:insideV w:val="nil"/>
              <w:top w:val="nil"/>
              <w:bottom w:val="nil"/>
            </w:tcBorders>
          </w:tcPr>
          <w:p>
            <w:pPr>
              <w:jc w:val="center"/>
            </w:pPr>
            <w:r>
              <w:rPr>
                <w:rFonts w:hint="eastAsia"/>
                <w:b w:val="0"/>
                <w:bCs w:val="0"/>
              </w:rPr>
              <w:t>32</w:t>
            </w:r>
          </w:p>
        </w:tc>
      </w:tr>
      <w:tr>
        <w:tc>
          <w:tcPr>
            <w:tcW w:type="dxa" w:w="1152"/>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3096"/>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584"/>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1440"/>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368"/>
            <w:vAlign w:val="center"/>
            <w:tcBorders>
              <w:left w:val="nil"/>
              <w:right w:val="nil"/>
              <w:insideH w:val="nil"/>
              <w:insideV w:val="nil"/>
              <w:top w:val="nil"/>
              <w:bottom w:val="single" w:sz="10" w:space="0" w:color="000000"/>
            </w:tcBorders>
          </w:tcPr>
          <w:p>
            <w:pPr>
              <w:jc w:val="center"/>
            </w:pPr>
            <w:r>
              <w:rPr>
                <w:rFonts w:hint="eastAsia"/>
                <w:b w:val="0"/>
                <w:bCs w:val="0"/>
              </w:rPr>
              <w:t>100</w:t>
            </w:r>
          </w:p>
        </w:tc>
      </w:tr>
    </w:tbl>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486400" cy="6009455"/>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486400" cy="6009455"/>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为统一描述Actor、Critic和判别器三个分支中结构相同的历史信息处理过程，本文将序列嵌入、Transformer编码和末时刻特征读取抽象为基于Transformer的历史序列表征模块。三个分支分别实例化该模块，各实例采用相同的网络拓扑，但参数彼此独立。图4-1在下方集中给出了该模块的内部结构，并在上方展示三个模块实例与各分支任务输出之间的连接关系。在表4-1所列参数设置下，Actor分支以历史状态序列作为表征模块的输入。每一个状态向量先经过线性映射进入隐藏空间，再与可学习的位置嵌入相加。随后，单层Transformer编码器对历史窗口进行编码。编码器输出的最后一个时间位置向量经归一化后形成32维历史状态特征。该特征与33维当前状态向量拼接为65维联合输入，并由独立的128-32-4全连接动作头生成连续动作。该过程定义如下：</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按回合组织为历史窗口，生成样本由生产企业在线交互轨迹按回合位置构造。每个时间位置的33维状态与4维动作组成37维状态—动作向量，该向量经线性映射进入100维隐藏空间，并与可学习的位置嵌入相加。单层Transformer编码器对长度为5的窗口进行编码，最后一个时间位置的编码结果经归一化后形成100维历史状态—动作特征。判别器输出头将该特征映射为logits，并经Sigmoid函数得到专家概率。其形式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4.3 历史表征模块与联合训练</w:t>
      </w:r>
    </w:p>
    <w:p w14:paraId="04334986" w14:textId="7EB1EC5B" w:rsidR="00D80834" w:rsidRDefault="00D80834" w:rsidP="00106600">
      <w:pPr>
        <w:ind w:firstLine="420"/>
        <w:rPr>
          <w:lang w:eastAsia="zh-CN"/>
        </w:rPr>
      </w:pPr>
      <w:r>
        <w:rPr>
          <w:lang w:eastAsia="zh-CN"/>
        </w:rPr>
        <w:t>在Transformer+GAIL+TD3的联合训练过程中，Actor、Critic和判别器分别接入基于Transformer的历史序列表征模块。Actor分支将当前状态与历史状态特征拼接后输入独立动作头；Critic分支将当前状态—动作对与历史状态—动作特征拼接后输入双Q值估计分支；判别器分支根据历史状态—动作窗口输出专家概率。奖励融合、Actor-Critic参数更新顺序和环境交互过程采用第3章所述的训练方式。</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上述接入方式使历史序列信息分别参与动作生成、价值估计和样本判别。判别器产生的模仿奖励按照第3章定义的融合路径进入Critic目标值，并通过Critic对策略动作的价值估计影响Actor更新，从而将历史序列表征纳入GAIL与TD3的联合训练过程。</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本次实验中的模仿学习与历史表征改进均应用于生产企业主体，消费企业主体和银行主体在三种模型中保持既有TD3决策流程，以控制非目标主体决策机制变化对比较结果的影响。GAIL+TD3和Transformer+GAIL+TD3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TD3、GAIL+TD3各8组；Transformer+GAIL+TD3为7组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各模型独立运行的均值及均值上下1个SEM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S表示对应模型纳入统计的独立运行次数；r表示独立运行编号；μ表示第k个评估时刻的平均存活天数均值；q表示目标存活天数，本文分别取80天和90天；T表示均值曲线达到目标值所需的评估时刻。较小的T表示模型以较少的训练回合达到目标存活水平。若均值曲线截至第60个评估时刻仍未满足连续3个评估时刻均不低于目标值的条件，则记为“未达到”。</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（6）生成对抗模仿学习有效性。本文采用Jensen–Shannon散度、重叠系数和受试者工作特征曲线下面积评价生成对抗模仿学习的行为分布接近程度及判别器区分能力。其中，Jensen–Shannon散度（JS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随机种子”。TD3与GAIL+TD3分别在8组随机种子下独立运行，Transformer+GAIL+TD3的统计分析纳入7组独立运行。每种模型据此形成相应数量的指标序列。本文在每个评估时刻计算同一模型各次独立运行结果的算术平均值，并以该均值作为曲线值。均值标准误（SEM: Standard Error of the Mean）用于描述各模型独立运行均值的不确定性，其定义为：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式中，s表示同一模型各次独立运行结果的样本标准差，S表示该模型纳入统计的独立运行次数。训练曲线中的实线表示同一模型各次独立运行的均值，阴影表示均值上下1个SEM。</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pPr>
        <w:ind w:firstLine="420"/>
        <w:rPr>
          <w:lang w:eastAsia="zh-CN"/>
        </w:rPr>
      </w:pPr>
      <w:r>
        <w:rPr>
          <w:b/>
          <w:lang w:eastAsia="zh-CN"/>
        </w:rPr>
        <w:t>（1）生成对抗模仿学习的主体决策运行效果</w:t>
      </w:r>
    </w:p>
    <w:p w14:paraId="1CAF8FE3" w14:textId="17307959" w:rsidR="002B5830" w:rsidRDefault="00A26CC5" w:rsidP="002B5830">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和累计归一化学习曲线下面积三项指标上的均值曲线及SEM阴影。其中，图6-1(a)中的水平虚线表示表5-1所列专家轨迹的合计平均存活天数，其数值为97.99天。为定量比较三种模型的训练表现，本文对每次独立运行在最后20个评估时刻的平均存活天数和生产企业累计收益分别取均值，再在各模型纳入统计的独立运行之间计算总体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为进一步判断上述运行效果是否对应着对专家行为的有效模仿，下面从判别器区分能力和历史Actor行为分布两个方面进行分析。</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97.20（±0.94%）</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205.43K（±29.43%）</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126.35K（±20.57%）</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172.24K（±18.84%）</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0.813（±1.90%）</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每次独立运行最后20个评估时刻的均值，再对各模型纳入统计的独立运行进行统计；nAULC采用第60个评估时刻的数值。括号内为相对SEM，K表示10³。学习速度依据各模型独立运行的平均存活天数均值曲线计算；“未达到”表示均值曲线截至第60个评估时刻仍未连续3个评估时刻达到相应目标值。</w:t>
      </w:r>
    </w:p>
    <w:p>
      <w:pPr>
        <w:ind w:firstLine="420"/>
        <w:rPr>
          <w:lang w:eastAsia="zh-CN"/>
        </w:rPr>
      </w:pPr>
      <w:r>
        <w:rPr>
          <w:b/>
          <w:lang w:eastAsia="zh-CN"/>
        </w:rPr>
        <w:t>（2）生成对抗模仿学习有效性</w:t>
      </w:r>
    </w:p>
    <w:p>
      <w:pPr>
        <w:ind w:firstLine="420"/>
        <w:rPr>
          <w:lang w:eastAsia="zh-CN"/>
        </w:rPr>
      </w:pPr>
      <w:r>
        <w:rPr>
          <w:lang w:eastAsia="zh-CN"/>
        </w:rPr>
        <w:t>前述运行结果表明，引入生成对抗模仿学习后，生产企业主体能够以较少的训练回合达到较高的平均存活水平。为进一步判断这一变化是否对应着对专家行为的有效模仿，本文从行为分布层面对模仿效果进行独立评价。专家数据来源于训练前采集的历史仿真轨迹，而在线训练过程中各评估时刻的Actor依据当前仿真状态生成动作，两类数据之间不存在逐时刻配对的决策记录，因而难以直接计算相同决策条件下的动作差异。本文据此采用参数固定的判别器将不同来源的状态—动作样本映射至统一得分空间，并以得分分布差异衡量Actor生成行为与专家行为的接近程度。由于该评价以判别器输出为依据，本文首先检验判别器对专家行为与非专家行为的区分能力，再以具备相应区分能力的判别器作为固定评价尺度，分析历史Actor在训练过程中的模仿效果。</w:t>
      </w:r>
    </w:p>
    <w:p>
      <w:pPr>
        <w:ind w:firstLine="420"/>
        <w:rPr>
          <w:lang w:eastAsia="zh-CN"/>
        </w:rPr>
      </w:pPr>
      <w:r>
        <w:rPr>
          <w:lang w:eastAsia="zh-CN"/>
        </w:rPr>
        <w:t>第一步检验判别器对专家行为与非专家行为的区分能力。本文选取一组独立运行在训练结束时保存的判别器，并在评价过程中固定其网络参数，后文将该判别器称为固定评价判别器。本文在留出测试集的16952条专家状态—动作样本上叠加标准差为0.30的独立高斯噪声，并将动作裁剪至[-0.5,0.5]，由此构造加噪专家样本，作为非专家行为的受控参照。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评价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在训练结束时保存并固定用于评价的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固定评价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固定评价判别器能够区分原始专家样本与作为非专家行为参照的加噪专家样本，并倾向于给予原始专家样本更高评分。</w:t>
      </w:r>
    </w:p>
    <w:p>
      <w:pPr>
        <w:ind w:firstLine="420"/>
        <w:rPr>
          <w:lang w:eastAsia="zh-CN"/>
        </w:rPr>
      </w:pPr>
      <w:r>
        <w:rPr>
          <w:lang w:eastAsia="zh-CN"/>
        </w:rPr>
        <w:t>第二步评价历史Actor生成行为在训练过程中的模仿效果。本文选取3次独立运行，分别以各次运行在训练结束时保存的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评价判别器下的得分分布结果表明，历史Actor生成行为在训练过程中总体向专家样本接近。</w:t>
      </w:r>
    </w:p>
    <w:p>
      <w:pPr>
        <w:ind w:firstLine="420"/>
        <w:rPr>
          <w:lang w:eastAsia="zh-CN"/>
        </w:rPr>
      </w:pPr>
      <w:r>
        <w:rPr>
          <w:lang w:eastAsia="zh-CN"/>
        </w:rPr>
        <w:t>两步评价分别从判别器对专家与非专家行为的区分能力，以及历史Actor生成行为与专家行为的分布接近程度两个方面分析了生成对抗模仿学习的实际效果。固定评价判别器能够区分原始专家样本与加噪专家样本，历史Actor相对于训练初期则形成了更接近专家得分分布的生成行为。上述结果从行为分布层面支持了生产企业主体在训练过程中实现有效模仿的结论，并为前述运行效果提供了相应证据。</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F7AFF6B" w:rsidR="00181A75" w:rsidRDefault="001E0DA4" w:rsidP="000C01B6">
      <w:pPr>
        <w:ind w:firstLine="420"/>
        <w:rPr>
          <w:lang w:eastAsia="zh-CN"/>
        </w:rPr>
      </w:pPr>
      <w:r>
        <w:rPr>
          <w:lang w:eastAsia="zh-CN"/>
        </w:rPr>
        <w:t>在完成上述生成对抗模仿学习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6-2中的具体数值显示，Transformer+GAIL+TD3达到80天所需的评估时刻由GAIL+TD3的第17个缩短至第12个，并在第17个评估时刻达到连续3个评估时刻不低于90天的条件，而GAIL+TD3在前60个评估时刻内未达到该条件。引入Transformer编码器后，最终稳定平均存活天数由80.71天提高至97.20天，与专家轨迹平均值的差距由17.28天缩小至0.80天，缩小幅度约为95.4%。第60个评估时刻的累计归一化学习曲线下面积由0.683提高至0.813，增幅约为19.2%；生产企业最终稳定累计收益由126.35K提高至172.24K。这些统计结果表明，在本文实验设置下，历史状态表征增强了模型对连续交互信息的利用，并进一步缩小了模型运行结果与专家轨迹之间的差距。</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0.80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采用Transformer编码器增强生产企业主体的历史状态表征。本文通过人工行为采集系统整理专家状态—动作数据，比较了TD3、GAIL+TD3和Transformer+GAIL+TD3三种主体训练方案的训练过程与系统运行结果。主要研究结论如下。</w:t>
      </w:r>
    </w:p>
    <w:p w14:paraId="39145297" w14:textId="77777777" w:rsidR="001E0DA4" w:rsidRDefault="001E0DA4" w:rsidP="001E0DA4">
      <w:pPr>
        <w:ind w:firstLine="420"/>
        <w:rPr>
          <w:lang w:eastAsia="zh-CN"/>
        </w:rPr>
      </w:pPr>
      <w:r>
        <w:rPr>
          <w:lang w:eastAsia="zh-CN"/>
        </w:rPr>
        <w:t>首先，生成对抗模仿学习信号提高了生产企业主体的前期学习效率。专家状态—动作样本经判别器形成的模仿奖励为策略更新提供了行为参照，使生产企业主体能够以较少的训练回合形成有效策略，并在训练全过程中保持较高的累积平均存活表现。</w:t>
      </w:r>
    </w:p>
    <w:p w14:paraId="5BB13987" w14:textId="77777777" w:rsidR="001E0DA4" w:rsidRDefault="001E0DA4" w:rsidP="001E0DA4">
      <w:pPr>
        <w:ind w:firstLine="420"/>
        <w:rPr>
          <w:lang w:eastAsia="zh-CN"/>
        </w:rPr>
      </w:pPr>
      <w:r>
        <w:rPr>
          <w:lang w:eastAsia="zh-CN"/>
        </w:rPr>
        <w:t>其次，Transformer编码器增强了生产企业主体对历史交互信息的表征能力。历史状态序列的引入进一步改善了模型的学习速度、稳定阶段存活水平和生产企业经营表现，使系统平均存活水平更加接近专家轨迹。</w:t>
      </w:r>
    </w:p>
    <w:p w14:paraId="1F4A0248" w14:textId="38F8E59B" w:rsidR="00815AAA" w:rsidRDefault="001E0DA4" w:rsidP="001E0DA4">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