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ind w:firstLine="0"/>
        <w:jc w:val="center"/>
      </w:pPr>
      <w:r>
        <w:rPr>
          <w:rFonts w:ascii="Times New Roman" w:hAnsi="Times New Roman" w:eastAsia="黑体"/>
          <w:b/>
          <w:sz w:val="36"/>
        </w:rPr>
        <w:t xml:space="preserve">基于生成对抗模仿学习与Transformer表征的复杂经济系统主体有限理性决策生成方法</w:t>
      </w:r>
    </w:p>
    <w:p>
      <w:pPr>
        <w:spacing w:line="360" w:lineRule="auto" w:before="0" w:after="120"/>
        <w:ind w:firstLine="0"/>
        <w:jc w:val="both"/>
      </w:pPr>
      <w:r>
        <w:rPr>
          <w:rFonts w:ascii="Times New Roman" w:hAnsi="Times New Roman" w:eastAsia="黑体"/>
          <w:b/>
          <w:sz w:val="21"/>
        </w:rPr>
        <w:t>摘要：</w:t>
      </w:r>
      <w:r>
        <w:rPr>
          <w:rFonts w:ascii="Times New Roman" w:hAnsi="Times New Roman" w:eastAsia="宋体"/>
          <w:b w:val="0"/>
          <w:sz w:val="21"/>
        </w:rPr>
        <w:t>复杂经济系统多主体仿真能够为理论经济研究提供虚拟数据支持，但强化学习主体通常围绕奖励最大化进行策略优化，难以充分反映真实市场主体的有限理性决策特征。针对这一问题，本文在既有复杂经济系统仿真模型基础上，将生成对抗模仿学习（GAIL）与双延迟深度确定性策略梯度（TD3）算法相结合，以专家行为数据为参照构建生产企业主体决策模型。实验结果表明，引入模仿学习能够提高主体的学习效率，并使生成行为逐步接近专家行为分布。此外，通过引入Transformer编码器表征历史交互信息，进一步改善了模型的学习速度和稳定阶段存活水平。本文探索了模仿学习在复杂经济系统主体决策生成中的应用，为有限理性决策生成及复杂经济系统多主体仿真研究提供参考。</w:t>
      </w:r>
    </w:p>
    <w:p>
      <w:pPr>
        <w:spacing w:line="360" w:lineRule="auto" w:before="0" w:after="240"/>
        <w:ind w:firstLine="0"/>
        <w:jc w:val="both"/>
      </w:pPr>
      <w:r>
        <w:rPr>
          <w:rFonts w:ascii="Times New Roman" w:hAnsi="Times New Roman" w:eastAsia="黑体"/>
          <w:b/>
          <w:sz w:val="21"/>
        </w:rPr>
        <w:t>关键词：</w:t>
      </w:r>
      <w:r>
        <w:rPr>
          <w:rFonts w:ascii="Times New Roman" w:hAnsi="Times New Roman" w:eastAsia="宋体"/>
          <w:b w:val="0"/>
          <w:sz w:val="21"/>
        </w:rPr>
        <w:t>复杂经济系统；多主体仿真；生成对抗模仿学习；TD3；Transformer；有限理性</w:t>
      </w:r>
    </w:p>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r>
        <w:rPr>
          <w:lang w:eastAsia="zh-CN"/>
          <w:vertAlign w:val="superscript"/>
        </w:rPr>
        <w:t xml:space="preserve">[1]</w:t>
      </w:r>
    </w:p>
    <w:p w14:paraId="7B342522" w14:textId="77777777" w:rsidR="00106600" w:rsidRDefault="00106600" w:rsidP="00106600">
      <w:pPr>
        <w:ind w:firstLine="420"/>
        <w:rPr>
          <w:lang w:eastAsia="zh-CN"/>
        </w:rPr>
      </w:pPr>
      <w:r>
        <w:rPr>
          <w:lang w:eastAsia="zh-CN"/>
        </w:rPr>
        <w:t xml:space="preserve">MAS-E 的一个关键问题在于智能主体的决策驱动机制。固定规则方法的灵活性和自适应能力有限；强化学习虽可依据环境反馈形成策略</w:t>
      </w:r>
      <w:r>
        <w:rPr>
          <w:lang w:eastAsia="zh-CN"/>
          <w:vertAlign w:val="superscript"/>
        </w:rPr>
        <w:t xml:space="preserve">[2-4]</w:t>
      </w:r>
      <w:r>
        <w:rPr>
          <w:lang w:eastAsia="zh-CN"/>
        </w:rPr>
        <w:t xml:space="preserve">，但以奖励最大化为核心的训练目标与真实市场主体受有限信息和经验影响的决策方式存在差异。如何生成更贴近有限理性特征的主体行为，因而成为经济系统仿真需要解决的问题。</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 xml:space="preserve">）</w:t>
      </w:r>
      <w:r>
        <w:rPr>
          <w:lang w:eastAsia="zh-CN"/>
          <w:vertAlign w:val="superscript"/>
        </w:rPr>
        <w:t xml:space="preserve">[5]</w:t>
      </w:r>
      <w:r>
        <w:rPr>
          <w:lang w:eastAsia="zh-CN"/>
        </w:rPr>
        <w:t xml:space="preserve">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 xml:space="preserve">）</w:t>
      </w:r>
      <w:r>
        <w:rPr>
          <w:lang w:eastAsia="zh-CN"/>
          <w:vertAlign w:val="superscript"/>
        </w:rPr>
        <w:t xml:space="preserve">[6]</w:t>
      </w:r>
      <w:r>
        <w:rPr>
          <w:lang w:eastAsia="zh-CN"/>
        </w:rPr>
        <w:t xml:space="preserve">与双延迟深度确定性策略梯度算法（</w:t>
      </w:r>
      <w:r>
        <w:rPr>
          <w:lang w:eastAsia="zh-CN"/>
        </w:rPr>
        <w:t>TD3: Twin Delayed Deep Deterministic Policy Gradient</w:t>
      </w:r>
      <w:r>
        <w:rPr>
          <w:lang w:eastAsia="zh-CN"/>
        </w:rPr>
        <w:t xml:space="preserve">）</w:t>
      </w:r>
      <w:r>
        <w:rPr>
          <w:lang w:eastAsia="zh-CN"/>
          <w:vertAlign w:val="superscript"/>
        </w:rPr>
        <w:t xml:space="preserve">[7]</w:t>
      </w:r>
      <w:r>
        <w:rPr>
          <w:lang w:eastAsia="zh-CN"/>
        </w:rPr>
        <w:t xml:space="preserve">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 xml:space="preserve">）</w:t>
      </w:r>
      <w:r>
        <w:rPr>
          <w:lang w:eastAsia="zh-CN"/>
          <w:vertAlign w:val="superscript"/>
        </w:rPr>
        <w:t xml:space="preserve">[8]</w:t>
      </w:r>
      <w:r>
        <w:rPr>
          <w:lang w:eastAsia="zh-CN"/>
        </w:rPr>
        <w:t xml:space="preserve">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2  仿真环境、目标与主体决策问题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vertAlign w:val="superscript"/>
        </w:rPr>
        <w:t xml:space="preserve">[9]</w:t>
      </w:r>
      <w:r>
        <w:rPr>
          <w:lang w:eastAsia="zh-CN"/>
        </w:rPr>
        <w:t xml:space="preserve"/>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5303520" cy="3491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5303520" cy="3491054"/>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图2-1  单次仿真运行规则示意图</w:t>
      </w:r>
    </w:p>
    <w:p w14:paraId="635AD553" w14:textId="1C9593CD" w:rsidR="00636361" w:rsidRDefault="00000000" w:rsidP="00106600">
      <w:pPr>
        <w:ind w:firstLine="420"/>
        <w:rPr>
          <w:lang w:eastAsia="zh-CN"/>
        </w:rPr>
      </w:pPr>
      <w:r>
        <w:rPr>
          <w:lang w:eastAsia="zh-CN"/>
        </w:rPr>
        <w:t>如图2-1所示，一次仿真由连续推进的若干天组成。仿真开始后，系统进入当天的P1-P6六阶段流程；完成P6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T。</w:t>
      </w:r>
    </w:p>
    <w:p w14:paraId="2EB6CA2A" w14:textId="77777777" w:rsidR="00636361" w:rsidRDefault="00000000" w:rsidP="00106600">
      <w:pPr>
        <w:ind w:firstLine="420"/>
        <w:rPr>
          <w:lang w:eastAsia="zh-CN"/>
        </w:rPr>
      </w:pPr>
      <w:r>
        <w:rPr>
          <w:lang w:eastAsia="zh-CN"/>
        </w:rPr>
        <w:t xml:space="preserve">在仿真实验中，系统按照含有6个阶段（P1-P6）的日循环运行。本文将一次P1-P6循环称为“一天”。一天中的6个阶段依次为P1企业决策阶段、P2银行决策阶段、P3贷款发放阶段、P4商品交易阶段、P5生产阶段和P6结算阶段。由于本文重点是主体决策模型的训练方案，具体生产公式、交易规则和银行约束沿用既有研究</w:t>
      </w:r>
      <w:r>
        <w:rPr>
          <w:lang w:eastAsia="zh-CN"/>
          <w:vertAlign w:val="superscript"/>
        </w:rPr>
        <w:t xml:space="preserve">[9]</w:t>
      </w:r>
      <w:r>
        <w:rPr>
          <w:lang w:eastAsia="zh-CN"/>
        </w:rPr>
        <w:t xml:space="preserve">，本文不展开重复推导。</w:t>
      </w:r>
    </w:p>
    <w:p w14:paraId="35766E26" w14:textId="77777777" w:rsidR="00636361" w:rsidRDefault="00000000" w:rsidP="001A17F2">
      <w:pPr>
        <w:pStyle w:val="21"/>
        <w:rPr>
          <w:lang w:eastAsia="zh-CN"/>
        </w:rPr>
      </w:pPr>
      <w:r>
        <w:rPr>
          <w:lang w:eastAsia="zh-CN"/>
        </w:rPr>
        <w:t>2.2  主体决策问题</w:t>
      </w:r>
    </w:p>
    <w:p w14:paraId="1B6C66D2" w14:textId="77777777" w:rsidR="00636361" w:rsidRDefault="00000000" w:rsidP="00106600">
      <w:pPr>
        <w:ind w:firstLine="420"/>
        <w:rPr>
          <w:lang w:eastAsia="zh-CN"/>
        </w:rPr>
      </w:pPr>
      <w:r>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动作经过贷款、交易、生产和结算环节共同改变系统状态。因此，主体决策问题可以表述为：在多主体持续交互和局部信息约束下，根据当前可观测状态确定连续动作，并使动作与后续环境演化相衔接。</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状态输入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动作输出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决策机制需要在既定状态空间和动作空间下处理当前信息，并对持续交互过程中的历史关联进行表达。第3章和第4章分别给出单步状态输入下的生产企业训练方案及其历史状态表征扩展。</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 xml:space="preserve">）类方法解决现实或仿真环境中的决策问题。</w:t>
      </w:r>
      <w:r>
        <w:rPr>
          <w:lang w:eastAsia="zh-CN"/>
          <w:vertAlign w:val="superscript"/>
        </w:rPr>
        <w:t xml:space="preserve">[2-4]</w:t>
      </w:r>
      <w:r>
        <w:rPr>
          <w:lang w:eastAsia="zh-CN"/>
        </w:rPr>
        <w:t xml:space="preserve">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r>
        <w:rPr>
          <w:lang w:eastAsia="zh-CN"/>
          <w:vertAlign w:val="superscript"/>
        </w:rPr>
        <w:t xml:space="preserve">[5]</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727637"/>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727637"/>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4.3节所述扩展模型将在该结构基础上融合Transformer历史特征。</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表示批量大小。模仿奖励计算使用该经验批量中的状态—动作部分：</w:t>
      </w:r>
      <w:r>
        <w:rPr>
          <w:lang w:eastAsia="zh-CN"/>
        </w:rPr>
        <w:t/>
      </w:r>
      <w:r>
        <w:rPr>
          <w:lang w:eastAsia="zh-CN"/>
        </w:rPr>
        <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5CC3F728" w14:textId="77777777" w:rsidR="00636361" w:rsidRDefault="00000000" w:rsidP="001A17F2">
      <w:pPr>
        <w:pStyle w:val="21"/>
        <w:rPr>
          <w:lang w:eastAsia="zh-CN"/>
        </w:rPr>
      </w:pPr>
      <w:r>
        <w:rPr>
          <w:lang w:eastAsia="zh-CN"/>
        </w:rPr>
        <w:t>3.2 GAIL+TD3联合训练总体方案</w:t>
      </w:r>
    </w:p>
    <w:p w14:paraId="64EDABF2" w14:textId="77777777" w:rsidR="00636361" w:rsidRDefault="00000000" w:rsidP="00106600">
      <w:pPr>
        <w:ind w:firstLine="420"/>
        <w:rPr>
          <w:lang w:eastAsia="zh-CN"/>
        </w:rPr>
      </w:pPr>
      <w:r>
        <w:rPr>
          <w:lang w:eastAsia="zh-CN"/>
        </w:rPr>
        <w:t>模型训练通过连续执行多次仿真推进。每次仿真均从环境初始化开始，经过若干天连续运行，直至触发第2.1节所述终止条件而结束。本文将这一完整过程定义为一个回合（episode）。由多个回合构成的整体训练流程如图3-2所示。</w:t>
      </w:r>
    </w:p>
    <w:p>
      <w:pPr>
        <w:ind w:firstLine="420"/>
        <w:jc w:val="center"/>
        <w:rPr>
          <w:lang w:eastAsia="zh-CN"/>
        </w:rPr>
      </w:pPr>
      <w:r>
        <w:drawing>
          <wp:inline xmlns:a="http://schemas.openxmlformats.org/drawingml/2006/main" xmlns:pic="http://schemas.openxmlformats.org/drawingml/2006/picture">
            <wp:extent cx="5486400" cy="2579303"/>
            <wp:docPr id="2068173013" name="Picture 2068173013"/>
            <wp:cNvGraphicFramePr>
              <a:graphicFrameLocks noChangeAspect="1"/>
            </wp:cNvGraphicFramePr>
            <a:graphic>
              <a:graphicData uri="http://schemas.openxmlformats.org/drawingml/2006/picture">
                <pic:pic>
                  <pic:nvPicPr>
                    <pic:cNvPr id="0" name="初步设计的仿真运行规则示意图.png"/>
                    <pic:cNvPicPr/>
                  </pic:nvPicPr>
                  <pic:blipFill>
                    <a:blip r:embed="rId28"/>
                    <a:stretch>
                      <a:fillRect/>
                    </a:stretch>
                  </pic:blipFill>
                  <pic:spPr>
                    <a:xfrm>
                      <a:off x="0" y="0"/>
                      <a:ext cx="5486400" cy="2579303"/>
                    </a:xfrm>
                    <a:prstGeom prst="rect"/>
                  </pic:spPr>
                </pic:pic>
              </a:graphicData>
            </a:graphic>
          </wp:inline>
        </w:drawing>
      </w:r>
    </w:p>
    <w:p>
      <w:pPr>
        <w:spacing w:after="120" w:line="288" w:lineRule="auto"/>
        <w:ind w:firstLine="420"/>
        <w:jc w:val="center"/>
        <w:rPr>
          <w:lang w:eastAsia="zh-CN"/>
        </w:rPr>
      </w:pPr>
      <w:r>
        <w:rPr>
          <w:lang w:eastAsia="zh-CN"/>
        </w:rPr>
        <w:t>图3-2  模型训练中的多回合仿真流程</w:t>
      </w:r>
    </w:p>
    <w:p>
      <w:pPr>
        <w:ind w:firstLine="420"/>
        <w:rPr>
          <w:lang w:eastAsia="zh-CN"/>
        </w:rPr>
      </w:pPr>
      <w:r>
        <w:rPr>
          <w:lang w:eastAsia="zh-CN"/>
        </w:rPr>
        <w:t>当一个回合结束时，系统重置仿真环境和各主体属性，并以新的初始状态开始下一回合。生产企业主体的Actor、Critic和判别器参数以及经验池不随环境重置而清空，而是在跨回合交互中持续更新。交互过程中产生的状态、动作、奖励、下一状态和终止标记被写入经验池，从而将单个回合内的环境演化与跨回合的模型训练衔接起来。</w:t>
      </w:r>
    </w:p>
    <w:p>
      <w:pPr>
        <w:ind w:firstLine="420"/>
        <w:rPr>
          <w:lang w:eastAsia="zh-CN"/>
        </w:rPr>
      </w:pPr>
      <w:r>
        <w:rPr>
          <w:lang w:eastAsia="zh-CN"/>
        </w:rPr>
        <w:t>在上述多回合交互框架下，本文基于第3.1节定义的Actor、专家样本和在线经验样本，将生成对抗模仿学习引入生产企业主体的TD3训练过程。生产企业Actor同时承担TD3策略网络和GAIL生成器的作用；生产企业在线交互样本为判别器训练与模仿奖励构造提供生成数据，经验池批量为模仿奖励计算与Critic价值估计提供相互对齐的数据接口。</w:t>
      </w:r>
    </w:p>
    <w:p w14:paraId="0CEA4AC5" w14:textId="77777777" w:rsidR="00636361" w:rsidRDefault="00000000" w:rsidP="00106600">
      <w:pPr>
        <w:ind w:firstLine="420"/>
        <w:rPr>
          <w:lang w:eastAsia="zh-CN"/>
        </w:rPr>
      </w:pPr>
      <w:r>
        <w:rPr>
          <w:lang w:eastAsia="zh-CN"/>
        </w:rPr>
        <w:t>图3-3突出展示了生成对抗模仿学习与TD3联合训练中的奖励传递和价值更新主路径。专家行为样本为判别器提供专家分布参照，生产企业在线交互形成的状态—动作对构成生成样本。判别器依据两类样本构造模仿奖励，该奖励与环境奖励融合后进入Critic训练目标值计算，并通过价值估计影响Actor更新。Actor参数更新还包含由判别器评价当前策略动作所形成的对抗生成目标，两类更新信号的具体构造见第3.4节。</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图3-3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pPr>
        <w:keepNext/>
        <w:ind w:firstLine="420"/>
        <w:rPr>
          <w:lang w:eastAsia="zh-CN"/>
        </w:rPr>
      </w:pPr>
      <w:r>
        <w:rPr>
          <w:lang w:eastAsia="zh-CN"/>
        </w:rPr>
        <w:t>判别器用于评价标准化后的专家状态—动作样本与生产企业生成状态—动作样本，并根据两类样本的分类结果构造模仿奖励。判别器网络与损失计算结构如图3-4所示。</w:t>
      </w:r>
      <w:r>
        <w:rPr>
          <w:lang w:eastAsia="zh-CN"/>
          <w:vertAlign w:val="superscript"/>
        </w:rPr>
        <w:t xml:space="preserve">[6]</w:t>
      </w:r>
    </w:p>
    <w:p>
      <w:pPr>
        <w:keepNext/>
        <w:ind w:firstLine="0" w:left="0" w:right="0"/>
        <w:jc w:val="center"/>
        <w:rPr>
          <w:lang w:eastAsia="zh-CN"/>
        </w:rPr>
      </w:pPr>
      <w:r>
        <w:drawing>
          <wp:inline xmlns:a="http://schemas.openxmlformats.org/drawingml/2006/main" xmlns:pic="http://schemas.openxmlformats.org/drawingml/2006/picture">
            <wp:extent cx="5486400" cy="1689525"/>
            <wp:docPr id="2068173014" name="Picture 2068173014"/>
            <wp:cNvGraphicFramePr>
              <a:graphicFrameLocks noChangeAspect="1"/>
            </wp:cNvGraphicFramePr>
            <a:graphic>
              <a:graphicData uri="http://schemas.openxmlformats.org/drawingml/2006/picture">
                <pic:pic>
                  <pic:nvPicPr>
                    <pic:cNvPr id="0" name="production_discriminator_network_structure.png"/>
                    <pic:cNvPicPr/>
                  </pic:nvPicPr>
                  <pic:blipFill>
                    <a:blip r:embed="rId29"/>
                    <a:stretch>
                      <a:fillRect/>
                    </a:stretch>
                  </pic:blipFill>
                  <pic:spPr>
                    <a:xfrm>
                      <a:off x="0" y="0"/>
                      <a:ext cx="5486400" cy="1689525"/>
                    </a:xfrm>
                    <a:prstGeom prst="rect"/>
                  </pic:spPr>
                </pic:pic>
              </a:graphicData>
            </a:graphic>
          </wp:inline>
        </w:drawing>
      </w:r>
    </w:p>
    <w:p>
      <w:pPr>
        <w:spacing w:after="120" w:line="288" w:lineRule="auto"/>
        <w:ind w:firstLine="420"/>
        <w:jc w:val="center"/>
        <w:rPr>
          <w:lang w:eastAsia="zh-CN"/>
        </w:rPr>
      </w:pPr>
      <w:r>
        <w:rPr>
          <w:lang w:eastAsia="zh-CN"/>
        </w:rPr>
        <w:t>图3-4  生产企业GAIL判别器网络与损失计算结构</w:t>
      </w:r>
    </w:p>
    <w:p>
      <w:pPr>
        <w:ind w:firstLine="420"/>
        <w:rPr>
          <w:lang w:eastAsia="zh-CN"/>
        </w:rPr>
      </w:pPr>
      <w:r>
        <w:rPr>
          <w:lang w:eastAsia="zh-CN"/>
        </w:rPr>
        <w:t>图3-4中的专家样本与生成样本均由33维状态向量和4维动作向量组成。图中上标E和G分别表示专家样本与生成样本，y_i表示第i个样本的类别标签。两类样本依据专家数据训练集的统计量分别完成状态与动作标准化，并各自将标准化状态与标准化动作拼接为37维向量。该向量依次经过37-100、100-100和100-1三层全连接映射；前两个隐藏层均采用双曲正切函数，最后一层输出单个logits值。专家样本与生成样本分别完成状态—动作拼接后，依次输入共享全部网络参数的同一判别器，得到专家样本得分和生成样本得分；两类得分与相应类别标签共同用于计算包含熵正则项的判别器损失，并据此更新判别器参数。</w:t>
      </w:r>
    </w:p>
    <w:p w14:paraId="2DC63BB2" w14:textId="77777777" w:rsidR="00D80834" w:rsidRDefault="00D80834" w:rsidP="00106600">
      <w:pPr>
        <w:ind w:firstLine="420"/>
        <w:rPr>
          <w:lang w:eastAsia="zh-CN"/>
        </w:rPr>
      </w:pPr>
      <w:r>
        <w:rPr>
          <w:lang w:eastAsia="zh-CN"/>
        </w:rPr>
        <w:t>为简化记号，本节后续公式以状态s和动作a表示已经完成标准化处理的判别器输入。记判别器在参数φ下对状态—动作向量输出的logits为f_φ(s,a)，判别概率定义为：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判别器的二元分类损失定义为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判别器损失的第一项提高专家状态—动作对被判定为专家样本的概率，第二项降低生成状态—动作对被判定为专家样本的概率。判别器训练目标在上述二元交叉熵项基础上加入判别概率熵正则项，以减缓判别输出过早饱和。生产企业生成样本的模仿奖励采用非饱和形式，并对奖励上界进行裁剪，其定义为：</w:t>
      </w:r>
    </w:p>
    <w:p w14:paraId="77EC9651" w14:textId="77777777" w:rsidR="00D80834" w:rsidRDefault="00000000" w:rsidP="00106600">
      <w:pPr>
        <w:spacing w:before="60" w:line="288" w:lineRule="auto"/>
        <w:ind w:firstLine="420"/>
        <w:jc w:val="center"/>
      </w:pPr>
      <m:oMath>
        <m:sSubSup>
          <m:e>
            <m:r>
              <m:t>r</m:t>
            </m:r>
          </m:e>
          <m:sub>
            <m:r>
              <m:t>i</m:t>
            </m:r>
          </m:sub>
          <m:sup>
            <m:r>
              <m:rPr>
                <m:nor/>
              </m:rPr>
              <m:t>int</m:t>
            </m:r>
          </m:sup>
        </m:sSubSup>
        <m:r>
          <m:t>=</m:t>
        </m:r>
        <m:r>
          <m:rPr>
            <m:sty m:val="p"/>
          </m:rPr>
          <m:t>min</m:t>
        </m:r>
        <m:d>
          <m:dPr>
            <m:sepChr m:val=","/>
          </m:dPr>
          <m:e>
            <m:r>
              <m:t>−</m:t>
            </m:r>
            <m:r>
              <m:rPr>
                <m:sty m:val="p"/>
              </m:rPr>
              <m:t>log</m:t>
            </m:r>
            <m:d>
              <m:dPr>
                <m:sepChr m:val=","/>
              </m:dPr>
              <m:e>
                <m:r>
                  <m:rPr>
                    <m:sty m:val="p"/>
                  </m:rPr>
                  <m:t>max</m:t>
                </m:r>
              </m:e>
              <m:e>
                <m:d>
                  <m:dPr>
                    <m:sepChr m:val=","/>
                  </m:dPr>
                  <m:e>
                    <m:r>
                      <m:t>1−</m:t>
                    </m:r>
                    <m:sSub>
                      <m:e>
                        <m:r>
                          <m:t>D</m:t>
                        </m:r>
                      </m:e>
                      <m:sub>
                        <m:r>
                          <m:t>φ</m:t>
                        </m:r>
                      </m:sub>
                    </m:sSub>
                    <m:d>
                      <m:dPr>
                        <m:sepChr m:val=","/>
                      </m:dPr>
                      <m:e>
                        <m:sSub>
                          <m:e>
                            <m:r>
                              <m:t>s</m:t>
                            </m:r>
                          </m:e>
                          <m:sub>
                            <m:r>
                              <m:t>i</m:t>
                            </m:r>
                          </m:sub>
                        </m:sSub>
                      </m:e>
                      <m:e>
                        <m:r>
                          <m:t>,</m:t>
                        </m:r>
                      </m:e>
                      <m:e>
                        <m:sSub>
                          <m:e>
                            <m:r>
                              <m:t>a</m:t>
                            </m:r>
                          </m:e>
                          <m:sub>
                            <m:r>
                              <m:t>i</m:t>
                            </m:r>
                          </m:sub>
                        </m:sSub>
                      </m:e>
                    </m:d>
                  </m:e>
                  <m:e>
                    <m:r>
                      <m:t>,</m:t>
                    </m:r>
                  </m:e>
                  <m:e>
                    <m:r>
                      <m:t>ε</m:t>
                    </m:r>
                  </m:e>
                </m:d>
              </m:e>
            </m:d>
          </m:e>
          <m:e>
            <m:r>
              <m:t>,</m:t>
            </m:r>
          </m:e>
          <m:e>
            <m:sSubSup>
              <m:e>
                <m:r>
                  <m:t>r</m:t>
                </m:r>
              </m:e>
              <m:sub>
                <m:r>
                  <m:rPr>
                    <m:nor/>
                  </m:rPr>
                  <m:t>clip</m:t>
                </m:r>
              </m:sub>
              <m:sup>
                <m:r>
                  <m:rPr>
                    <m:nor/>
                  </m:rPr>
                  <m:t>int</m:t>
                </m:r>
              </m:sup>
            </m:sSubSup>
          </m:e>
        </m:d>
      </m:oMath>
    </w:p>
    <w:p w14:paraId="4A4F9D5B" w14:textId="77777777" w:rsidR="00D80834" w:rsidRDefault="00D80834" w:rsidP="00106600">
      <w:pPr>
        <w:ind w:firstLine="420"/>
        <w:rPr>
          <w:lang w:eastAsia="zh-CN"/>
        </w:rPr>
      </w:pPr>
      <w:r>
        <w:rPr>
          <w:lang w:eastAsia="zh-CN"/>
        </w:rPr>
        <w:t>其中，r_i^int表示第i个生成样本对应的模仿奖励，ε表示防止对数输入为零的正数下界，r_clip^int表示模仿奖励裁剪上限。当判别器对生成状态—动作对给出更高的专家样本判别概率时，该样本获得更高的模仿奖励。判别器参数更新时，算法分别从专家数据训练集和近期生产企业交互样本中抽取状态—动作批量，判别器参数随生产企业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pPr>
        <w:keepNext/>
        <w:ind w:firstLine="420"/>
        <w:rPr>
          <w:lang w:eastAsia="zh-CN"/>
        </w:rPr>
      </w:pPr>
      <w:r>
        <w:rPr>
          <w:lang w:eastAsia="zh-CN"/>
        </w:rPr>
        <w:t>本节在第3.3节所定义模仿奖励的基础上，进一步说明融合奖励的构造方式以及生产企业Critic、Actor和目标网络的参数更新过程。生产企业Critic采用双Q网络结构，其组成如图3-5所示。</w:t>
      </w:r>
      <w:r>
        <w:rPr>
          <w:lang w:eastAsia="zh-CN"/>
          <w:vertAlign w:val="superscript"/>
        </w:rPr>
        <w:t xml:space="preserve">[7]</w:t>
      </w:r>
    </w:p>
    <w:p>
      <w:pPr>
        <w:keepNext/>
        <w:ind w:firstLine="0" w:left="0" w:right="0"/>
        <w:jc w:val="center"/>
        <w:rPr>
          <w:lang w:eastAsia="zh-CN"/>
        </w:rPr>
      </w:pPr>
      <w:r>
        <w:drawing>
          <wp:inline xmlns:a="http://schemas.openxmlformats.org/drawingml/2006/main" xmlns:pic="http://schemas.openxmlformats.org/drawingml/2006/picture">
            <wp:extent cx="5486400" cy="1985003"/>
            <wp:docPr id="2068173015" name="Picture 2068173015"/>
            <wp:cNvGraphicFramePr>
              <a:graphicFrameLocks noChangeAspect="1"/>
            </wp:cNvGraphicFramePr>
            <a:graphic>
              <a:graphicData uri="http://schemas.openxmlformats.org/drawingml/2006/picture">
                <pic:pic>
                  <pic:nvPicPr>
                    <pic:cNvPr id="0" name="production_critic_network_structure.png"/>
                    <pic:cNvPicPr/>
                  </pic:nvPicPr>
                  <pic:blipFill>
                    <a:blip r:embed="rId30"/>
                    <a:stretch>
                      <a:fillRect/>
                    </a:stretch>
                  </pic:blipFill>
                  <pic:spPr>
                    <a:xfrm>
                      <a:off x="0" y="0"/>
                      <a:ext cx="5486400" cy="1985003"/>
                    </a:xfrm>
                    <a:prstGeom prst="rect"/>
                  </pic:spPr>
                </pic:pic>
              </a:graphicData>
            </a:graphic>
          </wp:inline>
        </w:drawing>
      </w:r>
    </w:p>
    <w:p>
      <w:pPr>
        <w:spacing w:after="120" w:line="288" w:lineRule="auto"/>
        <w:ind w:firstLine="420"/>
        <w:jc w:val="center"/>
        <w:rPr>
          <w:lang w:eastAsia="zh-CN"/>
        </w:rPr>
      </w:pPr>
      <w:r>
        <w:rPr>
          <w:lang w:eastAsia="zh-CN"/>
        </w:rPr>
        <w:t>图3-5  生产企业Critic双Q网络结构</w:t>
      </w:r>
    </w:p>
    <w:p>
      <w:pPr>
        <w:ind w:firstLine="420"/>
        <w:rPr>
          <w:lang w:eastAsia="zh-CN"/>
        </w:rPr>
      </w:pPr>
      <w:r>
        <w:rPr>
          <w:lang w:eastAsia="zh-CN"/>
        </w:rPr>
        <w:t>在Critic参数更新阶段，网络输入来自经验池采样得到的生产企业经验批量。第i个样本中的33维标准化状态向量与对应的4维动作向量拼接为37维状态—动作向量，随后分别进入在线第一Q网络和在线第二Q网络。两个Q网络均采用37-128-32-1的全连接结构，两个隐藏层均使用带泄漏线性整流函数，输出层分别得到Q_1与Q_2的标量估计。两个Q网络采用相同的输入维度和网络层级，但分别维护独立参数，彼此不共享参数。</w:t>
      </w:r>
    </w:p>
    <w:p>
      <w:pPr>
        <w:ind w:firstLine="420"/>
        <w:rPr>
          <w:lang w:eastAsia="zh-CN"/>
        </w:rPr>
      </w:pPr>
      <w:r>
        <w:rPr>
          <w:lang w:eastAsia="zh-CN"/>
        </w:rPr>
        <w:t>在线Critic通过第一Q网络和第二Q网络分别估计经验样本的当前Q值。在Actor参数更新阶段，在线第一Q网络评价Actor依据当前状态生成的策略动作，并将价值梯度传递至Actor。目标Critic包含与之对应的第一目标Q网络和第二目标Q网络，其参数独立于在线Critic，用于输出下一状态—目标动作对的两个目标Q估计。</w:t>
      </w:r>
    </w:p>
    <w:p w14:paraId="62E0DDD4" w14:textId="77777777" w:rsidR="00D80834" w:rsidRDefault="00D80834" w:rsidP="00106600">
      <w:pPr>
        <w:ind w:firstLine="420"/>
        <w:rPr>
          <w:lang w:eastAsia="zh-CN"/>
        </w:rPr>
      </w:pPr>
      <w:r>
        <w:rPr>
          <w:lang w:eastAsia="zh-CN"/>
        </w:rPr>
        <w:t>为保证模仿奖励与TD3参数更新所用样本一一对应，本文在模仿奖励计算与Critic训练目标值计算之间采用批量对齐机制。每一次网络参数更新阶段只从经验池采样一次生产企业经验批量。判别器对该批量中的状态—动作部分计算模仿奖励，Critic使用同一批量中的动作、环境奖励、下一状态和终止标记计算训练目标值。因此，模仿奖励与Critic使用的其余经验字段在样本索引上保持一致。判别器自身的参数更新则使用专家样本批量与近期生产企业交互样本批量。</w:t>
      </w:r>
    </w:p>
    <w:p w14:paraId="0005EE84" w14:textId="77777777" w:rsidR="00D80834" w:rsidRDefault="00D80834" w:rsidP="00106600">
      <w:pPr>
        <w:ind w:firstLine="420"/>
        <w:rPr>
          <w:lang w:eastAsia="zh-CN"/>
        </w:rPr>
      </w:pPr>
      <w:r>
        <w:rPr>
          <w:lang w:eastAsia="zh-CN"/>
        </w:rPr>
        <w:t>在同一经验批量上完成模仿奖励计算后，生产企业Critic使用环境奖励与模仿奖励构造融合奖励。为减小训练过程中环境奖励量级变化对价值更新的影响，环境奖励先依据运行中的奖励尺度估计进行归一化，并在给定区间内裁剪。本文采用随训练步数递增的warm-up模仿奖励权重。在训练早期，判别器尚未形成稳定的区分边界；如果模仿奖励权重过大，判别器的不可靠打分会引起Critic训练目标值的较大偏移，并通过价值估计影响Actor更新。因此，训练初期使用较小的模仿奖励权重，随后逐步提升至基础权重。融合奖励定义为：</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表示经尺度归一化与裁剪后的环境奖励，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Critic中的第一目标Q网络和第二目标Q网络分别对下一状态—目标动作对进行价值估计。TD3取两个目标Q估计中的较小值，并与融合奖励共同构造Critic训练目标值。目标动作与Critic训练目标值定义如下：</w:t>
      </w:r>
      <w:r>
        <w:rPr>
          <w:lang w:eastAsia="zh-CN"/>
        </w:rPr>
        <w:t xml:space="preserve"/>
      </w:r>
      <w:r>
        <w:rPr>
          <w:lang w:eastAsia="zh-CN"/>
        </w:rPr>
        <w:t/>
      </w:r>
      <w:r>
        <w:rPr>
          <w:lang w:eastAsia="zh-CN"/>
        </w:rPr>
        <w:t xml:space="preserve"/>
      </w:r>
      <w:r>
        <w:rPr>
          <w:lang w:eastAsia="zh-CN"/>
        </w:rPr>
        <w:t/>
      </w:r>
      <w:r>
        <w:rPr>
          <w:lang w:eastAsia="zh-CN"/>
        </w:rPr>
        <w:t xml:space="preserve"/>
      </w:r>
      <w:r>
        <w:rPr>
          <w:lang w:eastAsia="zh-CN"/>
        </w:rPr>
        <w:t/>
      </w:r>
      <w:r>
        <w:rPr>
          <w:lang w:eastAsia="zh-CN"/>
        </w:rPr>
        <w:t xml:space="preserve"/>
      </w:r>
      <w:r>
        <w:rPr>
          <w:lang w:eastAsia="zh-CN"/>
        </w:rPr>
        <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表示目标Critic中相应目标Q网络的输出，</w:t>
      </w:r>
      <w:r>
        <w:rPr>
          <w:lang w:eastAsia="zh-CN"/>
        </w:rPr>
        <w:t xml:space="preserve"/>
      </w:r>
      <w:r>
        <w:rPr>
          <w:lang w:eastAsia="zh-CN"/>
        </w:rPr>
        <w:t/>
      </w:r>
      <w:r>
        <w:rPr>
          <w:lang w:eastAsia="zh-CN"/>
        </w:rPr>
        <w:t xml:space="preserve"/>
      </w:r>
      <w:r>
        <w:rPr>
          <w:lang w:eastAsia="zh-CN"/>
        </w:rPr>
        <w:t xml:space="preserve"/>
      </w:r>
      <w:r>
        <w:rPr>
          <w:lang w:eastAsia="zh-CN"/>
        </w:rPr>
        <w:t/>
      </w:r>
      <w:r>
        <w:rPr>
          <w:lang w:eastAsia="zh-CN"/>
        </w:rPr>
        <w:t xml:space="preserve"/>
      </w:r>
      <w:r>
        <w:rPr>
          <w:lang w:eastAsia="zh-CN"/>
        </w:rPr>
        <w:t/>
      </w:r>
      <m:oMath>
        <m:r>
          <w:rPr>
            <w:rFonts w:ascii="Cambria Math" w:hAnsi="Cambria Math"/>
            <w:lang w:eastAsia="zh-CN"/>
          </w:rPr>
          <m:t>k</m:t>
        </m:r>
      </m:oMath>
      <w:r>
        <w:rPr>
          <w:lang w:eastAsia="zh-CN"/>
        </w:rPr>
        <w:t>=1,2</w:t>
      </w:r>
      <w:r>
        <w:rPr>
          <w:lang w:eastAsia="zh-CN"/>
        </w:rPr>
        <w:t>。Critic训练目标值沿用TD3中取两个目标Q估计较小值的构造方式。</w:t>
      </w:r>
      <w:r>
        <w:rPr>
          <w:lang w:eastAsia="zh-CN"/>
        </w:rPr>
        <w:t xml:space="preserve"/>
      </w:r>
      <w:r>
        <w:rPr>
          <w:lang w:eastAsia="zh-CN"/>
        </w:rPr>
        <w:t/>
      </w:r>
      <w:r>
        <w:rPr>
          <w:lang w:eastAsia="zh-CN"/>
        </w:rPr>
        <w:t xml:space="preserve"/>
      </w:r>
      <w:r>
        <w:rPr>
          <w:lang w:eastAsia="zh-CN"/>
        </w:rPr>
        <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Critic根据在线Q估计与训练目标值之间的误差更新参数：</w:t>
      </w:r>
      <w:r>
        <w:rPr>
          <w:lang w:eastAsia="zh-CN"/>
        </w:rPr>
        <w:t/>
      </w:r>
      <w:r>
        <w:rPr>
          <w:lang w:eastAsia="zh-CN"/>
        </w:rPr>
        <w:t xml:space="preserve"/>
      </w:r>
      <w:r>
        <w:rPr>
          <w:lang w:eastAsia="zh-CN"/>
        </w:rPr>
        <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表示第k个在线Q网络的输出，</w:t>
      </w:r>
      <w:proofErr w:type="spellEnd"/>
      <w:r>
        <w:t xml:space="preserve"/>
      </w:r>
      <w:proofErr w:type="spellStart"/>
      <w:r>
        <w:t/>
      </w:r>
      <w:proofErr w:type="spellEnd"/>
      <w:r>
        <w:t xml:space="preserve"/>
      </w:r>
      <w:r>
        <w:t/>
      </w:r>
      <w:r>
        <w:t xml:space="preserve"/>
      </w:r>
      <w:proofErr w:type="spellStart"/>
      <w:r>
        <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Critic参数更新后，生产企业Actor同时依据在线第一Q网络的价值估计和固定判别器的行为判别结果更新参数。前者提高当前策略动作的Q值，后者提高Actor生成动作被判别器判定为专家行为的概率。Actor的对抗生成损失与总损失定义为：</w:t>
      </w:r>
      <w:proofErr w:type="spellEnd"/>
      <w:r>
        <w:t xml:space="preserve"/>
      </w:r>
      <w:proofErr w:type="spellStart"/>
      <w:r>
        <w:t/>
      </w:r>
      <w:proofErr w:type="spellEnd"/>
      <w:r>
        <w:t xml:space="preserve"/>
      </w:r>
      <w:proofErr w:type="spellStart"/>
      <w:r>
        <w:t/>
      </w:r>
      <w:proofErr w:type="spellEnd"/>
      <w:r>
        <w:t xml:space="preserve"/>
      </w:r>
      <w:proofErr w:type="spellStart"/>
      <w:r>
        <w:t/>
      </w:r>
      <w:r w:rsidRPr="005B454B">
        <w:t/>
      </w:r>
      <w:proofErr w:type="spellEnd"/>
      <w:r w:rsidRPr="005B454B">
        <w:t xml:space="preserve"/>
      </w:r>
      <w:proofErr w:type="spellStart"/>
      <w:r w:rsidRPr="005B454B">
        <w:t/>
      </w:r>
      <w:proofErr w:type="spellEnd"/>
      <w:r>
        <w:t/>
      </w:r>
    </w:p>
    <w:p w14:paraId="33DAD2A7" w14:textId="77777777" w:rsidR="00D80834" w:rsidRDefault="00000000" w:rsidP="00106600">
      <w:pPr>
        <w:spacing w:before="60" w:line="288" w:lineRule="auto"/>
        <w:ind w:firstLine="420"/>
        <w:jc w:val="center"/>
      </w:pPr>
      <m:oMath>
        <m:sSub>
          <m:e>
            <m:r>
              <m:t>ℒ</m:t>
            </m:r>
          </m:e>
          <m:sub>
            <m:r>
              <m:rPr>
                <m:nor/>
              </m:rPr>
              <m:t>adv</m:t>
            </m:r>
          </m:sub>
        </m:sSub>
        <m:d>
          <m:dPr>
            <m:sepChr m:val=","/>
          </m:dPr>
          <m:e>
            <m:r>
              <m:t>ψ</m:t>
            </m:r>
          </m:e>
        </m:d>
        <m:r>
          <m:t>=−</m:t>
        </m:r>
        <m:f>
          <m:fPr>
            <m:type m:val="bar"/>
          </m:fPr>
          <m:num>
            <m:r>
              <m:t>1</m:t>
            </m:r>
          </m:num>
          <m:den>
            <m:r>
              <m:t>2B</m:t>
            </m:r>
          </m:den>
        </m:f>
        <m:nary>
          <m:naryPr>
            <m:chr m:val="∑"/>
            <m:limLoc m:val="undOvr"/>
            <m:grow m:val="1"/>
            <m:subHide m:val="off"/>
            <m:supHide m:val="off"/>
          </m:naryPr>
          <m:sub>
            <m:r>
              <m:t>i=1</m:t>
            </m:r>
          </m:sub>
          <m:sup>
            <m:r>
              <m:t>B</m:t>
            </m:r>
          </m:sup>
          <m:e>
            <m:d>
              <m:dPr>
                <m:begChr m:val="["/>
                <m:sepChr m:val=","/>
                <m:endChr m:val="]"/>
              </m:dPr>
              <m:e>
                <m:r>
                  <m:rPr>
                    <m:sty m:val="p"/>
                  </m:rPr>
                  <m:t>log</m:t>
                </m:r>
              </m:e>
              <m:e>
                <m:sSub>
                  <m:e>
                    <m:r>
                      <m:t>D</m:t>
                    </m:r>
                  </m:e>
                  <m:sub>
                    <m:r>
                      <m:t>φ</m:t>
                    </m:r>
                  </m:sub>
                </m:sSub>
              </m:e>
              <m:e>
                <m:d>
                  <m:dPr>
                    <m:sepChr m:val=","/>
                  </m:dPr>
                  <m:e>
                    <m:sSub>
                      <m:e>
                        <m:r>
                          <m:t>s</m:t>
                        </m:r>
                      </m:e>
                      <m:sub>
                        <m:r>
                          <m:t>i</m:t>
                        </m:r>
                      </m:sub>
                    </m:sSub>
                  </m:e>
                  <m:e>
                    <m:r>
                      <m:t>,</m:t>
                    </m:r>
                  </m:e>
                  <m:e>
                    <m:sSub>
                      <m:e>
                        <m:r>
                          <m:t>μ</m:t>
                        </m:r>
                      </m:e>
                      <m:sub>
                        <m:r>
                          <m:t>ψ</m:t>
                        </m:r>
                      </m:sub>
                    </m:sSub>
                  </m:e>
                  <m:e>
                    <m:d>
                      <m:dPr>
                        <m:sepChr m:val=","/>
                      </m:dPr>
                      <m:e>
                        <m:sSub>
                          <m:e>
                            <m:r>
                              <m:t>s</m:t>
                            </m:r>
                          </m:e>
                          <m:sub>
                            <m:r>
                              <m:t>i</m:t>
                            </m:r>
                          </m:sub>
                        </m:sSub>
                      </m:e>
                    </m:d>
                  </m:e>
                </m:d>
              </m:e>
              <m:e>
                <m:r>
                  <m:t>+</m:t>
                </m:r>
              </m:e>
              <m:e>
                <m:r>
                  <m:rPr>
                    <m:sty m:val="p"/>
                  </m:rPr>
                  <m:t>log</m:t>
                </m:r>
              </m:e>
              <m:e>
                <m:sSub>
                  <m:e>
                    <m:r>
                      <m:t>D</m:t>
                    </m:r>
                  </m:e>
                  <m:sub>
                    <m:r>
                      <m:t>φ</m:t>
                    </m:r>
                  </m:sub>
                </m:sSub>
              </m:e>
              <m:e>
                <m:d>
                  <m:dPr>
                    <m:sepChr m:val=","/>
                  </m:dPr>
                  <m:e>
                    <m:sSubSup>
                      <m:e>
                        <m:r>
                          <m:t>s</m:t>
                        </m:r>
                      </m:e>
                      <m:sub>
                        <m:r>
                          <m:t>i</m:t>
                        </m:r>
                      </m:sub>
                      <m:sup>
                        <m:r>
                          <m:t>E</m:t>
                        </m:r>
                      </m:sup>
                    </m:sSubSup>
                  </m:e>
                  <m:e>
                    <m:r>
                      <m:t>,</m:t>
                    </m:r>
                  </m:e>
                  <m:e>
                    <m:sSub>
                      <m:e>
                        <m:r>
                          <m:t>μ</m:t>
                        </m:r>
                      </m:e>
                      <m:sub>
                        <m:r>
                          <m:t>ψ</m:t>
                        </m:r>
                      </m:sub>
                    </m:sSub>
                  </m:e>
                  <m:e>
                    <m:d>
                      <m:dPr>
                        <m:sepChr m:val=","/>
                      </m:dPr>
                      <m:e>
                        <m:sSubSup>
                          <m:e>
                            <m:r>
                              <m:t>s</m:t>
                            </m:r>
                          </m:e>
                          <m:sub>
                            <m:r>
                              <m:t>i</m:t>
                            </m:r>
                          </m:sub>
                          <m:sup>
                            <m:r>
                              <m:t>E</m:t>
                            </m:r>
                          </m:sup>
                        </m:sSubSup>
                      </m:e>
                    </m:d>
                  </m:e>
                </m:d>
              </m:e>
            </m:d>
          </m:e>
        </m:nary>
        <m:r>
          <m:t>,</m:t>
        </m:r>
        <m:sSub>
          <m:e>
            <m:r>
              <m:t>ℒ</m:t>
            </m:r>
          </m:e>
          <m:sub>
            <m:r>
              <m:rPr>
                <m:nor/>
              </m:rPr>
              <m:t>Actor</m:t>
            </m:r>
          </m:sub>
        </m:sSub>
        <m:d>
          <m:dPr>
            <m:sepChr m:val=","/>
          </m:dPr>
          <m:e>
            <m:r>
              <m:t>ψ</m:t>
            </m:r>
          </m:e>
        </m:d>
        <m:r>
          <m:t>=−</m:t>
        </m:r>
        <m:f>
          <m:fPr>
            <m:type m:val="bar"/>
          </m:fPr>
          <m:num>
            <m:r>
              <m:t>1</m:t>
            </m:r>
          </m:num>
          <m:den>
            <m:r>
              <m:t>B</m:t>
            </m:r>
          </m:den>
        </m:f>
        <m:nary>
          <m:naryPr>
            <m:chr m:val="∑"/>
            <m:limLoc m:val="undOvr"/>
            <m:grow m:val="1"/>
            <m:subHide m:val="off"/>
            <m:supHide m:val="off"/>
          </m:naryPr>
          <m:sub>
            <m:r>
              <m:t>i=1</m:t>
            </m:r>
          </m:sub>
          <m:sup>
            <m:r>
              <m:t>B</m:t>
            </m:r>
          </m:sup>
          <m:e>
            <m:sSub>
              <m:e>
                <m:r>
                  <m:t>Q</m:t>
                </m:r>
              </m:e>
              <m:sub>
                <m:sSub>
                  <m:e>
                    <m:r>
                      <m:t>θ</m:t>
                    </m:r>
                  </m:e>
                  <m:sub>
                    <m:r>
                      <m:t>1</m:t>
                    </m:r>
                  </m:sub>
                </m:sSub>
              </m:sub>
            </m:sSub>
          </m:e>
        </m:nary>
        <m:d>
          <m:dPr>
            <m:sepChr m:val=","/>
          </m:dPr>
          <m:e>
            <m:sSub>
              <m:e>
                <m:r>
                  <m:t>s</m:t>
                </m:r>
              </m:e>
              <m:sub>
                <m:r>
                  <m:t>i</m:t>
                </m:r>
              </m:sub>
            </m:sSub>
          </m:e>
          <m:e>
            <m:r>
              <m:t>,</m:t>
            </m:r>
          </m:e>
          <m:e>
            <m:sSub>
              <m:e>
                <m:r>
                  <m:t>μ</m:t>
                </m:r>
              </m:e>
              <m:sub>
                <m:r>
                  <m:t>ψ</m:t>
                </m:r>
              </m:sub>
            </m:sSub>
          </m:e>
          <m:e>
            <m:d>
              <m:dPr>
                <m:sepChr m:val=","/>
              </m:dPr>
              <m:e>
                <m:sSub>
                  <m:e>
                    <m:r>
                      <m:t>s</m:t>
                    </m:r>
                  </m:e>
                  <m:sub>
                    <m:r>
                      <m:t>i</m:t>
                    </m:r>
                  </m:sub>
                </m:sSub>
              </m:e>
            </m:d>
          </m:e>
        </m:d>
        <m:r>
          <m:t>+</m:t>
        </m:r>
        <m:sSub>
          <m:e>
            <m:r>
              <m:t>λ</m:t>
            </m:r>
          </m:e>
          <m:sub>
            <m:r>
              <m:rPr>
                <m:nor/>
              </m:rPr>
              <m:t>adv</m:t>
            </m:r>
          </m:sub>
        </m:sSub>
        <m:sSub>
          <m:e>
            <m:r>
              <m:t>ℒ</m:t>
            </m:r>
          </m:e>
          <m:sub>
            <m:r>
              <m:rPr>
                <m:nor/>
              </m:rPr>
              <m:t>adv</m:t>
            </m:r>
          </m:sub>
        </m:sSub>
        <m:d>
          <m:dPr>
            <m:sepChr m:val=","/>
          </m:dPr>
          <m:e>
            <m:r>
              <m:t>ψ</m:t>
            </m:r>
          </m:e>
        </m:d>
      </m:oMath>
    </w:p>
    <w:p w14:paraId="6CD019F2" w14:textId="77777777" w:rsidR="00D80834" w:rsidRDefault="00D80834" w:rsidP="00106600">
      <w:pPr>
        <w:ind w:firstLine="420"/>
        <w:rPr>
          <w:lang w:eastAsia="zh-CN"/>
        </w:rPr>
      </w:pPr>
      <w:r>
        <w:rPr>
          <w:lang w:eastAsia="zh-CN"/>
        </w:rPr>
        <w:t>式中，Actor总损失由TD3策略目标和对抗生成目标组成。TD3策略目标通过在线第一Q网络提高当前策略动作的价值估计；对抗生成目标分别在经验池状态和专家状态上生成动作，并提高这些动作被判别器判定为专家行为的概率。B表示批量大小，对抗权重用于调节两类目标的相对作用。Actor更新期间，判别器参数保持固定，梯度仅经判别器输入端传递至Actor。完成Actor与Critic更新后，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基于上述时序依赖特征，本文在第3章GAIL+TD3训练方案基础上引入Transformer编码器。该编码器首先将固定长度的历史状态或状态—动作序列转换为定长历史特征，随后将历史特征接入生产企业主体的Actor、Critic和判别器，使三类网络能够在保留当前输入的基础上利用局部历史交互信息。</w:t>
      </w:r>
    </w:p>
    <w:p w14:paraId="6CCA5375" w14:textId="77777777" w:rsidR="00636361" w:rsidRDefault="00000000" w:rsidP="001A17F2">
      <w:pPr>
        <w:pStyle w:val="21"/>
        <w:rPr>
          <w:lang w:eastAsia="zh-CN"/>
        </w:rPr>
      </w:pPr>
      <w:r>
        <w:rPr>
          <w:lang w:eastAsia="zh-CN"/>
        </w:rPr>
        <w:t>4.2 Transformer历史序列表征模块</w:t>
      </w:r>
    </w:p>
    <w:p w14:paraId="245F0050" w14:textId="77777777" w:rsidR="00D80834" w:rsidRDefault="00D80834" w:rsidP="00106600">
      <w:pPr>
        <w:ind w:firstLine="420"/>
        <w:rPr>
          <w:lang w:eastAsia="zh-CN"/>
        </w:rPr>
      </w:pPr>
      <w:r>
        <w:rPr>
          <w:lang w:eastAsia="zh-CN"/>
        </w:rPr>
        <w:t>本文将历史序列所包含的时间步数定义为序列长度，并记为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前的状态向量。当回合初期可用历史序列的时间步数不足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为统一图4-1与正文的符号表示，令</w:t>
      </w:r>
      <m:oMath>
        <m:r>
          <m:t>b∈</m:t>
        </m:r>
        <m:d>
          <m:dPr>
            <m:begChr m:val="{"/>
            <m:sepChr m:val=","/>
            <m:endChr m:val="}"/>
          </m:dPr>
          <m:e>
            <m:r>
              <m:t>A</m:t>
            </m:r>
          </m:e>
          <m:e>
            <m:r>
              <m:t>Q</m:t>
            </m:r>
          </m:e>
          <m:e>
            <m:r>
              <m:t>D</m:t>
            </m:r>
          </m:e>
        </m:d>
      </m:oMath>
      <w:r>
        <w:rPr>
          <w:lang w:eastAsia="zh-CN"/>
        </w:rPr>
        <w:t>分别表示Actor、Critic和判别器分支。第t个决策时刻的历史输入序列记为</w:t>
      </w:r>
      <m:oMath>
        <m:sSubSup>
          <m:e>
            <m:r>
              <m:t>H</m:t>
            </m:r>
          </m:e>
          <m:sub>
            <m:r>
              <m:t>t</m:t>
            </m:r>
          </m:sub>
          <m:sup>
            <m:d>
              <m:dPr>
                <m:sepChr m:val=","/>
              </m:dPr>
              <m:e>
                <m:r>
                  <m:t>b</m:t>
                </m:r>
              </m:e>
            </m:d>
          </m:sup>
        </m:sSubSup>
      </m:oMath>
      <w:r>
        <w:rPr>
          <w:lang w:eastAsia="zh-CN"/>
        </w:rPr>
        <w:t>，相应的历史序列表征模块与输出特征分别记为</w:t>
      </w:r>
      <m:oMath>
        <m:sSup>
          <m:e>
            <m:r>
              <m:rPr>
                <m:scr m:val="script"/>
              </m:rPr>
              <m:t>F</m:t>
            </m:r>
          </m:e>
          <m:sup>
            <m:d>
              <m:dPr>
                <m:sepChr m:val=","/>
              </m:dPr>
              <m:e>
                <m:r>
                  <m:t>b</m:t>
                </m:r>
              </m:e>
            </m:d>
          </m:sup>
        </m:sSup>
      </m:oMath>
      <w:r>
        <w:rPr>
          <w:lang w:eastAsia="zh-CN"/>
        </w:rPr>
        <w:t>和</w:t>
      </w:r>
      <m:oMath>
        <m:sSubSup>
          <m:e>
            <m:r>
              <m:t>z</m:t>
            </m:r>
          </m:e>
          <m:sub>
            <m:r>
              <m:t>t</m:t>
            </m:r>
          </m:sub>
          <m:sup>
            <m:d>
              <m:dPr>
                <m:sepChr m:val=","/>
              </m:dPr>
              <m:e>
                <m:r>
                  <m:t>b</m:t>
                </m:r>
              </m:e>
            </m:d>
          </m:sup>
        </m:sSubSup>
      </m:oMath>
      <w:r>
        <w:rPr>
          <w:lang w:eastAsia="zh-CN"/>
        </w:rPr>
        <w:t>。在下述通用计算过程中，以X表示任一分支的历史输入序列。</w:t>
      </w:r>
    </w:p>
    <w:p>
      <w:pPr>
        <w:ind w:firstLine="420"/>
        <w:rPr>
          <w:lang w:eastAsia="zh-CN"/>
        </w:rPr>
      </w:pPr>
      <w:r>
        <w:rPr>
          <w:lang w:eastAsia="zh-CN"/>
        </w:rPr>
        <w:t>本文将线性序列映射、可学习位置嵌入、多头自注意力、前馈子层和末时刻特征读取组成的结构定义为Transformer历史序列表征模块。该模块首先将序列中每个时间步的输入线性投影至统一的表征空间，再与对应位置的可学习位置嵌入相加，得到编码器输入E：</w:t>
      </w:r>
      <w:r>
        <w:rPr>
          <w:lang w:eastAsia="zh-CN"/>
          <w:vertAlign w:val="superscript"/>
        </w:rPr>
        <w:t xml:space="preserve">[8]</w:t>
      </w:r>
    </w:p>
    <w:p>
      <w:pPr>
        <w:ind w:firstLine="420"/>
        <w:jc w:val="center"/>
      </w:pPr>
      <m:oMath>
        <m:r>
          <m:t>E=X</m:t>
        </m:r>
        <m:sSub>
          <m:e>
            <m:r>
              <m:t>W</m:t>
            </m:r>
          </m:e>
          <m:sub>
            <m:r>
              <m:t>e</m:t>
            </m:r>
          </m:sub>
        </m:sSub>
        <m:r>
          <m:t>+</m:t>
        </m:r>
        <m:sSub>
          <m:e>
            <m:r>
              <m:t>b</m:t>
            </m:r>
          </m:e>
          <m:sub>
            <m:r>
              <m:t>e</m:t>
            </m:r>
          </m:sub>
        </m:sSub>
        <m:r>
          <m:t>+P</m:t>
        </m:r>
      </m:oMath>
    </w:p>
    <w:p>
      <w:pPr>
        <w:ind w:firstLine="420"/>
        <w:rPr>
          <w:lang w:eastAsia="zh-CN"/>
        </w:rPr>
      </w:pPr>
      <w:r>
        <w:rPr>
          <w:lang w:eastAsia="zh-CN"/>
        </w:rPr>
        <w:t>式中，W_e和b_e分别表示输入投影的权重矩阵与偏置向量，P表示与序列位置对应的可学习位置嵌入。输入投影将单个时间步的原始输入维度d_in转换为表征维度d_model。Actor分支的单时间步输入为33维状态向量；Critic和判别器分支的单时间步输入均为37维状态—动作向量。可学习位置嵌入与投影结果具有相同的序列长度和表征维度。对于编码器中的第h个注意力头，查询、键和值分别定义为：</w:t>
      </w:r>
    </w:p>
    <w:p>
      <w:pPr>
        <w:ind w:firstLine="420"/>
        <w:jc w:val="center"/>
      </w:pPr>
      <m:oMath>
        <m:sSub>
          <m:e>
            <m:r>
              <m:t>Q</m:t>
            </m:r>
          </m:e>
          <m:sub>
            <m:r>
              <m:t>h</m:t>
            </m:r>
          </m:sub>
        </m:sSub>
        <m:r>
          <m:t>=E</m:t>
        </m:r>
        <m:sSubSup>
          <m:e>
            <m:r>
              <m:t>W</m:t>
            </m:r>
          </m:e>
          <m:sub>
            <m:r>
              <m:t>h</m:t>
            </m:r>
          </m:sub>
          <m:sup>
            <m:r>
              <m:t>Q</m:t>
            </m:r>
          </m:sup>
        </m:sSubSup>
        <m:r>
          <m:t>,</m:t>
        </m:r>
        <m:sSub>
          <m:e>
            <m:r>
              <m:t>K</m:t>
            </m:r>
          </m:e>
          <m:sub>
            <m:r>
              <m:t>h</m:t>
            </m:r>
          </m:sub>
        </m:sSub>
        <m:r>
          <m:t>=E</m:t>
        </m:r>
        <m:sSubSup>
          <m:e>
            <m:r>
              <m:t>W</m:t>
            </m:r>
          </m:e>
          <m:sub>
            <m:r>
              <m:t>h</m:t>
            </m:r>
          </m:sub>
          <m:sup>
            <m:r>
              <m:t>K</m:t>
            </m:r>
          </m:sup>
        </m:sSubSup>
        <m:r>
          <m:t>,</m:t>
        </m:r>
        <m:sSub>
          <m:e>
            <m:r>
              <m:t>V</m:t>
            </m:r>
          </m:e>
          <m:sub>
            <m:r>
              <m:t>h</m:t>
            </m:r>
          </m:sub>
        </m:sSub>
        <m:r>
          <m:t>=E</m:t>
        </m:r>
        <m:sSubSup>
          <m:e>
            <m:r>
              <m:t>W</m:t>
            </m:r>
          </m:e>
          <m:sub>
            <m:r>
              <m:t>h</m:t>
            </m:r>
          </m:sub>
          <m:sup>
            <m:r>
              <m:t>V</m:t>
            </m:r>
          </m:sup>
        </m:sSubSup>
      </m:oMath>
    </w:p>
    <w:p>
      <w:pPr>
        <w:ind w:firstLine="420"/>
        <w:rPr>
          <w:lang w:eastAsia="zh-CN"/>
        </w:rPr>
      </w:pPr>
      <w:r>
        <w:rPr>
          <w:lang w:eastAsia="zh-CN"/>
        </w:rPr>
        <w:t>式中，W_h^Q、W_h^K和W_h^V表示将编码器输入映射至第h个注意力子空间的查询、键和值投影参数。各投影将表征维度d_model映射至单头维度d_h。第h个注意力头根据缩放点积计算不同时间位置之间的关联权重，其输出定义为：</w:t>
      </w:r>
    </w:p>
    <w:p>
      <w:pPr>
        <w:ind w:firstLine="420"/>
        <w:jc w:val="center"/>
      </w:pPr>
      <m:oMath>
        <m:sSub>
          <m:e>
            <m:r>
              <m:rPr>
                <m:sty m:val="p"/>
              </m:rPr>
              <m:t>head</m:t>
            </m:r>
          </m:e>
          <m:sub>
            <m:r>
              <m:t>h</m:t>
            </m:r>
          </m:sub>
        </m:sSub>
        <m:r>
          <m:t>=</m:t>
        </m:r>
        <m:r>
          <m:rPr>
            <m:sty m:val="p"/>
          </m:rPr>
          <m:t>softmax</m:t>
        </m:r>
        <m:d>
          <m:dPr>
            <m:sepChr m:val=","/>
          </m:dPr>
          <m:e>
            <m:f>
              <m:fPr>
                <m:type m:val="bar"/>
              </m:fPr>
              <m:num>
                <m:sSub>
                  <m:e>
                    <m:r>
                      <m:t>Q</m:t>
                    </m:r>
                  </m:e>
                  <m:sub>
                    <m:r>
                      <m:t>h</m:t>
                    </m:r>
                  </m:sub>
                </m:sSub>
                <m:sSubSup>
                  <m:e>
                    <m:r>
                      <m:t>K</m:t>
                    </m:r>
                  </m:e>
                  <m:sub>
                    <m:r>
                      <m:t>h</m:t>
                    </m:r>
                  </m:sub>
                  <m:sup>
                    <m:r>
                      <m:t>T</m:t>
                    </m:r>
                  </m:sup>
                </m:sSubSup>
              </m:num>
              <m:den>
                <m:rad>
                  <m:radPr>
                    <m:degHide m:val="on"/>
                  </m:radPr>
                  <m:deg/>
                  <m:e>
                    <m:sSub>
                      <m:e>
                        <m:r>
                          <m:t>d</m:t>
                        </m:r>
                      </m:e>
                      <m:sub>
                        <m:r>
                          <m:t>h</m:t>
                        </m:r>
                      </m:sub>
                    </m:sSub>
                  </m:e>
                </m:rad>
              </m:den>
            </m:f>
          </m:e>
        </m:d>
        <m:sSub>
          <m:e>
            <m:r>
              <m:t>V</m:t>
            </m:r>
          </m:e>
          <m:sub>
            <m:r>
              <m:t>h</m:t>
            </m:r>
          </m:sub>
        </m:sSub>
      </m:oMath>
    </w:p>
    <w:p>
      <w:pPr>
        <w:ind w:firstLine="420"/>
        <w:rPr>
          <w:lang w:eastAsia="zh-CN"/>
        </w:rPr>
      </w:pPr>
      <w:r>
        <w:rPr>
          <w:lang w:eastAsia="zh-CN"/>
        </w:rPr>
        <w:t>式中，Q_h、K_h和V_h分别表示第h个注意力头的查询、键和值，d_h表示单头维度。缩放项用于控制点积随特征维度增大而产生的数值变化。H个注意力头在不同特征子空间内并行计算，各头输出经拼接和输出投影后形成多头自注意力结果：</w:t>
      </w:r>
    </w:p>
    <w:p>
      <w:pPr>
        <w:ind w:firstLine="420"/>
        <w:jc w:val="center"/>
      </w:pPr>
      <m:oMath>
        <m:r>
          <m:rPr>
            <m:sty m:val="p"/>
          </m:rPr>
          <m:t>MHA</m:t>
        </m:r>
        <m:d>
          <m:dPr>
            <m:sepChr m:val=","/>
          </m:dPr>
          <m:e>
            <m:r>
              <m:t>E</m:t>
            </m:r>
          </m:e>
        </m:d>
        <m:r>
          <m:t>=</m:t>
        </m:r>
        <m:r>
          <m:rPr>
            <m:sty m:val="p"/>
          </m:rPr>
          <m:t>Concat</m:t>
        </m:r>
        <m:d>
          <m:dPr>
            <m:sepChr m:val=","/>
          </m:dPr>
          <m:e>
            <m:sSub>
              <m:e>
                <m:r>
                  <m:rPr>
                    <m:sty m:val="p"/>
                  </m:rPr>
                  <m:t>head</m:t>
                </m:r>
              </m:e>
              <m:sub>
                <m:r>
                  <m:t>1</m:t>
                </m:r>
              </m:sub>
            </m:sSub>
          </m:e>
          <m:e>
            <m:r>
              <m:t>,</m:t>
            </m:r>
          </m:e>
          <m:e>
            <m:r>
              <m:t>…</m:t>
            </m:r>
          </m:e>
          <m:e>
            <m:r>
              <m:t>,</m:t>
            </m:r>
          </m:e>
          <m:e>
            <m:sSub>
              <m:e>
                <m:r>
                  <m:rPr>
                    <m:sty m:val="p"/>
                  </m:rPr>
                  <m:t>head</m:t>
                </m:r>
              </m:e>
              <m:sub>
                <m:r>
                  <m:t>H</m:t>
                </m:r>
              </m:sub>
            </m:sSub>
          </m:e>
        </m:d>
        <m:sSup>
          <m:e>
            <m:r>
              <m:t>W</m:t>
            </m:r>
          </m:e>
          <m:sup>
            <m:r>
              <m:t>O</m:t>
            </m:r>
          </m:sup>
        </m:sSup>
      </m:oMath>
    </w:p>
    <w:p>
      <w:pPr>
        <w:ind w:firstLine="420"/>
        <w:rPr>
          <w:lang w:eastAsia="zh-CN"/>
        </w:rPr>
      </w:pPr>
      <w:r>
        <w:rPr>
          <w:lang w:eastAsia="zh-CN"/>
        </w:rPr>
        <w:t>式中，H表示注意力头数，W^O表示多头输出投影矩阵。本文三个分支均设置H=4。单头维度由表征维度除以注意力头数得到，因此Actor与Critic分支的表征维度为32，单头维度均为8；判别器分支的表征维度为100，单头维度为25。多头自注意力输出经过残差连接和层归一化后进入前馈子层。前馈子层由两层全连接映射组成，其计算形式为：</w:t>
      </w:r>
    </w:p>
    <w:p>
      <w:pPr>
        <w:ind w:firstLine="420"/>
        <w:jc w:val="center"/>
      </w:pPr>
      <m:oMath>
        <m:r>
          <m:rPr>
            <m:sty m:val="p"/>
          </m:rPr>
          <m:t>FFN</m:t>
        </m:r>
        <m:d>
          <m:dPr>
            <m:sepChr m:val=","/>
          </m:dPr>
          <m:e>
            <m:r>
              <m:t>U</m:t>
            </m:r>
          </m:e>
        </m:d>
        <m:r>
          <m:t>=</m:t>
        </m:r>
        <m:sSub>
          <m:e>
            <m:r>
              <m:t>W</m:t>
            </m:r>
          </m:e>
          <m:sub>
            <m:r>
              <m:t>2</m:t>
            </m:r>
          </m:sub>
        </m:sSub>
        <m:r>
          <m:rPr>
            <m:sty m:val="p"/>
          </m:rPr>
          <m:t>GELU</m:t>
        </m:r>
        <m:d>
          <m:dPr>
            <m:sepChr m:val=","/>
          </m:dPr>
          <m:e>
            <m:sSub>
              <m:e>
                <m:r>
                  <m:t>W</m:t>
                </m:r>
              </m:e>
              <m:sub>
                <m:r>
                  <m:t>1</m:t>
                </m:r>
              </m:sub>
            </m:sSub>
          </m:e>
          <m:e>
            <m:r>
              <m:t>U</m:t>
            </m:r>
          </m:e>
          <m:e>
            <m:r>
              <m:t>+</m:t>
            </m:r>
          </m:e>
          <m:e>
            <m:sSub>
              <m:e>
                <m:r>
                  <m:t>b</m:t>
                </m:r>
              </m:e>
              <m:sub>
                <m:r>
                  <m:t>1</m:t>
                </m:r>
              </m:sub>
            </m:sSub>
          </m:e>
        </m:d>
        <m:r>
          <m:t>+</m:t>
        </m:r>
        <m:sSub>
          <m:e>
            <m:r>
              <m:t>b</m:t>
            </m:r>
          </m:e>
          <m:sub>
            <m:r>
              <m:t>2</m:t>
            </m:r>
          </m:sub>
        </m:sSub>
      </m:oMath>
    </w:p>
    <w:p>
      <w:pPr>
        <w:ind w:firstLine="420"/>
        <w:rPr>
          <w:lang w:eastAsia="zh-CN"/>
        </w:rPr>
      </w:pPr>
      <w:r>
        <w:rPr>
          <w:lang w:eastAsia="zh-CN"/>
        </w:rPr>
        <w:t>式中，U表示多头自注意力子层完成残差连接和层归一化后的输出。前馈子层的第一层将表征维度扩展至前馈层维度，并采用高斯误差线性单元（GELU：Gaussian Error Linear Unit）进行非线性变换；第二层再将特征映射回原表征维度。前馈子层输出随后经过第二次残差连接和层归一化。三个分支均采用1个Transformer编码层，各分支的前馈层维度和Dropout设置见表4-1。编码器最后一个时间位置的输出再经独立的层归一化形成定长历史特征，其维数与相应分支的表征维度一致。三个分支分别维护独立的输入投影、位置嵌入、Transformer编码器和末时刻特征层归一化参数，彼此不共享参数。</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712"/>
        <w:jc w:val="center"/>
        <w:tblLayout w:type="fixed"/>
        <w:tblLook w:firstColumn="1" w:firstRow="1" w:lastColumn="0" w:lastRow="0" w:noHBand="0" w:noVBand="1" w:val="04A0"/>
      </w:tblPr>
      <w:tblGrid>
        <w:gridCol w:w="2088"/>
        <w:gridCol w:w="1728"/>
        <w:gridCol w:w="1800"/>
        <w:gridCol w:w="3096"/>
      </w:tblGrid>
      <w:tr>
        <w:tc>
          <w:tcPr>
            <w:tcW w:type="dxa" w:w="2088"/>
            <w:vAlign w:val="center"/>
            <w:tcBorders>
              <w:left w:val="nil"/>
              <w:right w:val="nil"/>
              <w:insideH w:val="nil"/>
              <w:insideV w:val="nil"/>
              <w:top w:val="single" w:sz="10" w:space="0" w:color="000000"/>
              <w:bottom w:val="single" w:sz="6" w:space="0" w:color="000000"/>
            </w:tcBorders>
          </w:tcPr>
          <w:p>
            <w:pPr>
              <w:jc w:val="center"/>
            </w:pPr>
            <w:r>
              <w:t>参数</w:t>
            </w:r>
          </w:p>
        </w:tc>
        <w:tc>
          <w:tcPr>
            <w:tcW w:type="dxa" w:w="1728"/>
            <w:vAlign w:val="center"/>
            <w:tcBorders>
              <w:left w:val="nil"/>
              <w:right w:val="nil"/>
              <w:insideH w:val="nil"/>
              <w:insideV w:val="nil"/>
              <w:top w:val="single" w:sz="10" w:space="0" w:color="000000"/>
              <w:bottom w:val="single" w:sz="6" w:space="0" w:color="000000"/>
            </w:tcBorders>
          </w:tcPr>
          <w:p>
            <w:pPr>
              <w:jc w:val="center"/>
            </w:pPr>
            <w:r>
              <w:t>Actor</w:t>
            </w:r>
          </w:p>
        </w:tc>
        <w:tc>
          <w:tcPr>
            <w:tcW w:type="dxa" w:w="1800"/>
            <w:vAlign w:val="center"/>
            <w:tcBorders>
              <w:left w:val="nil"/>
              <w:right w:val="nil"/>
              <w:insideH w:val="nil"/>
              <w:insideV w:val="nil"/>
              <w:top w:val="single" w:sz="10" w:space="0" w:color="000000"/>
              <w:bottom w:val="single" w:sz="6" w:space="0" w:color="000000"/>
            </w:tcBorders>
          </w:tcPr>
          <w:p>
            <w:pPr>
              <w:jc w:val="center"/>
            </w:pPr>
            <w:r>
              <w:t>Critic</w:t>
            </w:r>
          </w:p>
        </w:tc>
        <w:tc>
          <w:tcPr>
            <w:tcW w:type="dxa" w:w="3096"/>
            <w:vAlign w:val="center"/>
            <w:tcBorders>
              <w:left w:val="nil"/>
              <w:right w:val="nil"/>
              <w:insideH w:val="nil"/>
              <w:insideV w:val="nil"/>
              <w:top w:val="single" w:sz="10" w:space="0" w:color="000000"/>
              <w:bottom w:val="single" w:sz="6" w:space="0" w:color="000000"/>
            </w:tcBorders>
          </w:tcPr>
          <w:p>
            <w:pPr>
              <w:jc w:val="center"/>
            </w:pPr>
            <w:r>
              <w:t>判别器</w:t>
            </w:r>
          </w:p>
        </w:tc>
      </w:tr>
      <w:tr>
        <w:tc>
          <w:tcPr>
            <w:tcW w:type="dxa" w:w="2088"/>
            <w:vAlign w:val="center"/>
            <w:tcBorders>
              <w:left w:val="nil"/>
              <w:right w:val="nil"/>
              <w:insideH w:val="nil"/>
              <w:insideV w:val="nil"/>
              <w:top w:val="nil"/>
              <w:bottom w:val="nil"/>
            </w:tcBorders>
          </w:tcPr>
          <w:p>
            <w:pPr>
              <w:jc w:val="center"/>
            </w:pPr>
            <w:r>
              <w:rPr>
                <w:rFonts w:hint="eastAsia"/>
                <w:b w:val="0"/>
                <w:bCs w:val="0"/>
              </w:rPr>
              <w:t>历史输入</w:t>
            </w:r>
          </w:p>
        </w:tc>
        <w:tc>
          <w:tcPr>
            <w:tcW w:type="dxa" w:w="1728"/>
            <w:vAlign w:val="center"/>
            <w:tcBorders>
              <w:left w:val="nil"/>
              <w:right w:val="nil"/>
              <w:insideH w:val="nil"/>
              <w:insideV w:val="nil"/>
              <w:top w:val="nil"/>
              <w:bottom w:val="nil"/>
            </w:tcBorders>
          </w:tcPr>
          <w:p>
            <w:pPr>
              <w:jc w:val="center"/>
            </w:pPr>
            <w:r>
              <w:rPr>
                <w:rFonts w:hint="eastAsia"/>
                <w:b w:val="0"/>
                <w:bCs w:val="0"/>
              </w:rPr>
              <w:t>状态序列</w:t>
            </w:r>
          </w:p>
        </w:tc>
        <w:tc>
          <w:tcPr>
            <w:tcW w:type="dxa" w:w="1800"/>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3096"/>
            <w:vAlign w:val="center"/>
            <w:tcBorders>
              <w:left w:val="nil"/>
              <w:right w:val="nil"/>
              <w:insideH w:val="nil"/>
              <w:insideV w:val="nil"/>
              <w:top w:val="nil"/>
              <w:bottom w:val="nil"/>
            </w:tcBorders>
          </w:tcPr>
          <w:p>
            <w:pPr>
              <w:jc w:val="center"/>
            </w:pPr>
            <w:r>
              <w:rPr>
                <w:rFonts w:hint="eastAsia"/>
                <w:b w:val="0"/>
                <w:bCs w:val="0"/>
              </w:rPr>
              <w:t>专家或生成状态—动作序列</w:t>
            </w:r>
          </w:p>
        </w:tc>
      </w:tr>
      <w:tr>
        <w:tc>
          <w:tcPr>
            <w:tcW w:type="dxa" w:w="2088"/>
            <w:vAlign w:val="center"/>
            <w:tcBorders>
              <w:left w:val="nil"/>
              <w:right w:val="nil"/>
              <w:insideH w:val="nil"/>
              <w:insideV w:val="nil"/>
              <w:top w:val="nil"/>
              <w:bottom w:val="nil"/>
            </w:tcBorders>
          </w:tcPr>
          <w:p>
            <w:pPr>
              <w:jc w:val="center"/>
            </w:pPr>
            <w:r>
              <w:rPr>
                <w:rFonts w:hint="eastAsia"/>
                <w:b w:val="0"/>
                <w:bCs w:val="0"/>
              </w:rPr>
              <w:t>单时间步输入维度</w:t>
            </w:r>
          </w:p>
        </w:tc>
        <w:tc>
          <w:tcPr>
            <w:tcW w:type="dxa" w:w="1728"/>
            <w:vAlign w:val="center"/>
            <w:tcBorders>
              <w:left w:val="nil"/>
              <w:right w:val="nil"/>
              <w:insideH w:val="nil"/>
              <w:insideV w:val="nil"/>
              <w:top w:val="nil"/>
              <w:bottom w:val="nil"/>
            </w:tcBorders>
          </w:tcPr>
          <w:p>
            <w:pPr>
              <w:jc w:val="center"/>
            </w:pPr>
            <w:r>
              <w:rPr>
                <w:rFonts w:hint="eastAsia"/>
                <w:b w:val="0"/>
                <w:bCs w:val="0"/>
              </w:rPr>
              <w:t>33</w:t>
            </w:r>
          </w:p>
        </w:tc>
        <w:tc>
          <w:tcPr>
            <w:tcW w:type="dxa" w:w="1800"/>
            <w:vAlign w:val="center"/>
            <w:tcBorders>
              <w:left w:val="nil"/>
              <w:right w:val="nil"/>
              <w:insideH w:val="nil"/>
              <w:insideV w:val="nil"/>
              <w:top w:val="nil"/>
              <w:bottom w:val="nil"/>
            </w:tcBorders>
          </w:tcPr>
          <w:p>
            <w:pPr>
              <w:jc w:val="center"/>
            </w:pPr>
            <w:r>
              <w:rPr>
                <w:rFonts w:hint="eastAsia"/>
                <w:b w:val="0"/>
                <w:bCs w:val="0"/>
              </w:rPr>
              <w:t>37</w:t>
            </w:r>
          </w:p>
        </w:tc>
        <w:tc>
          <w:tcPr>
            <w:tcW w:type="dxa" w:w="3096"/>
            <w:vAlign w:val="center"/>
            <w:tcBorders>
              <w:left w:val="nil"/>
              <w:right w:val="nil"/>
              <w:insideH w:val="nil"/>
              <w:insideV w:val="nil"/>
              <w:top w:val="nil"/>
              <w:bottom w:val="nil"/>
            </w:tcBorders>
          </w:tcPr>
          <w:p>
            <w:pPr>
              <w:jc w:val="center"/>
            </w:pPr>
            <w:r>
              <w:rPr>
                <w:rFonts w:hint="eastAsia"/>
                <w:b w:val="0"/>
                <w:bCs w:val="0"/>
              </w:rPr>
              <w:t>37</w:t>
            </w:r>
          </w:p>
        </w:tc>
      </w:tr>
      <w:tr>
        <w:tc>
          <w:tcPr>
            <w:tcW w:type="dxa" w:w="2088"/>
            <w:vAlign w:val="center"/>
            <w:tcBorders>
              <w:left w:val="nil"/>
              <w:right w:val="nil"/>
              <w:insideH w:val="nil"/>
              <w:insideV w:val="nil"/>
              <w:top w:val="nil"/>
              <w:bottom w:val="nil"/>
            </w:tcBorders>
          </w:tcPr>
          <w:p>
            <w:pPr>
              <w:jc w:val="center"/>
            </w:pPr>
            <w:r>
              <w:rPr>
                <w:rFonts w:hint="eastAsia"/>
                <w:b w:val="0"/>
                <w:bCs w:val="0"/>
              </w:rPr>
              <w:t>输入投影</w:t>
            </w:r>
          </w:p>
        </w:tc>
        <w:tc>
          <w:tcPr>
            <w:tcW w:type="dxa" w:w="1728"/>
            <w:vAlign w:val="center"/>
            <w:tcBorders>
              <w:left w:val="nil"/>
              <w:right w:val="nil"/>
              <w:insideH w:val="nil"/>
              <w:insideV w:val="nil"/>
              <w:top w:val="nil"/>
              <w:bottom w:val="nil"/>
            </w:tcBorders>
          </w:tcPr>
          <w:p>
            <w:pPr>
              <w:jc w:val="center"/>
            </w:pPr>
            <w:r>
              <w:rPr>
                <w:rFonts w:hint="eastAsia"/>
                <w:b w:val="0"/>
                <w:bCs w:val="0"/>
              </w:rPr>
              <w:t>33→32</w:t>
            </w:r>
          </w:p>
        </w:tc>
        <w:tc>
          <w:tcPr>
            <w:tcW w:type="dxa" w:w="1800"/>
            <w:vAlign w:val="center"/>
            <w:tcBorders>
              <w:left w:val="nil"/>
              <w:right w:val="nil"/>
              <w:insideH w:val="nil"/>
              <w:insideV w:val="nil"/>
              <w:top w:val="nil"/>
              <w:bottom w:val="nil"/>
            </w:tcBorders>
          </w:tcPr>
          <w:p>
            <w:pPr>
              <w:jc w:val="center"/>
            </w:pPr>
            <w:r>
              <w:rPr>
                <w:rFonts w:hint="eastAsia"/>
                <w:b w:val="0"/>
                <w:bCs w:val="0"/>
              </w:rPr>
              <w:t>37→32</w:t>
            </w:r>
          </w:p>
        </w:tc>
        <w:tc>
          <w:tcPr>
            <w:tcW w:type="dxa" w:w="3096"/>
            <w:vAlign w:val="center"/>
            <w:tcBorders>
              <w:left w:val="nil"/>
              <w:right w:val="nil"/>
              <w:insideH w:val="nil"/>
              <w:insideV w:val="nil"/>
              <w:top w:val="nil"/>
              <w:bottom w:val="nil"/>
            </w:tcBorders>
          </w:tcPr>
          <w:p>
            <w:pPr>
              <w:jc w:val="center"/>
            </w:pPr>
            <w:r>
              <w:rPr>
                <w:rFonts w:hint="eastAsia"/>
                <w:b w:val="0"/>
                <w:bCs w:val="0"/>
              </w:rPr>
              <w:t>37→100</w:t>
            </w:r>
          </w:p>
        </w:tc>
      </w:tr>
      <w:tr>
        <w:tc>
          <w:tcPr>
            <w:tcW w:type="dxa" w:w="2088"/>
            <w:vAlign w:val="center"/>
            <w:tcBorders>
              <w:left w:val="nil"/>
              <w:right w:val="nil"/>
              <w:insideH w:val="nil"/>
              <w:insideV w:val="nil"/>
              <w:top w:val="nil"/>
              <w:bottom w:val="nil"/>
            </w:tcBorders>
          </w:tcPr>
          <w:p>
            <w:pPr>
              <w:jc w:val="center"/>
            </w:pPr>
            <w:r>
              <w:rPr>
                <w:rFonts w:hint="eastAsia"/>
                <w:b w:val="0"/>
                <w:bCs w:val="0"/>
              </w:rPr>
              <w:t>序列长度（l）</w:t>
            </w:r>
          </w:p>
        </w:tc>
        <w:tc>
          <w:tcPr>
            <w:tcW w:type="dxa" w:w="1728"/>
            <w:vAlign w:val="center"/>
            <w:tcBorders>
              <w:left w:val="nil"/>
              <w:right w:val="nil"/>
              <w:insideH w:val="nil"/>
              <w:insideV w:val="nil"/>
              <w:top w:val="nil"/>
              <w:bottom w:val="nil"/>
            </w:tcBorders>
          </w:tcPr>
          <w:p>
            <w:pPr>
              <w:jc w:val="center"/>
            </w:pPr>
            <w:r>
              <w:rPr>
                <w:rFonts w:hint="eastAsia"/>
                <w:b w:val="0"/>
                <w:bCs w:val="0"/>
              </w:rPr>
              <w:t>5</w:t>
            </w:r>
          </w:p>
        </w:tc>
        <w:tc>
          <w:tcPr>
            <w:tcW w:type="dxa" w:w="1800"/>
            <w:vAlign w:val="center"/>
            <w:tcBorders>
              <w:left w:val="nil"/>
              <w:right w:val="nil"/>
              <w:insideH w:val="nil"/>
              <w:insideV w:val="nil"/>
              <w:top w:val="nil"/>
              <w:bottom w:val="nil"/>
            </w:tcBorders>
          </w:tcPr>
          <w:p>
            <w:pPr>
              <w:jc w:val="center"/>
            </w:pPr>
            <w:r>
              <w:rPr>
                <w:rFonts w:hint="eastAsia"/>
                <w:b w:val="0"/>
                <w:bCs w:val="0"/>
              </w:rPr>
              <w:t>5</w:t>
            </w:r>
          </w:p>
        </w:tc>
        <w:tc>
          <w:tcPr>
            <w:tcW w:type="dxa" w:w="3096"/>
            <w:vAlign w:val="center"/>
            <w:tcBorders>
              <w:left w:val="nil"/>
              <w:right w:val="nil"/>
              <w:insideH w:val="nil"/>
              <w:insideV w:val="nil"/>
              <w:top w:val="nil"/>
              <w:bottom w:val="nil"/>
            </w:tcBorders>
          </w:tcPr>
          <w:p>
            <w:pPr>
              <w:jc w:val="center"/>
            </w:pPr>
            <w:r>
              <w:rPr>
                <w:rFonts w:hint="eastAsia"/>
                <w:b w:val="0"/>
                <w:bCs w:val="0"/>
              </w:rPr>
              <w:t>5</w:t>
            </w:r>
          </w:p>
        </w:tc>
      </w:tr>
      <w:tr>
        <w:tc>
          <w:tcPr>
            <w:tcW w:type="dxa" w:w="2088"/>
            <w:vAlign w:val="center"/>
            <w:tcBorders>
              <w:left w:val="nil"/>
              <w:right w:val="nil"/>
              <w:insideH w:val="nil"/>
              <w:insideV w:val="nil"/>
              <w:top w:val="nil"/>
              <w:bottom w:val="nil"/>
            </w:tcBorders>
          </w:tcPr>
          <w:p>
            <w:pPr>
              <w:jc w:val="center"/>
            </w:pPr>
            <w:r>
              <w:rPr>
                <w:rFonts w:hint="eastAsia"/>
                <w:b w:val="0"/>
                <w:bCs w:val="0"/>
              </w:rPr>
              <w:t>编码层数</w:t>
            </w:r>
          </w:p>
        </w:tc>
        <w:tc>
          <w:tcPr>
            <w:tcW w:type="dxa" w:w="1728"/>
            <w:vAlign w:val="center"/>
            <w:tcBorders>
              <w:left w:val="nil"/>
              <w:right w:val="nil"/>
              <w:insideH w:val="nil"/>
              <w:insideV w:val="nil"/>
              <w:top w:val="nil"/>
              <w:bottom w:val="nil"/>
            </w:tcBorders>
          </w:tcPr>
          <w:p>
            <w:pPr>
              <w:jc w:val="center"/>
            </w:pPr>
            <w:r>
              <w:rPr>
                <w:rFonts w:hint="eastAsia"/>
                <w:b w:val="0"/>
                <w:bCs w:val="0"/>
              </w:rPr>
              <w:t>1</w:t>
            </w:r>
          </w:p>
        </w:tc>
        <w:tc>
          <w:tcPr>
            <w:tcW w:type="dxa" w:w="1800"/>
            <w:vAlign w:val="center"/>
            <w:tcBorders>
              <w:left w:val="nil"/>
              <w:right w:val="nil"/>
              <w:insideH w:val="nil"/>
              <w:insideV w:val="nil"/>
              <w:top w:val="nil"/>
              <w:bottom w:val="nil"/>
            </w:tcBorders>
          </w:tcPr>
          <w:p>
            <w:pPr>
              <w:jc w:val="center"/>
            </w:pPr>
            <w:r>
              <w:rPr>
                <w:rFonts w:hint="eastAsia"/>
                <w:b w:val="0"/>
                <w:bCs w:val="0"/>
              </w:rPr>
              <w:t>1</w:t>
            </w:r>
          </w:p>
        </w:tc>
        <w:tc>
          <w:tcPr>
            <w:tcW w:type="dxa" w:w="3096"/>
            <w:vAlign w:val="center"/>
            <w:tcBorders>
              <w:left w:val="nil"/>
              <w:right w:val="nil"/>
              <w:insideH w:val="nil"/>
              <w:insideV w:val="nil"/>
              <w:top w:val="nil"/>
              <w:bottom w:val="nil"/>
            </w:tcBorders>
          </w:tcPr>
          <w:p>
            <w:pPr>
              <w:jc w:val="center"/>
            </w:pPr>
            <w:r>
              <w:rPr>
                <w:rFonts w:hint="eastAsia"/>
                <w:b w:val="0"/>
                <w:bCs w:val="0"/>
              </w:rPr>
              <w:t>1</w:t>
            </w:r>
          </w:p>
        </w:tc>
      </w:tr>
      <w:tr>
        <w:tc>
          <w:tcPr>
            <w:tcW w:type="dxa" w:w="2088"/>
            <w:vAlign w:val="center"/>
            <w:tcBorders>
              <w:left w:val="nil"/>
              <w:right w:val="nil"/>
              <w:insideH w:val="nil"/>
              <w:insideV w:val="nil"/>
              <w:top w:val="nil"/>
              <w:bottom w:val="nil"/>
            </w:tcBorders>
          </w:tcPr>
          <w:p>
            <w:pPr>
              <w:jc w:val="center"/>
            </w:pPr>
            <w:r>
              <w:rPr>
                <w:rFonts w:hint="eastAsia"/>
                <w:b w:val="0"/>
                <w:bCs w:val="0"/>
              </w:rPr>
              <w:t>注意力头数（H）</w:t>
            </w:r>
          </w:p>
        </w:tc>
        <w:tc>
          <w:tcPr>
            <w:tcW w:type="dxa" w:w="1728"/>
            <w:vAlign w:val="center"/>
            <w:tcBorders>
              <w:left w:val="nil"/>
              <w:right w:val="nil"/>
              <w:insideH w:val="nil"/>
              <w:insideV w:val="nil"/>
              <w:top w:val="nil"/>
              <w:bottom w:val="nil"/>
            </w:tcBorders>
          </w:tcPr>
          <w:p>
            <w:pPr>
              <w:jc w:val="center"/>
            </w:pPr>
            <w:r>
              <w:rPr>
                <w:rFonts w:hint="eastAsia"/>
                <w:b w:val="0"/>
                <w:bCs w:val="0"/>
              </w:rPr>
              <w:t>4</w:t>
            </w:r>
          </w:p>
        </w:tc>
        <w:tc>
          <w:tcPr>
            <w:tcW w:type="dxa" w:w="1800"/>
            <w:vAlign w:val="center"/>
            <w:tcBorders>
              <w:left w:val="nil"/>
              <w:right w:val="nil"/>
              <w:insideH w:val="nil"/>
              <w:insideV w:val="nil"/>
              <w:top w:val="nil"/>
              <w:bottom w:val="nil"/>
            </w:tcBorders>
          </w:tcPr>
          <w:p>
            <w:pPr>
              <w:jc w:val="center"/>
            </w:pPr>
            <w:r>
              <w:rPr>
                <w:rFonts w:hint="eastAsia"/>
                <w:b w:val="0"/>
                <w:bCs w:val="0"/>
              </w:rPr>
              <w:t>4</w:t>
            </w:r>
          </w:p>
        </w:tc>
        <w:tc>
          <w:tcPr>
            <w:tcW w:type="dxa" w:w="3096"/>
            <w:vAlign w:val="center"/>
            <w:tcBorders>
              <w:left w:val="nil"/>
              <w:right w:val="nil"/>
              <w:insideH w:val="nil"/>
              <w:insideV w:val="nil"/>
              <w:top w:val="nil"/>
              <w:bottom w:val="nil"/>
            </w:tcBorders>
          </w:tcPr>
          <w:p>
            <w:pPr>
              <w:jc w:val="center"/>
            </w:pPr>
            <w:r>
              <w:rPr>
                <w:rFonts w:hint="eastAsia"/>
                <w:b w:val="0"/>
                <w:bCs w:val="0"/>
              </w:rPr>
              <w:t>4</w:t>
            </w:r>
          </w:p>
        </w:tc>
      </w:tr>
      <w:tr>
        <w:tc>
          <w:tcPr>
            <w:tcW w:type="dxa" w:w="2088"/>
            <w:vAlign w:val="center"/>
            <w:tcBorders>
              <w:left w:val="nil"/>
              <w:right w:val="nil"/>
              <w:insideH w:val="nil"/>
              <w:insideV w:val="nil"/>
              <w:top w:val="nil"/>
              <w:bottom w:val="nil"/>
            </w:tcBorders>
          </w:tcPr>
          <w:p>
            <w:pPr>
              <w:jc w:val="center"/>
            </w:pPr>
            <w:r>
              <w:rPr>
                <w:rFonts w:hint="eastAsia"/>
                <w:b w:val="0"/>
                <w:bCs w:val="0"/>
              </w:rPr>
              <w:t>表征维度（d_model）</w:t>
            </w:r>
          </w:p>
        </w:tc>
        <w:tc>
          <w:tcPr>
            <w:tcW w:type="dxa" w:w="1728"/>
            <w:vAlign w:val="center"/>
            <w:tcBorders>
              <w:left w:val="nil"/>
              <w:right w:val="nil"/>
              <w:insideH w:val="nil"/>
              <w:insideV w:val="nil"/>
              <w:top w:val="nil"/>
              <w:bottom w:val="nil"/>
            </w:tcBorders>
          </w:tcPr>
          <w:p>
            <w:pPr>
              <w:jc w:val="center"/>
            </w:pPr>
            <w:r>
              <w:rPr>
                <w:rFonts w:hint="eastAsia"/>
                <w:b w:val="0"/>
                <w:bCs w:val="0"/>
              </w:rPr>
              <w:t>32</w:t>
            </w:r>
          </w:p>
        </w:tc>
        <w:tc>
          <w:tcPr>
            <w:tcW w:type="dxa" w:w="1800"/>
            <w:vAlign w:val="center"/>
            <w:tcBorders>
              <w:left w:val="nil"/>
              <w:right w:val="nil"/>
              <w:insideH w:val="nil"/>
              <w:insideV w:val="nil"/>
              <w:top w:val="nil"/>
              <w:bottom w:val="nil"/>
            </w:tcBorders>
          </w:tcPr>
          <w:p>
            <w:pPr>
              <w:jc w:val="center"/>
            </w:pPr>
            <w:r>
              <w:rPr>
                <w:rFonts w:hint="eastAsia"/>
                <w:b w:val="0"/>
                <w:bCs w:val="0"/>
              </w:rPr>
              <w:t>32</w:t>
            </w:r>
          </w:p>
        </w:tc>
        <w:tc>
          <w:tcPr>
            <w:tcW w:type="dxa" w:w="3096"/>
            <w:vAlign w:val="center"/>
            <w:tcBorders>
              <w:left w:val="nil"/>
              <w:right w:val="nil"/>
              <w:insideH w:val="nil"/>
              <w:insideV w:val="nil"/>
              <w:top w:val="nil"/>
              <w:bottom w:val="nil"/>
            </w:tcBorders>
          </w:tcPr>
          <w:p>
            <w:pPr>
              <w:jc w:val="center"/>
            </w:pPr>
            <w:r>
              <w:rPr>
                <w:rFonts w:hint="eastAsia"/>
                <w:b w:val="0"/>
                <w:bCs w:val="0"/>
              </w:rPr>
              <w:t>100</w:t>
            </w:r>
          </w:p>
        </w:tc>
      </w:tr>
      <w:tr>
        <w:tc>
          <w:tcPr>
            <w:tcW w:type="dxa" w:w="2088"/>
            <w:vAlign w:val="center"/>
            <w:tcBorders>
              <w:left w:val="nil"/>
              <w:right w:val="nil"/>
              <w:insideH w:val="nil"/>
              <w:insideV w:val="nil"/>
              <w:top w:val="nil"/>
              <w:bottom w:val="nil"/>
            </w:tcBorders>
          </w:tcPr>
          <w:p>
            <w:pPr>
              <w:jc w:val="center"/>
            </w:pPr>
            <w:r>
              <w:rPr>
                <w:rFonts w:hint="eastAsia"/>
                <w:b w:val="0"/>
                <w:bCs w:val="0"/>
              </w:rPr>
              <w:t>单头维度（d_h）</w:t>
            </w:r>
          </w:p>
        </w:tc>
        <w:tc>
          <w:tcPr>
            <w:tcW w:type="dxa" w:w="1728"/>
            <w:vAlign w:val="center"/>
            <w:tcBorders>
              <w:left w:val="nil"/>
              <w:right w:val="nil"/>
              <w:insideH w:val="nil"/>
              <w:insideV w:val="nil"/>
              <w:top w:val="nil"/>
              <w:bottom w:val="nil"/>
            </w:tcBorders>
          </w:tcPr>
          <w:p>
            <w:pPr>
              <w:jc w:val="center"/>
            </w:pPr>
            <w:r>
              <w:rPr>
                <w:rFonts w:hint="eastAsia"/>
                <w:b w:val="0"/>
                <w:bCs w:val="0"/>
              </w:rPr>
              <w:t>8</w:t>
            </w:r>
          </w:p>
        </w:tc>
        <w:tc>
          <w:tcPr>
            <w:tcW w:type="dxa" w:w="1800"/>
            <w:vAlign w:val="center"/>
            <w:tcBorders>
              <w:left w:val="nil"/>
              <w:right w:val="nil"/>
              <w:insideH w:val="nil"/>
              <w:insideV w:val="nil"/>
              <w:top w:val="nil"/>
              <w:bottom w:val="nil"/>
            </w:tcBorders>
          </w:tcPr>
          <w:p>
            <w:pPr>
              <w:jc w:val="center"/>
            </w:pPr>
            <w:r>
              <w:rPr>
                <w:rFonts w:hint="eastAsia"/>
                <w:b w:val="0"/>
                <w:bCs w:val="0"/>
              </w:rPr>
              <w:t>8</w:t>
            </w:r>
          </w:p>
        </w:tc>
        <w:tc>
          <w:tcPr>
            <w:tcW w:type="dxa" w:w="3096"/>
            <w:vAlign w:val="center"/>
            <w:tcBorders>
              <w:left w:val="nil"/>
              <w:right w:val="nil"/>
              <w:insideH w:val="nil"/>
              <w:insideV w:val="nil"/>
              <w:top w:val="nil"/>
              <w:bottom w:val="nil"/>
            </w:tcBorders>
          </w:tcPr>
          <w:p>
            <w:pPr>
              <w:jc w:val="center"/>
            </w:pPr>
            <w:r>
              <w:rPr>
                <w:rFonts w:hint="eastAsia"/>
                <w:b w:val="0"/>
                <w:bCs w:val="0"/>
              </w:rPr>
              <w:t>25</w:t>
            </w:r>
          </w:p>
        </w:tc>
      </w:tr>
      <w:tr>
        <w:tc>
          <w:tcPr>
            <w:tcW w:type="dxa" w:w="2088"/>
            <w:vAlign w:val="center"/>
            <w:tcBorders>
              <w:left w:val="nil"/>
              <w:right w:val="nil"/>
              <w:insideH w:val="nil"/>
              <w:insideV w:val="nil"/>
              <w:top w:val="nil"/>
              <w:bottom w:val="nil"/>
            </w:tcBorders>
          </w:tcPr>
          <w:p>
            <w:pPr>
              <w:jc w:val="center"/>
            </w:pPr>
            <w:r>
              <w:rPr>
                <w:rFonts w:hint="eastAsia"/>
                <w:b w:val="0"/>
                <w:bCs w:val="0"/>
              </w:rPr>
              <w:t>前馈层维度</w:t>
            </w:r>
          </w:p>
        </w:tc>
        <w:tc>
          <w:tcPr>
            <w:tcW w:type="dxa" w:w="1728"/>
            <w:vAlign w:val="center"/>
            <w:tcBorders>
              <w:left w:val="nil"/>
              <w:right w:val="nil"/>
              <w:insideH w:val="nil"/>
              <w:insideV w:val="nil"/>
              <w:top w:val="nil"/>
              <w:bottom w:val="nil"/>
            </w:tcBorders>
          </w:tcPr>
          <w:p>
            <w:pPr>
              <w:jc w:val="center"/>
            </w:pPr>
            <w:r>
              <w:rPr>
                <w:rFonts w:hint="eastAsia"/>
                <w:b w:val="0"/>
                <w:bCs w:val="0"/>
              </w:rPr>
              <w:t>64</w:t>
            </w:r>
          </w:p>
        </w:tc>
        <w:tc>
          <w:tcPr>
            <w:tcW w:type="dxa" w:w="1800"/>
            <w:vAlign w:val="center"/>
            <w:tcBorders>
              <w:left w:val="nil"/>
              <w:right w:val="nil"/>
              <w:insideH w:val="nil"/>
              <w:insideV w:val="nil"/>
              <w:top w:val="nil"/>
              <w:bottom w:val="nil"/>
            </w:tcBorders>
          </w:tcPr>
          <w:p>
            <w:pPr>
              <w:jc w:val="center"/>
            </w:pPr>
            <w:r>
              <w:rPr>
                <w:rFonts w:hint="eastAsia"/>
                <w:b w:val="0"/>
                <w:bCs w:val="0"/>
              </w:rPr>
              <w:t>64</w:t>
            </w:r>
          </w:p>
        </w:tc>
        <w:tc>
          <w:tcPr>
            <w:tcW w:type="dxa" w:w="3096"/>
            <w:vAlign w:val="center"/>
            <w:tcBorders>
              <w:left w:val="nil"/>
              <w:right w:val="nil"/>
              <w:insideH w:val="nil"/>
              <w:insideV w:val="nil"/>
              <w:top w:val="nil"/>
              <w:bottom w:val="nil"/>
            </w:tcBorders>
          </w:tcPr>
          <w:p>
            <w:pPr>
              <w:jc w:val="center"/>
            </w:pPr>
            <w:r>
              <w:rPr>
                <w:rFonts w:hint="eastAsia"/>
                <w:b w:val="0"/>
                <w:bCs w:val="0"/>
              </w:rPr>
              <w:t>200</w:t>
            </w:r>
          </w:p>
        </w:tc>
      </w:tr>
      <w:tr>
        <w:tc>
          <w:tcPr>
            <w:tcW w:type="dxa" w:w="2088"/>
            <w:vAlign w:val="center"/>
            <w:tcBorders>
              <w:left w:val="nil"/>
              <w:right w:val="nil"/>
              <w:insideH w:val="nil"/>
              <w:insideV w:val="nil"/>
              <w:top w:val="nil"/>
              <w:bottom w:val="single" w:sz="10" w:space="0" w:color="000000"/>
            </w:tcBorders>
          </w:tcPr>
          <w:p>
            <w:pPr>
              <w:jc w:val="center"/>
            </w:pPr>
            <w:r>
              <w:rPr>
                <w:rFonts w:hint="eastAsia"/>
                <w:b w:val="0"/>
                <w:bCs w:val="0"/>
              </w:rPr>
              <w:t>Dropout</w:t>
            </w:r>
          </w:p>
        </w:tc>
        <w:tc>
          <w:tcPr>
            <w:tcW w:type="dxa" w:w="1728"/>
            <w:vAlign w:val="center"/>
            <w:tcBorders>
              <w:left w:val="nil"/>
              <w:right w:val="nil"/>
              <w:insideH w:val="nil"/>
              <w:insideV w:val="nil"/>
              <w:top w:val="nil"/>
              <w:bottom w:val="single" w:sz="10" w:space="0" w:color="000000"/>
            </w:tcBorders>
          </w:tcPr>
          <w:p>
            <w:pPr>
              <w:jc w:val="center"/>
            </w:pPr>
            <w:r>
              <w:rPr>
                <w:rFonts w:hint="eastAsia"/>
                <w:b w:val="0"/>
                <w:bCs w:val="0"/>
              </w:rPr>
              <w:t>0.0</w:t>
            </w:r>
          </w:p>
        </w:tc>
        <w:tc>
          <w:tcPr>
            <w:tcW w:type="dxa" w:w="1800"/>
            <w:vAlign w:val="center"/>
            <w:tcBorders>
              <w:left w:val="nil"/>
              <w:right w:val="nil"/>
              <w:insideH w:val="nil"/>
              <w:insideV w:val="nil"/>
              <w:top w:val="nil"/>
              <w:bottom w:val="single" w:sz="10" w:space="0" w:color="000000"/>
            </w:tcBorders>
          </w:tcPr>
          <w:p>
            <w:pPr>
              <w:jc w:val="center"/>
            </w:pPr>
            <w:r>
              <w:rPr>
                <w:rFonts w:hint="eastAsia"/>
                <w:b w:val="0"/>
                <w:bCs w:val="0"/>
              </w:rPr>
              <w:t>0.1</w:t>
            </w:r>
          </w:p>
        </w:tc>
        <w:tc>
          <w:tcPr>
            <w:tcW w:type="dxa" w:w="3096"/>
            <w:vAlign w:val="center"/>
            <w:tcBorders>
              <w:left w:val="nil"/>
              <w:right w:val="nil"/>
              <w:insideH w:val="nil"/>
              <w:insideV w:val="nil"/>
              <w:top w:val="nil"/>
              <w:bottom w:val="single" w:sz="10" w:space="0" w:color="000000"/>
            </w:tcBorders>
          </w:tcPr>
          <w:p>
            <w:pPr>
              <w:jc w:val="center"/>
            </w:pPr>
            <w:r>
              <w:rPr>
                <w:rFonts w:hint="eastAsia"/>
                <w:b w:val="0"/>
                <w:bCs w:val="0"/>
              </w:rPr>
              <w:t>0.1</w:t>
            </w:r>
          </w:p>
        </w:tc>
      </w:tr>
    </w:tbl>
    <w:p w14:paraId="641DB7E4" w14:textId="77777777" w:rsidR="00636361" w:rsidRDefault="00000000" w:rsidP="001A17F2">
      <w:pPr>
        <w:pStyle w:val="21"/>
        <w:rPr>
          <w:lang w:eastAsia="zh-CN"/>
        </w:rPr>
      </w:pPr>
      <w:r>
        <w:rPr>
          <w:lang w:eastAsia="zh-CN"/>
        </w:rPr>
        <w:t>4.3 历史表征与三类网络的融合</w:t>
      </w:r>
    </w:p>
    <w:p w14:paraId="04334986" w14:textId="7EB1EC5B" w:rsidR="00D80834" w:rsidRDefault="00D80834" w:rsidP="00106600">
      <w:pPr>
        <w:ind w:firstLine="420"/>
        <w:rPr>
          <w:lang w:eastAsia="zh-CN"/>
        </w:rPr>
      </w:pPr>
      <w:r>
        <w:rPr>
          <w:lang w:eastAsia="zh-CN"/>
        </w:rPr>
        <w:t>图4-1展示了Transformer历史序列表征模块在Actor、Critic和判别器三个分支中的实例化方式及其与原有网络输入端的连接关系。三个分支采用相同的表征流程，但根据各自任务使用不同的历史输入、表征维度和输出结构。</w:t>
      </w:r>
    </w:p>
    <w:p>
      <w:pPr>
        <w:ind w:firstLine="420"/>
        <w:jc w:val="center"/>
        <w:rPr>
          <w:lang w:eastAsia="zh-CN"/>
        </w:rPr>
      </w:pPr>
      <w:r>
        <w:drawing>
          <wp:inline xmlns:a="http://schemas.openxmlformats.org/drawingml/2006/main" xmlns:pic="http://schemas.openxmlformats.org/drawingml/2006/picture">
            <wp:extent cx="5486400" cy="5681125"/>
            <wp:docPr id="2068173016" name="Picture 2068173016"/>
            <wp:cNvGraphicFramePr>
              <a:graphicFrameLocks noChangeAspect="1"/>
            </wp:cNvGraphicFramePr>
            <a:graphic>
              <a:graphicData uri="http://schemas.openxmlformats.org/drawingml/2006/picture">
                <pic:pic>
                  <pic:nvPicPr>
                    <pic:cNvPr id="0" name="transformer_three_branch_structure.png"/>
                    <pic:cNvPicPr/>
                  </pic:nvPicPr>
                  <pic:blipFill>
                    <a:blip r:embed="rId31"/>
                    <a:stretch>
                      <a:fillRect/>
                    </a:stretch>
                  </pic:blipFill>
                  <pic:spPr>
                    <a:xfrm>
                      <a:off x="0" y="0"/>
                      <a:ext cx="5486400" cy="5681125"/>
                    </a:xfrm>
                    <a:prstGeom prst="rect"/>
                  </pic:spPr>
                </pic:pic>
              </a:graphicData>
            </a:graphic>
          </wp:inline>
        </w:drawing>
      </w:r>
    </w:p>
    <w:p>
      <w:pPr>
        <w:ind w:firstLineChars="0" w:firstLine="0"/>
        <w:jc w:val="center"/>
        <w:rPr>
          <w:lang w:eastAsia="zh-CN"/>
        </w:rPr>
      </w:pPr>
      <w:r>
        <w:rPr>
          <w:lang w:eastAsia="zh-CN"/>
        </w:rPr>
        <w:t>图4-1  生产企业主体三分支Transformer表征结构</w:t>
      </w:r>
    </w:p>
    <w:p w14:paraId="3E983CF9" w14:textId="0422F430" w:rsidR="00D80834" w:rsidRDefault="00D80834" w:rsidP="00106600">
      <w:pPr>
        <w:ind w:firstLine="420"/>
        <w:rPr>
          <w:lang w:eastAsia="zh-CN"/>
        </w:rPr>
      </w:pPr>
      <w:r>
        <w:rPr>
          <w:lang w:eastAsia="zh-CN"/>
        </w:rPr>
        <w:t>Actor分支以长度为5的历史状态序列作为表征模块输入，并得到32维历史状态特征。该特征与33维当前状态向量拼接，形成65维联合输入；随后，全连接动作输出网络按照65-128-32-4的结构生成4维确定性动作。该连接方式保留当前时刻状态，同时利用历史交互信息补充动作生成所需的时序特征。</w:t>
      </w:r>
    </w:p>
    <w:p w14:paraId="7167E523" w14:textId="77777777" w:rsidR="00D80834" w:rsidRDefault="00D80834" w:rsidP="00106600">
      <w:pPr>
        <w:ind w:firstLine="420"/>
        <w:rPr>
          <w:lang w:eastAsia="zh-CN"/>
        </w:rPr>
      </w:pPr>
      <w:r>
        <w:rPr>
          <w:lang w:eastAsia="zh-CN"/>
        </w:rPr>
        <w:t>Critic分支把历史序列中每个时间步的33维状态与4维动作拼接为37维状态—动作向量，并通过表征模块得到32维历史状态—动作特征。该特征与当前37维状态—动作对拼接，形成69维联合输入；两个参数独立的Q值分支分别采用69-128-32-1的全连接结构输出Q_1与Q_2。历史特征由此直接参与当前状态—动作价值估计。</w:t>
      </w:r>
    </w:p>
    <w:p>
      <w:pPr>
        <w:ind w:firstLine="420"/>
        <w:rPr>
          <w:lang w:eastAsia="zh-CN"/>
        </w:rPr>
      </w:pPr>
      <w:r>
        <w:rPr>
          <w:lang w:eastAsia="zh-CN"/>
        </w:rPr>
        <w:t>判别器分支以专家或生成轨迹的历史状态—动作序列作为输入。每个时间步的37维状态—动作向量先被映射至100维隐藏空间。表征模块在完成末时刻特征读取与层归一化后，输出100维历史状态—动作特征；线性输出层随后产生单个logits值，并经Sigmoid函数转换为专家样本判别概率。除上述输入表征与网络输入维度调整外，判别器损失、模仿奖励构造、融合奖励以及Actor-Critic参数更新均采用第3章定义的训练方式。</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 xml:space="preserve"/>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r>
        <w:rPr>
          <w:lang w:eastAsia="zh-CN"/>
          <w:vertAlign w:val="superscript"/>
        </w:rPr>
        <w:t xml:space="preserve">[10]</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人工采集轨迹与Codex辅助采集轨迹采用统一的数据格式保存，后续筛选条件及整理结果见第5.4节。</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实验设置</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生产企业主体决策形成过程及系统运行结果的影响。本文设置两组对比实验：第一组比较TD3与GAIL+TD3，用于考察模仿学习信号对生产企业主体运行效果与行为模仿效果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本次实验中的模仿学习与历史表征改进均应用于生产企业主体，消费企业主体和银行主体在三种模型中保持既有TD3决策流程。GAIL+TD3和Transformer+GAIL+TD3使用第五章整理得到的同一组专家数据。上述实验分别从系统运行结果和行为分布两个层面，评价生产企业主体能否在有限可观测信息与有限训练经验下形成接近专家行为的决策模式。</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TD3、GAIL+TD3各8组；Transformer+GAIL+TD3为7组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r>
              <w:rPr>
                <w:rFonts w:hint="eastAsia"/>
                <w:b w:val="0"/>
                <w:bCs w:val="0"/>
              </w:rPr>
              <w:t>单回合最大天数</w:t>
            </w:r>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100天</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r>
              <w:rPr>
                <w:rFonts w:hint="eastAsia"/>
                <w:b w:val="0"/>
                <w:bCs w:val="0"/>
              </w:rPr>
              <w:t>统计方法</w:t>
            </w:r>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多随机种子均值及均值上下1个SEM</w:t>
            </w:r>
          </w:p>
        </w:tc>
      </w:tr>
    </w:tbl>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pPr>
        <w:ind w:firstLine="420"/>
        <w:rPr>
          <w:lang w:eastAsia="zh-CN"/>
        </w:rPr>
      </w:pPr>
      <w:r>
        <w:rPr>
          <w:b/>
          <w:lang w:eastAsia="zh-CN"/>
        </w:rPr>
        <w:t>（1）生成对抗模仿学习的主体决策运行效果</w:t>
      </w:r>
    </w:p>
    <w:p>
      <w:pPr>
        <w:ind w:firstLine="420"/>
        <w:rPr>
          <w:lang w:eastAsia="zh-CN"/>
        </w:rPr>
      </w:pPr>
      <w:r>
        <w:rPr>
          <w:lang w:eastAsia="zh-CN"/>
        </w:rPr>
        <w:t>本小节从系统运行效果层面比较TD3与GAIL+TD3。平均存活天数和生产企业累计收益分别描述系统运行时长与生产企业经营结果，累计归一化学习曲线下面积用于汇总完整训练区间内的累积平均存活表现，达到目标存活水平所需的评估时刻用于衡量学习速度。各项指标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（2）生产企业累计收益。本文首先在单个回合内汇总生产企业的收入、支出与利息，再对第k个评估时刻所含E个回合的累计收益取算术平均值，其定义如下：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式中，J表示生产企业在对应评估时刻的平均累计收益；R、C和I分别表示单个回合内的累计收入、累计支出和累计利息；i表示生产企业编号；k和n分别表示评估时刻编号和该评估时刻内的回合序号。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sSub>
                    <m:e>
                      <m:r>
                        <w:rPr>
                          <w:rFonts w:ascii="Cambria Math" w:hAnsi="Cambria Math"/>
                        </w:rPr>
                        <m:t>N</m:t>
                      </m:r>
                    </m:e>
                    <m:sub>
                      <m:r>
                        <m:rPr>
                          <m:nor/>
                        </m:rPr>
                        <w:rPr>
                          <w:rFonts w:ascii="Cambria Math" w:hAnsi="Cambria Math"/>
                        </w:rPr>
                        <m:t>eval</m:t>
                      </m:r>
                    </m:sub>
                  </m:sSub>
                  <m:r>
                    <w:rPr>
                      <w:rFonts w:ascii="Cambria Math" w:hAnsi="Cambria Math"/>
                    </w:rPr>
                    <m:t>-1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N</w:t>
      </w:r>
      <w:r>
        <w:rPr>
          <w:lang w:eastAsia="zh-CN"/>
          <w:vertAlign w:val="subscript"/>
        </w:rPr>
        <w:t>eval</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 xml:space="preserve">（4）学习速度。本文采用平均存活天数的跨随机种子均值曲线达到目标存活水平所需的评估时刻衡量学习速度。平均存活天数均值按照下文所述多随机种子统计方法计算。</w:t>
      </w:r>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k表示评估时刻编号；μ_k表示第k个评估时刻平均存活天数的跨随机种子均值；q表示目标存活天数，本文分别取80天和90天；T_q表示均值曲线达到目标q所需的评估时刻。较小的T_q表示模型以较少的训练回合达到目标存活水平。若均值曲线截至第60个评估时刻仍未满足连续3个评估时刻均不低于目标值的条件，则记为“未达到”。</w:t>
      </w:r>
    </w:p>
    <w:p w14:paraId="5C99B72E" w14:textId="77777777" w:rsidR="00CA2E93" w:rsidRDefault="00CA2E93" w:rsidP="00CA2E93">
      <w:pPr>
        <w:ind w:firstLine="420"/>
        <w:rPr>
          <w:lang w:eastAsia="zh-CN"/>
        </w:rPr>
      </w:pPr>
      <w:r>
        <w:rPr>
          <w:lang w:eastAsia="zh-CN"/>
        </w:rPr>
        <w:t xml:space="preserve">上述四项指标分别从系统运行时长、生产企业经营结果、累积存活表现和目标存活水平到达时刻描述单次训练过程。为降低单次运行中随机因素对模型比较结果的影响，本文采用多随机种子（multi-seed）统计方法汇总训练曲线。神经网络参数初始化、动作探索、训练样本抽取和经验池采样等过程均包含随机因素。本文将用于控制上述随机因素的联合配置统称为“随机种子”。</w:t>
      </w:r>
    </w:p>
    <w:p w14:paraId="5C99B72E" w14:textId="77777777" w:rsidR="00CA2E93" w:rsidRDefault="00CA2E93" w:rsidP="00CA2E93">
      <w:pPr>
        <w:ind w:firstLine="420"/>
        <w:rPr>
          <w:lang w:eastAsia="zh-CN"/>
        </w:rPr>
      </w:pPr>
      <w:r>
        <w:rPr>
          <w:lang w:eastAsia="zh-CN"/>
        </w:rPr>
        <w:t xml:space="preserve">本小节比较TD3与GAIL+TD3。两种模型均在8组随机种子下独立运行。对于任一评价指标，每次独立运行形成一条跨评估时刻的指标序列，因此每种模型对应8条指标序列。设</w:t>
      </w:r>
      <m:oMath>
        <m:sSub>
          <m:e>
            <m:r>
              <m:t>M</m:t>
            </m:r>
          </m:e>
          <m:sub>
            <m:r>
              <m:t>r,k</m:t>
            </m:r>
          </m:sub>
        </m:sSub>
      </m:oMath>
      <w:r>
        <w:rPr>
          <w:lang w:eastAsia="zh-CN"/>
        </w:rPr>
        <w:t xml:space="preserve">表示第r次独立运行在第k个评估时刻的某项指标值，同一模型在该评估时刻的跨随机种子均值及均值标准误定义如下：</w:t>
      </w:r>
    </w:p>
    <w:p w14:paraId="101554C1" w14:textId="77777777" w:rsidR="00CA2E93" w:rsidRDefault="00CA2E93" w:rsidP="00CA2E93">
      <w:pPr>
        <w:spacing w:before="60" w:line="288" w:lineRule="auto"/>
        <w:ind w:firstLine="420"/>
        <w:jc w:val="center"/>
      </w:pPr>
      <m:oMath>
        <m:sSub>
          <m:e>
            <m:bar>
              <m:barPr>
                <m:pos m:val="top"/>
              </m:barPr>
              <m:e>
                <m:r>
                  <m:t>M</m:t>
                </m:r>
              </m:e>
            </m:bar>
          </m:e>
          <m:sub>
            <m:r>
              <m:t>k</m:t>
            </m:r>
          </m:sub>
        </m:sSub>
        <m:r>
          <m:t>=</m:t>
        </m:r>
        <m:f>
          <m:fPr>
            <m:type m:val="bar"/>
          </m:fPr>
          <m:num>
            <m:r>
              <m:t>1</m:t>
            </m:r>
          </m:num>
          <m:den>
            <m:r>
              <m:t>S</m:t>
            </m:r>
          </m:den>
        </m:f>
        <m:nary>
          <m:naryPr>
            <m:chr m:val="∑"/>
            <m:limLoc m:val="undOvr"/>
            <m:grow m:val="1"/>
            <m:subHide m:val="off"/>
            <m:supHide m:val="off"/>
          </m:naryPr>
          <m:sub>
            <m:r>
              <m:t>r=1</m:t>
            </m:r>
          </m:sub>
          <m:sup>
            <m:r>
              <m:t>S</m:t>
            </m:r>
          </m:sup>
          <m:e>
            <m:sSub>
              <m:e>
                <m:r>
                  <m:t>M</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S</m:t>
                </m:r>
              </m:e>
            </m:rad>
          </m:den>
        </m:f>
      </m:oMath>
    </w:p>
    <w:p w14:paraId="07458526" w14:textId="4C360432" w:rsidR="00CA2E93" w:rsidRPr="00CA2E93" w:rsidRDefault="00CA2E93" w:rsidP="00CA2E93">
      <w:pPr>
        <w:ind w:firstLine="420"/>
        <w:rPr>
          <w:lang w:eastAsia="zh-CN"/>
        </w:rPr>
      </w:pPr>
      <w:r>
        <w:rPr>
          <w:lang w:eastAsia="zh-CN"/>
        </w:rPr>
        <w:t>式中，S表示相应模型纳入统计的独立运行次数；r表示独立运行编号；k表示评估时刻编号；带横线的M表示同一模型在第k个评估时刻的跨随机种子均值；s_k表示相应指标在该评估时刻的样本标准差。训练曲线中的实线表示跨随机种子均值，阴影表示均值上下1个SEM。后续各项评价均沿用该多随机种子统计方法。涉及稳定阶段表现时，本文先对每次独立运行最后20个评估时刻的指标取均值，再按上述方法汇总不同随机种子的结果。</w:t>
      </w:r>
    </w:p>
    <w:p w14:paraId="1CAF8FE3" w14:textId="17307959" w:rsidR="002B5830" w:rsidRDefault="00A26CC5" w:rsidP="002B5830">
      <w:pPr>
        <w:ind w:firstLine="420"/>
        <w:rPr>
          <w:lang w:eastAsia="zh-CN"/>
        </w:rPr>
      </w:pPr>
      <w:r>
        <w:rPr>
          <w:lang w:eastAsia="zh-CN"/>
        </w:rPr>
        <w:t xml:space="preserve">本文首先比较TD3与GAIL+TD3的训练过程，以分析模仿学习信号对生产企业主体决策训练的影响。图6-1给出了两种模型在平均存活天数、生产企业累计收益和累计归一化学习曲线下面积三项指标上的跨随机种子均值曲线及SEM阴影。其中，图6-1(a)中的水平虚线表示表5-1所列专家轨迹的合计平均存活天数，其数值为97.99天。为定量比较三种模型的训练表现，本文对每次独立运行最后20个评估时刻的平均存活天数和生产企业累计收益分别取均值，再按照上述方法计算跨随机种子均值和SEM；累计归一化学习曲线下面积采用第60个评估时刻的数值；学习速度采用平均存活天数均值曲线达到80天和90天所需的评估时刻。表6-2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稳定阶段平均存活天数为80.71天，与专家轨迹平均值仍相差17.28天。该结果说明，模仿学习信号缩短了模型达到80天所需的训练过程，但稳定阶段的存活水平仍有进一步接近专家轨迹的空间。为进一步判断上述运行效果是否对应着对专家行为的有效模仿，下面从判别器区分能力和历史Actor行为分布两个方面进行分析。</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表6-2 三种模型的稳定阶段运行效果与学习速度统计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81.50（±3.05%）</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80.71（±5.38%）</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97.20（±0.94%）</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205.43K（±29.43%）</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126.35K（±20.57%）</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172.24K（±18.84%）</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0.435（±3.92%）</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0.683（±5.11%）</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0.813（±1.90%）</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注：平均存活天数和生产企业累计收益为最后20个评估时刻的稳定阶段统计结果；括号内为相对SEM，K表示10³；“未达到”表示截至第60个评估时刻，均值曲线尚未连续3个评估时刻达到相应目标值。</w:t>
      </w:r>
    </w:p>
    <w:p>
      <w:pPr>
        <w:ind w:firstLine="420"/>
        <w:rPr>
          <w:lang w:eastAsia="zh-CN"/>
        </w:rPr>
      </w:pPr>
      <w:r>
        <w:rPr>
          <w:b/>
          <w:lang w:eastAsia="zh-CN"/>
        </w:rPr>
        <w:t>（2）生成对抗模仿学习的模仿效果评价</w:t>
      </w:r>
    </w:p>
    <w:p>
      <w:pPr>
        <w:ind w:firstLine="420"/>
        <w:rPr>
          <w:lang w:eastAsia="zh-CN"/>
        </w:rPr>
      </w:pPr>
      <w:r>
        <w:rPr>
          <w:lang w:eastAsia="zh-CN"/>
        </w:rPr>
        <w:t xml:space="preserve">第6.2节第（1）部分的运行结果表明，引入生成对抗模仿学习后，生产企业主体能够以较少的训练回合达到较高的平均存活水平。为判断该运行效果是否对应着对专家行为的有效模仿，本文进一步从行为分布层面对模仿效果进行评价。专家数据来源于训练前采集的历史仿真轨迹，在线训练过程不存在与各评估时刻Actor动作逐一配对的同步专家动作，因而无法直接计算相同决策条件下的动作差异。本文采用参数固定的判别器将不同来源的状态—动作样本映射至统一得分空间，并以得分分布差异评价Actor生成行为与专家行为的接近程度。由于该评价依赖判别器输出，本文首先验证评价判别器对专家行为与加噪专家行为的区分能力，再使用相同判别器评价历史Actor的行为分布变化。</w:t>
      </w:r>
    </w:p>
    <w:p>
      <w:pPr>
        <w:ind w:firstLine="420"/>
        <w:rPr>
          <w:lang w:eastAsia="zh-CN"/>
        </w:rPr>
      </w:pPr>
      <w:r>
        <w:rPr>
          <w:lang w:eastAsia="zh-CN"/>
        </w:rPr>
        <w:t xml:space="preserve">第一步验证评价判别器对专家行为与加噪专家行为的区分能力。本文将第r次独立运行在训练结束时依据验证集保存并固定参数的判别器称为评价判别器，本次评价共选取3个评价判别器。每次评价均使用相同的留出专家测试集、得分区间和直方图划分。本文在16952条专家状态—动作样本的动作分量上叠加标准差为0.30的独立高斯噪声，并将动作裁剪至[-0.5,0.5]，由此构造加噪专家样本，其对应行为记为加噪专家行为。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评价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 xml:space="preserve">式中，D表示判别器；hat{s}_i表示第i个专家状态；带星号的φ_r表示第r次独立运行中保存并固定用于评价的判别器参数；d_i^E和d_i^N分别表示第i个专家样本与加噪专家样本的判别器得分。图6-2以其中一次独立运行为例给出两组样本的判别器得分分布。为保持第一步与历史Actor评价的得分口径一致，本文采用相同的3个评价判别器、同一留出专家测试集以及[0,1]区间内100个固定得分区间。</w:t>
      </w:r>
    </w:p>
    <w:p>
      <w:pPr>
        <w:ind w:firstLine="420"/>
      </w:pPr>
      <w:r>
        <w:rPr>
          <w:lang w:eastAsia="zh-CN"/>
        </w:rPr>
        <w:t xml:space="preserve">为定量评价判别器对专家行为与加噪专家行为的区分能力，本文从判别器得分分布的差异程度、重叠程度和样本排序能力三个方面引入评价指标。Jensen–Shannon散度（JS divergence）用于度量两组判别器得分概率分布之间的差异。设P和Q表示两组归一化判别器得分分布，其定义如下：</w:t>
      </w:r>
      <w:r>
        <w:rPr>
          <w:lang w:eastAsia="zh-CN"/>
          <w:vertAlign w:val="superscript"/>
        </w:rPr>
        <w:t xml:space="preserve">[11]</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式中，M表示P和Q的等权混合分布，KL表示Kullback–Leibler散度。JS散度越小表示两组判别器得分分布越接近。在衡量分布差异的基础上，本文采用重叠系数（OVL: Overlap Coefficient）描述两组归一化直方图的共同区域，其定义如下：</w:t>
      </w:r>
      <w:r>
        <w:rPr>
          <w:lang w:eastAsia="zh-CN"/>
          <w:vertAlign w:val="superscript"/>
        </w:rPr>
        <w:t xml:space="preserve">[12]</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为进一步考察判别器对两类样本的排序能力，本文采用受试者工作特征曲线下面积（AUC: Area Under the Receiver Operating Characteristic Curve）进行评价，其定义如下：</w:t>
      </w:r>
      <w:r>
        <w:rPr>
          <w:lang w:eastAsia="zh-CN"/>
          <w:vertAlign w:val="superscript"/>
        </w:rPr>
        <w:t xml:space="preserve">[13]</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pPr>
        <w:ind w:firstLine="420"/>
      </w:pPr>
      <w:r>
        <w:t xml:space="preserve">在上述指标定义基础上，本文以J_r^N表示第r个评价判别器下专家得分分布P_r^E与加噪专家得分分布P_r^N之间的JS散度，并将其作为加噪专家参照。本文按照本节前述多随机种子统计方法汇总3次独立运行的评价结果。</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一组独立运行中专家样本与加噪专家样本的判别器得分分布</w:t>
      </w:r>
    </w:p>
    <w:p>
      <w:pPr>
        <w:spacing w:before="40" w:after="80" w:line="288" w:lineRule="auto"/>
        <w:ind w:firstLineChars="0" w:firstLine="0"/>
        <w:jc w:val="center"/>
        <w:rPr>
          <w:lang w:eastAsia="zh-CN"/>
        </w:rPr>
      </w:pPr>
      <w:r>
        <w:rPr>
          <w:sz w:val="18"/>
          <w:lang w:eastAsia="zh-CN"/>
        </w:rPr>
        <w:t>表6-3 三个评价判别器对专家样本与加噪专家样本的评价结果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三次独立运行均值（±SEM）</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0.8989（±0.0005）</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0.6736（±0.0402）</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0.2253（±0.0398）</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0.3542（±0.0282）</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27.87%（±5.08%）</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0.7808（±0.0329）</w:t>
            </w:r>
          </w:p>
        </w:tc>
      </w:tr>
    </w:tbl>
    <w:p>
      <w:pPr>
        <w:ind w:firstLine="420"/>
        <w:rPr>
          <w:lang w:eastAsia="zh-CN"/>
        </w:rPr>
      </w:pPr>
      <w:r>
        <w:rPr>
          <w:lang w:eastAsia="zh-CN"/>
        </w:rPr>
        <w:t>图6-2展示的一组独立运行中，评价判别器给予原始专家样本的得分整体高于加噪专家样本。表6-3进一步汇总了3次独立运行的评价结果：专家样本与加噪专家样本的平均评分分别为0.8989±0.0005和0.6736±0.0402，平均评分差为0.2253±0.0398；两组得分分布的JS散度为0.3542±0.0282，表明两组得分分布并不重合；OVL为27.87%±5.08%，表示两组归一化得分直方图的共同区域约占27.87%；以专家样本为正类的AUC为0.7808±0.0329，表示评价判别器将随机抽取的专家样本排在加噪专家样本之前的概率约为78.08%。上述结果表明，3个评价判别器均能对原始专家样本与加噪专家样本形成有方向的得分区分，因此可以作为后续历史Actor行为分布评价的固定尺度。</w:t>
      </w:r>
    </w:p>
    <w:p>
      <w:pPr>
        <w:ind w:firstLine="420"/>
        <w:rPr>
          <w:lang w:eastAsia="zh-CN"/>
        </w:rPr>
      </w:pPr>
      <w:r>
        <w:rPr>
          <w:lang w:eastAsia="zh-CN"/>
        </w:rPr>
        <w:t>第二步评价历史Actor生成行为在训练过程中的模仿效果。本文沿用第一步中的3次独立运行及其评价判别器，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在同一记号体系下，本文以J_(r,k)^G表示专家得分分布P_r^E与第r次独立运行第k个评估时刻的历史Actor得分分布P_(r,k)^G之间的JS散度。</w:t>
      </w:r>
    </w:p>
    <w:p>
      <w:pPr>
        <w:ind w:firstLine="420"/>
        <w:rPr>
          <w:lang w:eastAsia="zh-CN"/>
        </w:rPr>
      </w:pPr>
      <w:r>
        <w:rPr>
          <w:lang w:eastAsia="zh-CN"/>
        </w:rPr>
        <w:t xml:space="preserve">较小的J_(r,k)^G表示历史Actor生成行为在固定判别器得分表示下更接近专家样本。本文在每个评估时刻按照本节前述多随机种子统计方法计算3次独立运行的JS散度均值及其SEM。</w:t>
      </w:r>
    </w:p>
    <w:p>
      <w:pPr>
        <w:ind w:firstLine="420"/>
        <w:rPr>
          <w:lang w:eastAsia="zh-CN"/>
        </w:rPr>
      </w:pPr>
      <w:r>
        <w:rPr>
          <w:lang w:eastAsia="zh-CN"/>
        </w:rPr>
        <w:t>图6-3给出了60个评估时刻的Actor—专家JS散度跨随机种子均值，蓝色阴影表示均值上下1个SEM。图中的灰色虚线及其阴影分别表示同一组评价判别器下加噪专家参照JS散度的跨随机种子均值及均值上下1个SEM。为比较两类JS散度，本文进一步定义相对JS指标：</w:t>
      </w:r>
    </w:p>
    <w:p>
      <w:pPr>
        <w:spacing w:before="60" w:line="288" w:lineRule="auto"/>
        <w:ind w:firstLine="420"/>
        <w:jc w:val="center"/>
      </w:pPr>
      <m:oMath>
        <m:sSub>
          <m:e>
            <m:r>
              <m:t>ρ</m:t>
            </m:r>
          </m:e>
          <m:sub>
            <m:r>
              <m:t>k</m:t>
            </m:r>
          </m:sub>
        </m:sSub>
        <m:r>
          <m:t>=</m:t>
        </m:r>
        <m:f>
          <m:fPr>
            <m:type m:val="bar"/>
          </m:fPr>
          <m:num>
            <m:sSubSup>
              <m:e>
                <m:bar>
                  <m:barPr>
                    <m:pos m:val="top"/>
                  </m:barPr>
                  <m:e>
                    <m:r>
                      <m:t>J</m:t>
                    </m:r>
                  </m:e>
                </m:bar>
              </m:e>
              <m:sub>
                <m:r>
                  <m:t>k</m:t>
                </m:r>
              </m:sub>
              <m:sup>
                <m:r>
                  <m:t>G</m:t>
                </m:r>
              </m:sup>
            </m:sSubSup>
          </m:num>
          <m:den>
            <m:sSup>
              <m:e>
                <m:bar>
                  <m:barPr>
                    <m:pos m:val="top"/>
                  </m:barPr>
                  <m:e>
                    <m:r>
                      <m:t>J</m:t>
                    </m:r>
                  </m:e>
                </m:bar>
              </m:e>
              <m:sup>
                <m:r>
                  <m:t>N</m:t>
                </m:r>
              </m:sup>
            </m:sSup>
          </m:den>
        </m:f>
      </m:oMath>
    </w:p>
    <w:p>
      <w:pPr>
        <w:ind w:firstLine="420"/>
        <w:rPr>
          <w:lang w:eastAsia="zh-CN"/>
        </w:rPr>
      </w:pPr>
      <w:r>
        <w:rPr>
          <w:lang w:eastAsia="zh-CN"/>
        </w:rPr>
        <w:t>式中，带横线的J_k^G表示第k个评估时刻的Actor—专家JS散度均值，带横线的J^N表示加噪专家参照JS散度均值。ρ_k小于1表示在相同评价判别器与得分空间下，Actor生成样本的得分分布比加噪专家样本更接近原始专家样本。</w:t>
      </w:r>
    </w:p>
    <w:p>
      <w:pPr>
        <w:ind w:firstLine="420"/>
        <w:jc w:val="center"/>
        <w:rPr>
          <w:lang w:eastAsia="zh-CN"/>
        </w:rPr>
      </w:pPr>
      <w:r>
        <w:drawing>
          <wp:inline xmlns:a="http://schemas.openxmlformats.org/drawingml/2006/main" xmlns:pic="http://schemas.openxmlformats.org/drawingml/2006/picture">
            <wp:extent cx="5806440" cy="3612415"/>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2415"/>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 xml:space="preserve">图6-3显示，Actor—专家JS散度均值在第1个评估时刻为0.580±0.041，随后总体下降。最后20个评估时刻的稳定阶段均值为0.258±0.017，较第1个评估时刻降低约55.5%。同一评价口径下，加噪专家参照JS散度为0.354±0.028；稳定阶段的相对JS指标为0.728，即Actor—专家JS散度比加噪专家参照低约27.2%。该结果表明，训练后期Actor生成行为的判别器得分分布比加噪专家行为更接近原始专家样本。</w:t>
      </w:r>
    </w:p>
    <w:p>
      <w:pPr>
        <w:ind w:firstLine="420"/>
        <w:rPr>
          <w:lang w:eastAsia="zh-CN"/>
        </w:rPr>
      </w:pPr>
      <w:r>
        <w:rPr>
          <w:lang w:eastAsia="zh-CN"/>
        </w:rPr>
        <w:t xml:space="preserve">两步评价分别考察了评价判别器对专家行为与加噪专家行为的区分能力，以及历史Actor生成行为与专家行为的分布接近程度。评价判别器能够对原始专家样本与加噪专家样本形成稳定的得分区分；历史Actor的行为分布在训练过程中逐步接近专家样本，并在稳定阶段达到低于加噪专家参照的JS散度。上述结果从行为分布层面支持了生成对抗模仿学习的模仿效果，也表明生产企业主体能够在有限可观测状态和有限训练经验下形成更接近专家行为分布的决策模式，从而为有限理性决策行为的生成提供实验依据。</w:t>
      </w:r>
    </w:p>
    <w:p w14:paraId="0DD2C01D" w14:textId="77777777" w:rsidR="00181A75" w:rsidRDefault="00181A75" w:rsidP="000C01B6">
      <w:pPr>
        <w:pStyle w:val="21"/>
        <w:rPr>
          <w:lang w:eastAsia="zh-CN"/>
        </w:rPr>
      </w:pPr>
      <w:r>
        <w:rPr>
          <w:lang w:eastAsia="zh-CN"/>
        </w:rPr>
        <w:t>6.3 GAIL+TD3</w:t>
      </w:r>
      <w:r>
        <w:rPr>
          <w:lang w:eastAsia="zh-CN"/>
        </w:rPr>
        <w:t>与</w:t>
      </w:r>
      <w:r>
        <w:rPr>
          <w:lang w:eastAsia="zh-CN"/>
        </w:rPr>
        <w:t>Transformer+GAIL+TD3</w:t>
      </w:r>
      <w:r>
        <w:rPr>
          <w:lang w:eastAsia="zh-CN"/>
        </w:rPr>
        <w:t>的结果对比</w:t>
      </w:r>
    </w:p>
    <w:p w14:paraId="6920CFAE" w14:textId="7F7AFF6B" w:rsidR="00181A75" w:rsidRDefault="001E0DA4" w:rsidP="000C01B6">
      <w:pPr>
        <w:ind w:firstLine="420"/>
        <w:rPr>
          <w:lang w:eastAsia="zh-CN"/>
        </w:rPr>
      </w:pPr>
      <w:r>
        <w:rPr>
          <w:lang w:eastAsia="zh-CN"/>
        </w:rPr>
        <w:t xml:space="preserve">在完成上述生成对抗模仿学习模仿效果评价后，本文进一步比较GAIL+TD3与Transformer+GAIL+TD3，以分析历史状态序列表征对生产企业主体训练过程的影响。该组比较中，GAIL+TD3纳入8次独立运行，Transformer+GAIL+TD3纳入7次独立运行，各项曲线与稳定阶段指标沿用第6.2节第（1）部分所述统计方法。图6-4给出了两种模型在平均存活天数、生产企业累计收益和累计归一化学习曲线下面积三项指标上的跨随机种子均值曲线及SEM阴影，表6-2列出了对应的稳定阶段运行效果与学习速度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6-2中的具体数值显示，Transformer+GAIL+TD3达到80天所需的评估时刻由GAIL+TD3的第17个缩短至第12个，并在第17个评估时刻达到连续3个评估时刻不低于90天的条件，而GAIL+TD3在前60个评估时刻内未达到该条件。引入Transformer编码器后，稳定阶段平均存活天数由80.71天提高至97.20天，与专家轨迹平均值的差距由17.28天缩小至0.80天，缩小幅度约为95.4%。第60个评估时刻的累计归一化学习曲线下面积由0.683提高至0.813，增幅约为19.2%；生产企业稳定阶段累计收益由126.35K提高至172.24K。这些统计结果表明，在本文实验设置下，历史状态表征增强了模型对连续交互信息的利用，并进一步缩小了模型运行结果与专家轨迹之间的差距。</w:t>
      </w:r>
    </w:p>
    <w:p w14:paraId="1ED1F1E3" w14:textId="5BF9DDE5" w:rsidR="00CA2E93" w:rsidRDefault="00CA2E93" w:rsidP="00CA2E93">
      <w:pPr>
        <w:ind w:firstLine="420"/>
      </w:pPr>
      <w:r>
        <w:rPr>
          <w:lang w:eastAsia="zh-CN"/>
        </w:rPr>
        <w:t>在完成存活水平、学习速度和生产企业收益比较后，本文进一步从债务偿付角度评价三种主体训练方案下生产企业的经营状态。生产企业偿债能力采用偿债覆盖率（DSCR: Debt Service Coverage Ratio）度量。该指标以生产企业当日可支配现金与当期应还本息之比表示，其定义如下：</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2D225E1D" w14:textId="77777777" w:rsidR="00BF1217" w:rsidRDefault="00BF1217" w:rsidP="00BF1217">
      <w:pPr>
        <w:ind w:firstLine="420"/>
        <w:rPr>
          <w:lang w:eastAsia="zh-CN"/>
        </w:rPr>
      </w:pPr>
      <w:r>
        <w:rPr>
          <w:lang w:eastAsia="zh-CN"/>
        </w:rPr>
        <w:t>基于上述定义，本文进一步统计三种主体训练方案在稳定运行回合中的生产企业日观测，并计算DSCR小于1的观测占比，以考察生产企业的当期偿债风险。图6-5给出了三种方法的偿债风险统计结果。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以较少的训练回合达到目标存活水平，并在稳定阶段平均存活水平、训练全过程的累积平均存活表现和生产企业债务偿付状态等方面取得了更好的统计结果。历史状态序列表征使生产企业主体能够利用跨时段交互信息，并进一步发挥专家行为信息对策略形成的引导作用。</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TD3主体决策模型基础上引入生成对抗模仿学习，并采用Transformer编码器增强生产企业主体的历史状态表征。本文通过人工行为采集系统整理专家状态—动作数据，比较了TD3、GAIL+TD3和Transformer+GAIL+TD3三种主体训练方案的训练过程与系统运行结果。主要研究结论如下。</w:t>
      </w:r>
    </w:p>
    <w:p w14:paraId="39145297" w14:textId="77777777" w:rsidR="001E0DA4" w:rsidRDefault="001E0DA4" w:rsidP="001E0DA4">
      <w:pPr>
        <w:ind w:firstLine="420"/>
        <w:rPr>
          <w:lang w:eastAsia="zh-CN"/>
        </w:rPr>
      </w:pPr>
      <w:r>
        <w:rPr>
          <w:lang w:eastAsia="zh-CN"/>
        </w:rPr>
        <w:t>首先，生成对抗模仿学习信号提高了生产企业主体的前期学习效率。专家状态—动作样本经判别器形成的模仿奖励为策略更新提供了行为参照，使生产企业主体能够以较少的训练回合形成有效策略，并在训练全过程中保持较高的累积平均存活表现。</w:t>
      </w:r>
    </w:p>
    <w:p w14:paraId="5BB13987" w14:textId="77777777" w:rsidR="001E0DA4" w:rsidRDefault="001E0DA4" w:rsidP="001E0DA4">
      <w:pPr>
        <w:ind w:firstLine="420"/>
        <w:rPr>
          <w:lang w:eastAsia="zh-CN"/>
        </w:rPr>
      </w:pPr>
      <w:r>
        <w:rPr>
          <w:lang w:eastAsia="zh-CN"/>
        </w:rPr>
        <w:t>其次，Transformer编码器增强了生产企业主体对历史交互信息的表征能力。历史状态序列的引入进一步改善了模型的学习速度、稳定阶段存活水平和生产企业经营表现，使系统平均存活水平更加接近专家轨迹。</w:t>
      </w:r>
    </w:p>
    <w:p w14:paraId="1F4A0248" w14:textId="38F8E59B" w:rsidR="00815AAA" w:rsidRDefault="001E0DA4" w:rsidP="001E0DA4">
      <w:pPr>
        <w:ind w:firstLine="420"/>
        <w:rPr>
          <w:lang w:eastAsia="zh-CN"/>
        </w:rPr>
      </w:pPr>
      <w:r>
        <w:rPr>
          <w:lang w:eastAsia="zh-CN"/>
        </w:rPr>
        <w:t>最后，生产企业偿债风险分析表明，模仿学习信号与历史状态表征的引入对应着更低的当期偿债缺口观测比例。该结果说明，改进后的主体训练方案在促进策略学习的同时，有助于生产企业维持现金流与债务偿付之间的协调。</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Drechsler M. Improving models of coordination incentives for biodiversity conservation by fitting a multi-agent simulation model to a lab experiment[J]. Journal of Behavioral and Experimental Economics, 2023, 102: 101967.</w:t>
      </w:r>
    </w:p>
    <w:p w14:paraId="5120FE66" w14:textId="566546B6" w:rsidR="00636361" w:rsidRDefault="0025789C" w:rsidP="001A17F2">
      <w:pPr>
        <w:ind w:firstLineChars="0" w:firstLine="0"/>
        <w:jc w:val="left"/>
        <w:rPr>
          <w:lang w:eastAsia="zh-CN"/>
        </w:rPr>
      </w:pPr>
      <w:r>
        <w:rPr>
          <w:lang w:eastAsia="zh-CN"/>
        </w:rPr>
        <w:t xml:space="preserve">[2] Arulkumaran K, Deisenroth M P, Brundage M, et al. Deep Reinforcement Learning: A Brief Survey[J]. IEEE Signal Processing Magazine, 2017, 34(6): 26-38.</w:t>
      </w:r>
    </w:p>
    <w:p w14:paraId="5120FE66" w14:textId="566546B6" w:rsidR="00636361" w:rsidRDefault="0025789C" w:rsidP="001A17F2">
      <w:pPr>
        <w:ind w:firstLineChars="0" w:firstLine="0"/>
        <w:jc w:val="left"/>
        <w:rPr>
          <w:lang w:eastAsia="zh-CN"/>
        </w:rPr>
      </w:pPr>
      <w:r>
        <w:rPr>
          <w:lang w:eastAsia="zh-CN"/>
        </w:rPr>
        <w:t xml:space="preserve">[3] Moerland T M, Broekens J, Plaat A, et al. Model-based Reinforcement Learning: A Survey[J]. Foundations and Trends in Machine Learning, 2023, 16(1): 1-118.</w:t>
      </w:r>
    </w:p>
    <w:p w14:paraId="5120FE66" w14:textId="566546B6" w:rsidR="00636361" w:rsidRDefault="0025789C" w:rsidP="001A17F2">
      <w:pPr>
        <w:ind w:firstLineChars="0" w:firstLine="0"/>
        <w:jc w:val="left"/>
        <w:rPr>
          <w:lang w:eastAsia="zh-CN"/>
        </w:rPr>
      </w:pPr>
      <w:r>
        <w:rPr>
          <w:lang w:eastAsia="zh-CN"/>
        </w:rPr>
        <w:t xml:space="preserve">[4] 刘全, 翟建伟, 章宗长, 等. 深度强化学习综述[J]. 计算机学报, 2018, 41(1): 1-27.</w:t>
      </w:r>
    </w:p>
    <w:p w14:paraId="5120FE66" w14:textId="566546B6" w:rsidR="00636361" w:rsidRDefault="0025789C" w:rsidP="001A17F2">
      <w:pPr>
        <w:ind w:firstLineChars="0" w:firstLine="0"/>
        <w:jc w:val="left"/>
        <w:rPr>
          <w:lang w:eastAsia="zh-CN"/>
        </w:rPr>
      </w:pPr>
      <w:r>
        <w:rPr>
          <w:lang w:eastAsia="zh-CN"/>
        </w:rPr>
        <w:t xml:space="preserve">[5] Zheng B, Verma S, Zhou J, et al. Imitation Learning: Progress, Taxonomies and Challenges[J]. IEEE Transactions on Neural Networks and Learning Systems, 2024, 35(5): 6322-6337.</w:t>
      </w:r>
    </w:p>
    <w:p w14:paraId="5120FE66" w14:textId="566546B6" w:rsidR="00636361" w:rsidRDefault="0025789C" w:rsidP="001A17F2">
      <w:pPr>
        <w:ind w:firstLineChars="0" w:firstLine="0"/>
        <w:jc w:val="left"/>
        <w:rPr>
          <w:lang w:eastAsia="zh-CN"/>
        </w:rPr>
      </w:pPr>
      <w:r>
        <w:rPr>
          <w:lang w:eastAsia="zh-CN"/>
        </w:rPr>
        <w:t xml:space="preserve">[6] Ho J, Ermon S. Generative Adversarial Imitation Learning[C]//Advances in Neural Information Processing Systems. 2016, 29.</w:t>
      </w:r>
    </w:p>
    <w:p w14:paraId="5120FE66" w14:textId="566546B6" w:rsidR="00636361" w:rsidRDefault="0025789C" w:rsidP="001A17F2">
      <w:pPr>
        <w:ind w:firstLineChars="0" w:firstLine="0"/>
        <w:jc w:val="left"/>
        <w:rPr>
          <w:lang w:eastAsia="zh-CN"/>
        </w:rPr>
      </w:pPr>
      <w:r>
        <w:rPr>
          <w:lang w:eastAsia="zh-CN"/>
        </w:rPr>
        <w:t xml:space="preserve">[7] Fujimoto S, van Hoof H, Meger D. Addressing Function Approximation Error in Actor-Critic Methods[C]//Proceedings of the 35th International Conference on Machine Learning. PMLR, 2018, 80: 1587-1596.</w:t>
      </w:r>
    </w:p>
    <w:p w14:paraId="5120FE66" w14:textId="566546B6" w:rsidR="00636361" w:rsidRDefault="0025789C" w:rsidP="001A17F2">
      <w:pPr>
        <w:ind w:firstLineChars="0" w:firstLine="0"/>
        <w:jc w:val="left"/>
        <w:rPr>
          <w:lang w:eastAsia="zh-CN"/>
        </w:rPr>
      </w:pPr>
      <w:r>
        <w:rPr>
          <w:lang w:eastAsia="zh-CN"/>
        </w:rPr>
        <w:t xml:space="preserve">[8] Vaswani A, Shazeer N, Parmar N, et al. Attention Is All You Need[C]//Advances in Neural Information Processing Systems. 2017, 30.</w:t>
      </w:r>
    </w:p>
    <w:p w14:paraId="5120FE66" w14:textId="566546B6" w:rsidR="00636361" w:rsidRDefault="0025789C" w:rsidP="001A17F2">
      <w:pPr>
        <w:ind w:firstLineChars="0" w:firstLine="0"/>
        <w:jc w:val="left"/>
        <w:rPr>
          <w:lang w:eastAsia="zh-CN"/>
        </w:rPr>
      </w:pPr>
      <w:r>
        <w:rPr>
          <w:lang w:eastAsia="zh-CN"/>
        </w:rPr>
        <w:t xml:space="preserve">[9] B. Chen, S. Ding, Y. Lin and G. Chen, "Multi-agent Simulation of Complex Economic Systems Driven by Deep Reinforcement Learning," 2025 IEEE 17th International Conference on Computer Research and Development (ICCRD), Shangrao, China, 2025, pp. 47-54, doi: 10.1109/ICCRD64588.2025.10963160.</w:t>
      </w:r>
    </w:p>
    <w:p w14:paraId="5120FE66" w14:textId="566546B6" w:rsidR="00636361" w:rsidRDefault="0025789C" w:rsidP="001A17F2">
      <w:pPr>
        <w:ind w:firstLineChars="0" w:firstLine="0"/>
        <w:jc w:val="left"/>
        <w:rPr>
          <w:lang w:eastAsia="zh-CN"/>
        </w:rPr>
      </w:pPr>
      <w:r>
        <w:rPr>
          <w:lang w:eastAsia="zh-CN"/>
        </w:rPr>
        <w:t xml:space="preserve">[10] 中华人民共和国科学技术部等. “关于印发《科技伦理审查办法（试行）》的通知.” 2023年10月8日, https://www.most.gov.cn/xxgk/xinxifenlei/fdzdgknr/fgzc/gfxwj/gfxwj2023/202310/t20231008_188309.html.</w:t>
      </w:r>
    </w:p>
    <w:p w14:paraId="5120FE66" w14:textId="566546B6" w:rsidR="00636361" w:rsidRDefault="0025789C" w:rsidP="001A17F2">
      <w:pPr>
        <w:ind w:firstLineChars="0" w:firstLine="0"/>
        <w:jc w:val="left"/>
        <w:rPr>
          <w:lang w:eastAsia="zh-CN"/>
        </w:rPr>
      </w:pPr>
      <w:r>
        <w:rPr>
          <w:lang w:eastAsia="zh-CN"/>
        </w:rPr>
        <w:t xml:space="preserve">[11] Lin J. Divergence Measures Based on the Shannon Entropy[J]. IEEE Transactions on Information Theory, 1991, 37(1): 145-151.</w:t>
      </w:r>
    </w:p>
    <w:p w14:paraId="5120FE66" w14:textId="566546B6" w:rsidR="00636361" w:rsidRDefault="0025789C" w:rsidP="001A17F2">
      <w:pPr>
        <w:ind w:firstLineChars="0" w:firstLine="0"/>
        <w:jc w:val="left"/>
        <w:rPr>
          <w:lang w:eastAsia="zh-CN"/>
        </w:rPr>
      </w:pPr>
      <w:r>
        <w:rPr>
          <w:lang w:eastAsia="zh-CN"/>
        </w:rPr>
        <w:t xml:space="preserve">[12] Inman H F, Bradley E L Jr. The Overlapping Coefficient as a Measure of Agreement Between Probability Distributions and Point Estimation of the Overlap of Two Normal Densities[J]. Communications in Statistics-Theory and Methods, 1989, 18(10): 3851-3874.</w:t>
      </w:r>
    </w:p>
    <w:p w14:paraId="5120FE66" w14:textId="566546B6" w:rsidR="00636361" w:rsidRDefault="0025789C" w:rsidP="001A17F2">
      <w:pPr>
        <w:ind w:firstLineChars="0" w:firstLine="0"/>
        <w:jc w:val="left"/>
        <w:rPr>
          <w:lang w:eastAsia="zh-CN"/>
        </w:rPr>
      </w:pPr>
      <w:r>
        <w:rPr>
          <w:lang w:eastAsia="zh-CN"/>
        </w:rPr>
        <w:t xml:space="preserve">[13] Fawcett T. An Introduction to ROC Analysis[J]. Pattern Recognition Letters, 2006, 27(8): 861-874.</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