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r>
        <w:rPr>
          <w:lang w:eastAsia="zh-CN"/>
        </w:rPr>
        <w:t>表中平均存活天数按照样本行数除以成功回合数计算，网页人工采集数据、Codex辅助采集数据和合计数据对应的结果分别为98.20天、97.95天和97.99天。</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平均存活天数</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lang w:eastAsia="zh-CN"/>
              </w:rPr>
            </w:pPr>
            <w:r w:rsidRPr="00D4233F">
              <w:rPr>
                <w:lang w:eastAsia="zh-CN"/>
              </w:rPr>
              <w:t>98.20</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lang w:eastAsia="zh-CN"/>
              </w:rPr>
            </w:pPr>
            <w:r w:rsidRPr="00D4233F">
              <w:t>97.95</w:t>
            </w:r>
            <w:proofErr w:type="spellStart"/>
            <w:proofErr w:type="spellEnd"/>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lang w:eastAsia="zh-CN"/>
              </w:rPr>
            </w:pPr>
            <w:r w:rsidRPr="00D4233F">
              <w:rPr>
                <w:lang w:eastAsia="zh-CN"/>
              </w:rPr>
              <w:t>97.99</w:t>
            </w:r>
            <w:proofErr w:type="gramStart"/>
            <w:proofErr w:type="gramEnd"/>
            <w:proofErr w:type="gramStart"/>
            <w:proofErr w:type="gramEnd"/>
          </w:p>
        </w:tc>
      </w:tr>
    </w:tbl>
    <w:p w14:paraId="35458F32" w14:textId="77777777" w:rsidR="00BE7EA7" w:rsidRDefault="00BE7EA7" w:rsidP="00BE7EA7">
      <w:pPr>
        <w:pStyle w:val="1"/>
        <w:ind w:firstLineChars="0" w:firstLine="0"/>
        <w:rPr>
          <w:lang w:eastAsia="zh-CN"/>
        </w:rPr>
      </w:pPr>
      <w:r>
        <w:rPr>
          <w:lang w:eastAsia="zh-CN"/>
        </w:rPr>
        <w:t xml:space="preserve">6  </w:t>
      </w:r>
      <w:r>
        <w:rPr>
          <w:lang w:eastAsia="zh-CN"/>
        </w:rPr>
        <w:t>实验设置与结果分析</w:t>
      </w:r>
    </w:p>
    <w:p w14:paraId="4893502C" w14:textId="77777777" w:rsidR="00BE7EA7" w:rsidRDefault="00BE7EA7" w:rsidP="00BE7EA7">
      <w:pPr>
        <w:pStyle w:val="21"/>
        <w:ind w:firstLineChars="0" w:firstLine="0"/>
        <w:rPr>
          <w:lang w:eastAsia="zh-CN"/>
        </w:rPr>
      </w:pPr>
      <w:r>
        <w:rPr>
          <w:lang w:eastAsia="zh-CN"/>
        </w:rPr>
        <w:t xml:space="preserve">6.1 </w:t>
      </w:r>
      <w:r>
        <w:rPr>
          <w:lang w:eastAsia="zh-CN"/>
        </w:rPr>
        <w:t>实验设置与评价指标</w:t>
      </w:r>
    </w:p>
    <w:p w14:paraId="56778E1C" w14:textId="77777777" w:rsidR="00BE7EA7" w:rsidRDefault="00BE7EA7" w:rsidP="00BE7EA7">
      <w:pPr>
        <w:ind w:firstLine="420"/>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GAIL+TD3和Transformer+GAIL+TD3使用第五章整理得到的同一组专家数据，三种模型采用相同的仿真环境、训练进度尺度和统计方法。</w:t>
      </w:r>
    </w:p>
    <w:p w14:paraId="4393B81D" w14:textId="77777777" w:rsidR="00BE7EA7" w:rsidRDefault="00BE7EA7" w:rsidP="00BE7EA7">
      <w:pPr>
        <w:ind w:firstLine="420"/>
        <w:rPr>
          <w:lang w:eastAsia="zh-CN"/>
        </w:rPr>
      </w:pPr>
      <w:r>
        <w:rPr>
          <w:lang w:eastAsia="zh-CN"/>
        </w:rPr>
        <w:t>本文以回合作为训练进度单位，并将每个评估时刻所包含的连续训练回合数记为E。模型每完成E个连续训练回合，本文汇总一次评价指标，并将该汇总位置记为一个评估时刻（evaluation step）。第k个评估时刻对应第k组连续训练回合的统计结果。表6-1列出了实验采用的模型、评估间隔、单个回合最大运行时长和统计方法。</w:t>
      </w:r>
    </w:p>
    <w:p w14:paraId="0F292E28" w14:textId="77777777" w:rsidR="00BE7EA7" w:rsidRDefault="00BE7EA7" w:rsidP="00BE7EA7">
      <w:pPr>
        <w:keepNext/>
        <w:spacing w:before="40" w:after="80" w:line="288" w:lineRule="auto"/>
        <w:ind w:firstLine="360"/>
        <w:jc w:val="center"/>
        <w:rPr>
          <w:lang w:eastAsia="zh-CN"/>
        </w:rPr>
      </w:pPr>
      <w:r>
        <w:rPr>
          <w:sz w:val="18"/>
          <w:lang w:eastAsia="zh-CN"/>
        </w:rPr>
        <w:t>表</w:t>
      </w:r>
      <w:r>
        <w:rPr>
          <w:sz w:val="18"/>
          <w:lang w:eastAsia="zh-CN"/>
        </w:rPr>
        <w:t xml:space="preserve">6-1 </w:t>
      </w:r>
      <w:r>
        <w:rPr>
          <w:sz w:val="18"/>
          <w:lang w:eastAsia="zh-CN"/>
        </w:rPr>
        <w:t>实验与统计设置</w:t>
      </w:r>
    </w:p>
    <w:tbl>
      <w:tblPr>
        <w:tblStyle w:val="aff1"/>
        <w:tblW w:w="0" w:type="auto"/>
        <w:jc w:val="center"/>
        <w:tblLayout w:type="fixed"/>
        <w:tblLook w:val="04A0" w:firstRow="1" w:lastRow="0" w:firstColumn="1" w:lastColumn="0" w:noHBand="0" w:noVBand="1"/>
      </w:tblPr>
      <w:tblGrid>
        <w:gridCol w:w="2835"/>
        <w:gridCol w:w="6009"/>
      </w:tblGrid>
      <w:tr w:rsidR="00BE7EA7" w14:paraId="2A289931" w14:textId="77777777" w:rsidTr="00B06FE6">
        <w:trPr>
          <w:jc w:val="center"/>
        </w:trPr>
        <w:tc>
          <w:tcPr>
            <w:tcW w:w="2835" w:type="dxa"/>
            <w:shd w:val="clear" w:color="auto" w:fill="F2F2F2"/>
            <w:vAlign w:val="center"/>
          </w:tcPr>
          <w:p w14:paraId="39DC6203" w14:textId="77777777" w:rsidR="00BE7EA7" w:rsidRDefault="00BE7EA7" w:rsidP="00B06FE6">
            <w:pPr>
              <w:spacing w:after="0" w:line="276" w:lineRule="auto"/>
              <w:ind w:firstLine="361"/>
              <w:jc w:val="center"/>
            </w:pPr>
            <w:proofErr w:type="spellStart"/>
            <w:r>
              <w:rPr>
                <w:b/>
                <w:sz w:val="18"/>
              </w:rPr>
              <w:t>项目</w:t>
            </w:r>
            <w:proofErr w:type="spellEnd"/>
          </w:p>
        </w:tc>
        <w:tc>
          <w:tcPr>
            <w:tcW w:w="6009" w:type="dxa"/>
            <w:shd w:val="clear" w:color="auto" w:fill="F2F2F2"/>
            <w:vAlign w:val="center"/>
          </w:tcPr>
          <w:p w14:paraId="56A8F0BE" w14:textId="77777777" w:rsidR="00BE7EA7" w:rsidRDefault="00BE7EA7" w:rsidP="00B06FE6">
            <w:pPr>
              <w:spacing w:after="0" w:line="276" w:lineRule="auto"/>
              <w:ind w:firstLine="361"/>
              <w:jc w:val="center"/>
            </w:pPr>
            <w:proofErr w:type="spellStart"/>
            <w:r>
              <w:rPr>
                <w:b/>
                <w:sz w:val="18"/>
              </w:rPr>
              <w:t>设定</w:t>
            </w:r>
            <w:proofErr w:type="spellEnd"/>
          </w:p>
        </w:tc>
      </w:tr>
      <w:tr w:rsidR="00BE7EA7" w14:paraId="5E30CE6A" w14:textId="77777777" w:rsidTr="00B06FE6">
        <w:trPr>
          <w:jc w:val="center"/>
        </w:trPr>
        <w:tc>
          <w:tcPr>
            <w:tcW w:w="2835" w:type="dxa"/>
            <w:vAlign w:val="center"/>
          </w:tcPr>
          <w:p w14:paraId="7289C36A" w14:textId="77777777" w:rsidR="00BE7EA7" w:rsidRDefault="00BE7EA7" w:rsidP="00B06FE6">
            <w:pPr>
              <w:spacing w:after="0" w:line="276" w:lineRule="auto"/>
              <w:ind w:firstLine="360"/>
              <w:jc w:val="center"/>
            </w:pPr>
            <w:r>
              <w:rPr>
                <w:sz w:val="18"/>
              </w:rPr>
              <w:t>对比模型</w:t>
            </w:r>
          </w:p>
        </w:tc>
        <w:tc>
          <w:tcPr>
            <w:tcW w:w="6009" w:type="dxa"/>
            <w:vAlign w:val="center"/>
          </w:tcPr>
          <w:p w14:paraId="2A1AB8D0" w14:textId="77777777" w:rsidR="00BE7EA7" w:rsidRDefault="00BE7EA7" w:rsidP="00B06FE6">
            <w:pPr>
              <w:spacing w:after="0" w:line="276" w:lineRule="auto"/>
              <w:ind w:firstLine="360"/>
              <w:jc w:val="left"/>
            </w:pPr>
            <w:r>
              <w:rPr>
                <w:sz w:val="18"/>
              </w:rPr>
              <w:t>TD3</w:t>
            </w:r>
            <w:r>
              <w:rPr>
                <w:sz w:val="18"/>
              </w:rPr>
              <w:t>、</w:t>
            </w:r>
            <w:r>
              <w:rPr>
                <w:sz w:val="18"/>
              </w:rPr>
              <w:t>GAIL+TD3</w:t>
            </w:r>
            <w:r>
              <w:rPr>
                <w:sz w:val="18"/>
              </w:rPr>
              <w:t>、</w:t>
            </w:r>
            <w:r>
              <w:rPr>
                <w:sz w:val="18"/>
              </w:rPr>
              <w:t>Transformer+GAIL+TD3</w:t>
            </w:r>
          </w:p>
        </w:tc>
      </w:tr>
      <w:tr w:rsidR="00BE7EA7" w14:paraId="16605E10" w14:textId="77777777" w:rsidTr="00B06FE6">
        <w:trPr>
          <w:jc w:val="center"/>
        </w:trPr>
        <w:tc>
          <w:tcPr>
            <w:tcW w:w="2835" w:type="dxa"/>
            <w:vAlign w:val="center"/>
          </w:tcPr>
          <w:p w14:paraId="116BA3F5" w14:textId="77777777" w:rsidR="00BE7EA7" w:rsidRDefault="00BE7EA7" w:rsidP="00B06FE6">
            <w:pPr>
              <w:spacing w:after="0" w:line="276" w:lineRule="auto"/>
              <w:ind w:firstLine="360"/>
              <w:jc w:val="center"/>
            </w:pPr>
            <w:proofErr w:type="spellStart"/>
            <w:r>
              <w:rPr>
                <w:sz w:val="18"/>
              </w:rPr>
              <w:t>随机种子组数</w:t>
            </w:r>
            <w:proofErr w:type="spellEnd"/>
          </w:p>
        </w:tc>
        <w:tc>
          <w:tcPr>
            <w:tcW w:w="6009" w:type="dxa"/>
            <w:vAlign w:val="center"/>
          </w:tcPr>
          <w:p w14:paraId="697DB39C" w14:textId="77777777" w:rsidR="00BE7EA7" w:rsidRDefault="00BE7EA7" w:rsidP="00B06FE6">
            <w:pPr>
              <w:spacing w:after="0" w:line="276" w:lineRule="auto"/>
              <w:ind w:firstLine="360"/>
              <w:jc w:val="left"/>
            </w:pPr>
            <w:r>
              <w:rPr>
                <w:sz w:val="18"/>
              </w:rPr>
              <w:t>每种模型8组</w:t>
            </w:r>
          </w:p>
        </w:tc>
      </w:tr>
      <w:tr w:rsidR="00BE7EA7" w14:paraId="04C9386B" w14:textId="77777777" w:rsidTr="00B06FE6">
        <w:trPr>
          <w:jc w:val="center"/>
        </w:trPr>
        <w:tc>
          <w:tcPr>
            <w:tcW w:w="2835" w:type="dxa"/>
            <w:vAlign w:val="center"/>
          </w:tcPr>
          <w:p w14:paraId="0A053EFE" w14:textId="77777777" w:rsidR="00BE7EA7" w:rsidRDefault="00BE7EA7" w:rsidP="00B06FE6">
            <w:pPr>
              <w:spacing w:after="0" w:line="276" w:lineRule="auto"/>
              <w:ind w:firstLine="360"/>
              <w:jc w:val="center"/>
              <w:rPr>
                <w:lang w:eastAsia="zh-CN"/>
              </w:rPr>
            </w:pPr>
            <w:r>
              <w:rPr>
                <w:sz w:val="18"/>
                <w:lang w:eastAsia="zh-CN"/>
              </w:rPr>
              <w:t>每个评估时刻对应回合数</w:t>
            </w:r>
          </w:p>
        </w:tc>
        <w:tc>
          <w:tcPr>
            <w:tcW w:w="6009" w:type="dxa"/>
            <w:vAlign w:val="center"/>
          </w:tcPr>
          <w:p w14:paraId="064E4C13" w14:textId="77777777" w:rsidR="00BE7EA7" w:rsidRDefault="00BE7EA7" w:rsidP="00B06FE6">
            <w:pPr>
              <w:spacing w:after="0" w:line="276" w:lineRule="auto"/>
              <w:ind w:firstLine="360"/>
              <w:jc w:val="left"/>
            </w:pPr>
            <w:r>
              <w:rPr>
                <w:sz w:val="18"/>
              </w:rPr>
              <w:t>E=100个连续训练回合</w:t>
            </w:r>
          </w:p>
        </w:tc>
      </w:tr>
      <w:tr w:rsidR="00BE7EA7" w14:paraId="2B64D8E3" w14:textId="77777777" w:rsidTr="00B06FE6">
        <w:trPr>
          <w:jc w:val="center"/>
        </w:trPr>
        <w:tc>
          <w:tcPr>
            <w:tcW w:w="2835" w:type="dxa"/>
            <w:vAlign w:val="center"/>
          </w:tcPr>
          <w:p w14:paraId="3686073C" w14:textId="77777777" w:rsidR="00BE7EA7" w:rsidRDefault="00BE7EA7" w:rsidP="00B06FE6">
            <w:pPr>
              <w:spacing w:after="0" w:line="276" w:lineRule="auto"/>
              <w:ind w:firstLine="360"/>
              <w:jc w:val="center"/>
            </w:pPr>
            <w:r>
              <w:rPr>
                <w:sz w:val="18"/>
              </w:rPr>
              <w:t>单个回合最大运行时长</w:t>
            </w:r>
          </w:p>
        </w:tc>
        <w:tc>
          <w:tcPr>
            <w:tcW w:w="6009" w:type="dxa"/>
            <w:vAlign w:val="center"/>
          </w:tcPr>
          <w:p w14:paraId="4ED062A3" w14:textId="77777777" w:rsidR="00BE7EA7" w:rsidRDefault="00BE7EA7" w:rsidP="00B06FE6">
            <w:pPr>
              <w:spacing w:after="0" w:line="276" w:lineRule="auto"/>
              <w:ind w:firstLine="360"/>
              <w:jc w:val="left"/>
            </w:pPr>
            <w:r>
              <w:rPr>
                <w:sz w:val="18"/>
              </w:rPr>
              <w:t>100天</w:t>
            </w:r>
          </w:p>
        </w:tc>
      </w:tr>
      <w:tr w:rsidR="00BE7EA7" w14:paraId="3E046AC6" w14:textId="77777777" w:rsidTr="00B06FE6">
        <w:trPr>
          <w:jc w:val="center"/>
        </w:trPr>
        <w:tc>
          <w:tcPr>
            <w:tcW w:w="2835" w:type="dxa"/>
            <w:vAlign w:val="center"/>
          </w:tcPr>
          <w:p w14:paraId="56E155DA" w14:textId="77777777" w:rsidR="00BE7EA7" w:rsidRDefault="00BE7EA7" w:rsidP="00B06FE6">
            <w:pPr>
              <w:spacing w:after="0" w:line="276" w:lineRule="auto"/>
              <w:ind w:firstLine="360"/>
              <w:jc w:val="center"/>
            </w:pPr>
            <w:proofErr w:type="spellStart"/>
            <w:r>
              <w:rPr>
                <w:sz w:val="18"/>
              </w:rPr>
              <w:t>统计方法</w:t>
            </w:r>
            <w:proofErr w:type="spellEnd"/>
          </w:p>
        </w:tc>
        <w:tc>
          <w:tcPr>
            <w:tcW w:w="6009" w:type="dxa"/>
            <w:vAlign w:val="center"/>
          </w:tcPr>
          <w:p w14:paraId="1DA780C9" w14:textId="77777777" w:rsidR="00BE7EA7" w:rsidRDefault="00BE7EA7" w:rsidP="00B06FE6">
            <w:pPr>
              <w:spacing w:after="0" w:line="276" w:lineRule="auto"/>
              <w:ind w:firstLine="360"/>
              <w:jc w:val="left"/>
              <w:rPr>
                <w:lang w:eastAsia="zh-CN"/>
              </w:rPr>
            </w:pPr>
            <w:r>
              <w:rPr>
                <w:sz w:val="18"/>
                <w:lang w:eastAsia="zh-CN"/>
              </w:rPr>
              <w:t>8</w:t>
            </w:r>
            <w:r>
              <w:rPr>
                <w:sz w:val="18"/>
                <w:lang w:eastAsia="zh-CN"/>
              </w:rPr>
              <w:t>次独立运行的均值及均值上下</w:t>
            </w:r>
            <w:r>
              <w:rPr>
                <w:sz w:val="18"/>
                <w:lang w:eastAsia="zh-CN"/>
              </w:rPr>
              <w:t>1</w:t>
            </w:r>
            <w:r>
              <w:rPr>
                <w:sz w:val="18"/>
                <w:lang w:eastAsia="zh-CN"/>
              </w:rPr>
              <w:t>个</w:t>
            </w:r>
            <w:r>
              <w:rPr>
                <w:sz w:val="18"/>
                <w:lang w:eastAsia="zh-CN"/>
              </w:rPr>
              <w:t>SEM</w:t>
            </w:r>
          </w:p>
        </w:tc>
      </w:tr>
    </w:tbl>
    <w:p w14:paraId="150B189D" w14:textId="77777777" w:rsidR="00BE7EA7" w:rsidRDefault="00BE7EA7" w:rsidP="00BE7EA7">
      <w:pPr>
        <w:ind w:firstLine="420"/>
        <w:rPr>
          <w:lang w:eastAsia="zh-CN"/>
        </w:rPr>
      </w:pPr>
      <w:r>
        <w:rPr>
          <w:lang w:eastAsia="zh-CN"/>
        </w:rPr>
        <w:t>在上述训练过程中，本文跟踪系统运行、主体收益、学习速度和生产企业偿债风险四类评价指标。各项指标的定义如下。</w:t>
      </w:r>
    </w:p>
    <w:p w14:paraId="65BBFDF9" w14:textId="77777777" w:rsidR="00BE7EA7" w:rsidRDefault="00BE7EA7" w:rsidP="00BE7EA7">
      <w:pPr>
        <w:ind w:firstLine="420"/>
        <w:rPr>
          <w:lang w:eastAsia="zh-CN"/>
        </w:rPr>
      </w:pPr>
      <w:r>
        <w:rPr>
          <w:lang w:eastAsia="zh-CN"/>
        </w:rPr>
        <w:t>（1）平均存活天数。该指标用于衡量系统在一个评估时刻内维持运行的平均时长，等于第k个评估时刻所含E个回合存活天数的算术平均值，其定义如下：</w:t>
      </w:r>
    </w:p>
    <w:p w14:paraId="780B2979" w14:textId="77777777" w:rsidR="00BE7EA7" w:rsidRDefault="00BE7EA7" w:rsidP="00BE7EA7">
      <w:pPr>
        <w:spacing w:before="60" w:line="288" w:lineRule="auto"/>
        <w:ind w:firstLine="420"/>
        <w:jc w:val="center"/>
      </w:pPr>
      <m:oMath>
        <m:bar>
          <m:barPr>
            <m:pos m:val="top"/>
          </m:barPr>
          <m:e>
            <m:sSub>
              <m:e>
                <m:r>
                  <m:t>L</m:t>
                </m:r>
              </m:e>
              <m:sub>
                <m:r>
                  <m:t>k</m:t>
                </m:r>
              </m:sub>
            </m:sSub>
          </m:e>
        </m:bar>
        <m:r>
          <m:t>=</m:t>
        </m:r>
        <m:f>
          <m:fPr>
            <m:type m:val="bar"/>
          </m:fPr>
          <m:num>
            <m:r>
              <m:t>1</m:t>
            </m:r>
          </m:num>
          <m:den>
            <m:r>
              <m:t>E</m:t>
            </m:r>
          </m:den>
        </m:f>
        <m:nary>
          <m:naryPr>
            <m:chr m:val="∑"/>
            <m:limLoc m:val="undOvr"/>
            <m:grow m:val="1"/>
            <m:subHide m:val="off"/>
            <m:supHide m:val="off"/>
          </m:naryPr>
          <m:sub>
            <m:r>
              <m:t>n=1</m:t>
            </m:r>
          </m:sub>
          <m:sup>
            <m:r>
              <m:t>E</m:t>
            </m:r>
          </m:sup>
          <m:e>
            <m:sSub>
              <m:e>
                <m:r>
                  <m:t>L</m:t>
                </m:r>
              </m:e>
              <m:sub>
                <m:r>
                  <m:t>k,n</m:t>
                </m:r>
              </m:sub>
            </m:sSub>
          </m:e>
        </m:nary>
      </m:oMath>
    </w:p>
    <w:p w14:paraId="5F42F600" w14:textId="77777777" w:rsidR="00BE7EA7" w:rsidRDefault="00BE7EA7" w:rsidP="00BE7EA7">
      <w:pPr>
        <w:ind w:firstLine="420"/>
        <w:rPr>
          <w:lang w:eastAsia="zh-CN"/>
        </w:rPr>
      </w:pPr>
      <w:r>
        <w:rPr>
          <w:lang w:eastAsia="zh-CN"/>
        </w:rPr>
        <w:t>式中，n表示第k个评估时刻内的回合序号，n=1,2,…,E；L表示对应回合的存活天数。</w:t>
      </w:r>
    </w:p>
    <w:p>
      <w:pPr>
        <w:ind w:firstLine="420"/>
        <w:rPr>
          <w:lang w:eastAsia="zh-CN"/>
        </w:rPr>
      </w:pPr>
      <w:r>
        <w:rPr>
          <w:lang w:eastAsia="zh-CN"/>
        </w:rPr>
        <w:t>（2）累计收益。累计收益包括生产企业累计收益、消费企业累计收益和银行累计收益。对于企业主体，本文首先在单个回合内汇总收入、支出与利息，再对第k个评估时刻内E个回合的企业累计收益取算术平均值，其定义如下：</w:t>
      </w:r>
    </w:p>
    <w:p w14:paraId="26E43F55" w14:textId="77777777" w:rsidR="00BE7EA7" w:rsidRDefault="00BE7EA7" w:rsidP="00BE7EA7">
      <w:pPr>
        <w:spacing w:before="60" w:line="288" w:lineRule="auto"/>
        <w:ind w:firstLine="420"/>
        <w:jc w:val="center"/>
      </w:pPr>
      <m:oMath>
        <m:bar>
          <m:barPr>
            <m:pos m:val="top"/>
          </m:barPr>
          <m:e>
            <m:sSubSup>
              <m:e>
                <m:r>
                  <m:t>J</m:t>
                </m:r>
              </m:e>
              <m:sub>
                <m:r>
                  <m:t>i,k</m:t>
                </m:r>
              </m:sub>
              <m:sup>
                <m:r>
                  <m:rPr>
                    <m:nor/>
                  </m:rPr>
                  <m:t>firm</m:t>
                </m:r>
              </m:sup>
            </m:sSubSup>
          </m:e>
        </m:bar>
        <m:r>
          <m:t>=</m:t>
        </m:r>
        <m:f>
          <m:fPr>
            <m:type m:val="bar"/>
          </m:fPr>
          <m:num>
            <m:r>
              <m:t>1</m:t>
            </m:r>
          </m:num>
          <m:den>
            <m:r>
              <m:t>E</m:t>
            </m:r>
          </m:den>
        </m:f>
        <m:nary>
          <m:naryPr>
            <m:chr m:val="∑"/>
            <m:limLoc m:val="undOvr"/>
            <m:grow m:val="1"/>
            <m:subHide m:val="off"/>
            <m:supHide m:val="off"/>
          </m:naryPr>
          <m:sub>
            <m:r>
              <m:t>n=1</m:t>
            </m:r>
          </m:sub>
          <m:sup>
            <m:r>
              <m:t>E</m:t>
            </m:r>
          </m:sup>
          <m:e>
            <m:d>
              <m:dPr>
                <m:sepChr m:val=","/>
              </m:dPr>
              <m:e>
                <m:r>
                  <m:t>2</m:t>
                </m:r>
                <m:sSub>
                  <m:e>
                    <m:r>
                      <m:t>R</m:t>
                    </m:r>
                  </m:e>
                  <m:sub>
                    <m:r>
                      <m:t>i,k,n</m:t>
                    </m:r>
                  </m:sub>
                </m:sSub>
                <m:r>
                  <m:t>−</m:t>
                </m:r>
                <m:sSub>
                  <m:e>
                    <m:r>
                      <m:t>C</m:t>
                    </m:r>
                  </m:e>
                  <m:sub>
                    <m:r>
                      <m:t>i,k,n</m:t>
                    </m:r>
                  </m:sub>
                </m:sSub>
                <m:r>
                  <m:t>−</m:t>
                </m:r>
                <m:sSub>
                  <m:e>
                    <m:r>
                      <m:t>I</m:t>
                    </m:r>
                  </m:e>
                  <m:sub>
                    <m:r>
                      <m:t>i,k,n</m:t>
                    </m:r>
                  </m:sub>
                </m:sSub>
              </m:e>
            </m:d>
          </m:e>
        </m:nary>
      </m:oMath>
    </w:p>
    <w:p w14:paraId="1D5E77D9" w14:textId="77777777" w:rsidR="00BE7EA7" w:rsidRDefault="00BE7EA7" w:rsidP="00BE7EA7">
      <w:pPr>
        <w:ind w:firstLine="420"/>
        <w:rPr>
          <w:lang w:eastAsia="zh-CN"/>
        </w:rPr>
      </w:pPr>
      <w:r>
        <w:rPr>
          <w:lang w:eastAsia="zh-CN"/>
        </w:rPr>
        <w:t>式中，J表示企业在对应评估时刻的平均累计收益；R、C和I分别表示单个回合内的累计收入、累计支出和累计利息；i、k和n分别表示企业编号、评估时刻编号和该评估时刻内的回合序号。</w:t>
      </w:r>
    </w:p>
    <w:p w14:paraId="4C287CC0" w14:textId="77777777" w:rsidR="00BE7EA7" w:rsidRDefault="00BE7EA7" w:rsidP="00BE7EA7">
      <w:pPr>
        <w:ind w:firstLine="420"/>
        <w:rPr>
          <w:lang w:eastAsia="zh-CN"/>
        </w:rPr>
      </w:pPr>
      <w:r>
        <w:rPr>
          <w:lang w:eastAsia="zh-CN"/>
        </w:rPr>
        <w:t>生产企业和消费企业分别依据上述定义计算平均累计收益。银行累计收益按照企业向银行支付的利息之和计算，并对第k个评估时刻内E个回合的结果取算术平均值，其定义如下：</w:t>
      </w:r>
    </w:p>
    <w:p w14:paraId="48469F13" w14:textId="77777777" w:rsidR="00BE7EA7" w:rsidRDefault="00BE7EA7" w:rsidP="00BE7EA7">
      <w:pPr>
        <w:spacing w:before="60" w:line="288" w:lineRule="auto"/>
        <w:ind w:firstLine="420"/>
        <w:jc w:val="center"/>
      </w:pPr>
      <m:oMath>
        <m:bar>
          <m:barPr>
            <m:pos m:val="top"/>
          </m:barPr>
          <m:e>
            <m:sSubSup>
              <m:e>
                <m:r>
                  <m:t>J</m:t>
                </m:r>
              </m:e>
              <m:sub>
                <m:r>
                  <m:t>k</m:t>
                </m:r>
              </m:sub>
              <m:sup>
                <m:r>
                  <m:rPr>
                    <m:nor/>
                  </m:rPr>
                  <m:t>bank</m:t>
                </m:r>
              </m:sup>
            </m:sSubSup>
          </m:e>
        </m:bar>
        <m:r>
          <m:t>=</m:t>
        </m:r>
        <m:f>
          <m:fPr>
            <m:type m:val="bar"/>
          </m:fPr>
          <m:num>
            <m:r>
              <m:t>1</m:t>
            </m:r>
          </m:num>
          <m:den>
            <m:r>
              <m:t>E</m:t>
            </m:r>
          </m:den>
        </m:f>
        <m:nary>
          <m:naryPr>
            <m:chr m:val="∑"/>
            <m:limLoc m:val="undOvr"/>
            <m:grow m:val="1"/>
            <m:subHide m:val="off"/>
            <m:supHide m:val="off"/>
          </m:naryPr>
          <m:sub>
            <m:r>
              <m:t>n=1</m:t>
            </m:r>
          </m:sub>
          <m:sup>
            <m:r>
              <m:t>E</m:t>
            </m:r>
          </m:sup>
          <m:e>
            <m:nary>
              <m:naryPr>
                <m:chr m:val="∑"/>
                <m:limLoc m:val="undOvr"/>
                <m:grow m:val="1"/>
                <m:subHide m:val="off"/>
                <m:supHide m:val="off"/>
              </m:naryPr>
              <m:sub>
                <m:r>
                  <m:t>i=1</m:t>
                </m:r>
              </m:sub>
              <m:sup>
                <m:r>
                  <m:t>m</m:t>
                </m:r>
              </m:sup>
              <m:e>
                <m:sSub>
                  <m:e>
                    <m:r>
                      <m:t>I</m:t>
                    </m:r>
                  </m:e>
                  <m:sub>
                    <m:r>
                      <m:t>i,k,n</m:t>
                    </m:r>
                  </m:sub>
                </m:sSub>
              </m:e>
            </m:nary>
          </m:e>
        </m:nary>
      </m:oMath>
    </w:p>
    <w:p w14:paraId="58518720" w14:textId="77777777" w:rsidR="00BE7EA7" w:rsidRDefault="00BE7EA7" w:rsidP="00BE7EA7">
      <w:pPr>
        <w:ind w:firstLine="420"/>
        <w:rPr>
          <w:lang w:eastAsia="zh-CN"/>
        </w:rPr>
      </w:pPr>
      <w:r>
        <w:rPr>
          <w:lang w:eastAsia="zh-CN"/>
        </w:rPr>
        <w:t>式中，J表示银行在对应评估时刻的平均累计收益；m表示系统中的企业主体数量；I表示对应企业在单个回合内支付的累计利息；k和n分别表示评估时刻编号和该评估时刻内的回合序号。</w:t>
      </w:r>
    </w:p>
    <w:p>
      <w:pPr>
        <w:ind w:firstLine="420"/>
        <w:rPr>
          <w:lang w:eastAsia="zh-CN"/>
        </w:rPr>
      </w:pPr>
      <w:r>
        <w:rPr>
          <w:lang w:eastAsia="zh-CN"/>
        </w:rPr>
        <w:t>（3）累计归一化学习曲线下面积。归一化学习曲线下面积（nAULC: normalized area under the learning curve）用于综合衡量平均存活天数的提升速度与持续水平。本文对每次独立运行的平均存活天数曲线采用梯形法积分，并以完整评估区间和单个回合最大运行时长进行归一化。截至第k个评估时刻的累计归一化面积定义如下：</w:t>
      </w:r>
    </w:p>
    <w:p>
      <w:pPr>
        <w:spacing w:before="60" w:line="288" w:lineRule="auto"/>
        <w:ind w:firstLine="420"/>
        <w:jc w:val="center"/>
      </w:pPr>
      <m:oMath>
        <m:sSubSup>
          <m:e>
            <m:r>
              <m:t>A</m:t>
            </m:r>
          </m:e>
          <m:sub>
            <m:r>
              <m:t>r,k</m:t>
            </m:r>
          </m:sub>
          <m:sup>
            <m:r>
              <m:rPr>
                <m:nor/>
              </m:rPr>
              <m:t>norm</m:t>
            </m:r>
          </m:sup>
        </m:sSubSup>
        <m:r>
          <m:t>=</m:t>
        </m:r>
        <m:f>
          <m:fPr>
            <m:type m:val="bar"/>
          </m:fPr>
          <m:num>
            <m:r>
              <m:t>1</m:t>
            </m:r>
          </m:num>
          <m:den>
            <m:d>
              <m:dPr>
                <m:sepChr m:val=","/>
              </m:dPr>
              <m:e>
                <m:r>
                  <m:t>K−1</m:t>
                </m:r>
              </m:e>
            </m:d>
            <m:sSub>
              <m:e>
                <m:r>
                  <m:t>L</m:t>
                </m:r>
              </m:e>
              <m:sub>
                <m:r>
                  <m:rPr>
                    <m:nor/>
                  </m:rPr>
                  <m:t>max</m:t>
                </m:r>
              </m:sub>
            </m:sSub>
          </m:den>
        </m:f>
        <m:nary>
          <m:naryPr>
            <m:chr m:val="∑"/>
            <m:limLoc m:val="undOvr"/>
            <m:grow m:val="1"/>
            <m:subHide m:val="off"/>
            <m:supHide m:val="off"/>
          </m:naryPr>
          <m:sub>
            <m:r>
              <m:t>j=1</m:t>
            </m:r>
          </m:sub>
          <m:sup>
            <m:r>
              <m:t>k−1</m:t>
            </m:r>
          </m:sup>
          <m:e>
            <m:f>
              <m:fPr>
                <m:type m:val="bar"/>
              </m:fPr>
              <m:num>
                <m:bar>
                  <m:barPr>
                    <m:pos m:val="top"/>
                  </m:barPr>
                  <m:e>
                    <m:sSub>
                      <m:e>
                        <m:r>
                          <m:t>L</m:t>
                        </m:r>
                      </m:e>
                      <m:sub>
                        <m:r>
                          <m:t>r,j</m:t>
                        </m:r>
                      </m:sub>
                    </m:sSub>
                  </m:e>
                </m:bar>
                <m:r>
                  <m:t>+</m:t>
                </m:r>
                <m:bar>
                  <m:barPr>
                    <m:pos m:val="top"/>
                  </m:barPr>
                  <m:e>
                    <m:sSub>
                      <m:e>
                        <m:r>
                          <m:t>L</m:t>
                        </m:r>
                      </m:e>
                      <m:sub>
                        <m:r>
                          <m:t>r,j+1</m:t>
                        </m:r>
                      </m:sub>
                    </m:sSub>
                  </m:e>
                </m:bar>
              </m:num>
              <m:den>
                <m:r>
                  <m:t>2</m:t>
                </m:r>
              </m:den>
            </m:f>
          </m:e>
        </m:nary>
      </m:oMath>
    </w:p>
    <w:p>
      <w:pPr>
        <w:ind w:firstLine="420"/>
        <w:rPr>
          <w:lang w:eastAsia="zh-CN"/>
        </w:rPr>
      </w:pPr>
      <w:r>
        <w:rPr>
          <w:lang w:eastAsia="zh-CN"/>
        </w:rPr>
        <w:t>式中，r表示独立运行编号；k表示当前评估时刻编号；K表示图中纳入比较的评估时刻总数；j表示积分区间编号；带上横线的L表示相应独立运行在对应评估时刻的平均存活天数；L的最大值表示表6-1所列的单个回合最大运行时长。本文令第1个评估时刻的累计归一化面积为0。在相同评估时刻下，较大的累计归一化面积表示模型在此前训练过程中较早或较持续地取得了较高的平均存活天数。</w:t>
      </w:r>
    </w:p>
    <w:p w14:paraId="4AB9ADB1" w14:textId="77777777" w:rsidR="00BE7EA7" w:rsidRDefault="00BE7EA7" w:rsidP="00BE7EA7">
      <w:pPr>
        <w:ind w:firstLine="420"/>
      </w:pPr>
      <w:r>
        <w:t>（4）生产企业偿债能力。本文采用偿债覆盖率（DSCR: Debt Service Coverage Ratio）度量生产企业的当期偿债能力。该指标以生产企业当日可支配现金与当期应还本息之比表示，其定义如下：</w:t>
      </w:r>
    </w:p>
    <w:p w14:paraId="50493BB0" w14:textId="77777777" w:rsidR="00BE7EA7" w:rsidRDefault="00BE7EA7" w:rsidP="00BE7EA7">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2483A75B" w14:textId="77777777" w:rsidR="00BE7EA7" w:rsidRDefault="00BE7EA7" w:rsidP="00BE7EA7">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69B80E6B" w14:textId="77777777" w:rsidR="00BE7EA7" w:rsidRDefault="00BE7EA7" w:rsidP="00BE7EA7">
      <w:pPr>
        <w:ind w:firstLine="420"/>
      </w:pPr>
      <w:r>
        <w:rPr>
          <w:lang w:eastAsia="zh-CN"/>
        </w:rPr>
        <w:t>神经网络参数初始化、动作探索、训练样本抽取和经验池采样等过程均包含随机因素。本文将用于控制上述随机因素的联合配置统称为“随机种子”。三种模型分别在8组随机种子下独立运行，每种模型据此形成8条指标序列。本文在每个评估时刻计算8次独立运行结果的算术平均值，并以该均值作为曲线值。均值标准误（SEM: Standard Error of the Mean）用于描述8次独立运行均值的不确定性，其定义为：</w:t>
      </w:r>
    </w:p>
    <w:p w14:paraId="550E2032" w14:textId="77777777" w:rsidR="00BE7EA7" w:rsidRDefault="00BE7EA7" w:rsidP="00BE7EA7">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19F60BA3" w14:textId="77777777" w:rsidR="00BE7EA7" w:rsidRDefault="00BE7EA7" w:rsidP="00BE7EA7">
      <w:pPr>
        <w:ind w:firstLine="420"/>
        <w:rPr>
          <w:lang w:eastAsia="zh-CN"/>
        </w:rPr>
      </w:pPr>
      <w:r>
        <w:rPr>
          <w:lang w:eastAsia="zh-CN"/>
        </w:rPr>
        <w:t>式中，s表示8次运行结果的样本标准差，S表示独立运行次数，本文取S=8。训练曲线中的实线表示8次独立运行的均值，阴影表示均值上下1个SEM。</w:t>
      </w:r>
    </w:p>
    <w:p w14:paraId="4A80F9E8" w14:textId="77777777" w:rsidR="00BE7EA7" w:rsidRDefault="00BE7EA7" w:rsidP="00BE7EA7">
      <w:pPr>
        <w:pStyle w:val="21"/>
        <w:ind w:firstLine="422"/>
        <w:rPr>
          <w:lang w:eastAsia="zh-CN"/>
        </w:rPr>
      </w:pPr>
      <w:r>
        <w:rPr>
          <w:lang w:eastAsia="zh-CN"/>
        </w:rPr>
        <w:t>6.2 TD3</w:t>
      </w:r>
      <w:r>
        <w:rPr>
          <w:lang w:eastAsia="zh-CN"/>
        </w:rPr>
        <w:t>与</w:t>
      </w:r>
      <w:r>
        <w:rPr>
          <w:lang w:eastAsia="zh-CN"/>
        </w:rPr>
        <w:t>GAIL+TD3</w:t>
      </w:r>
      <w:r>
        <w:rPr>
          <w:lang w:eastAsia="zh-CN"/>
        </w:rPr>
        <w:t>的结果对比</w:t>
      </w:r>
    </w:p>
    <w:p w14:paraId="51001A2A" w14:textId="77777777" w:rsidR="00BE7EA7" w:rsidRDefault="00BE7EA7" w:rsidP="00BE7EA7">
      <w:pPr>
        <w:ind w:firstLine="420"/>
        <w:rPr>
          <w:lang w:eastAsia="zh-CN"/>
        </w:rPr>
      </w:pPr>
      <w:r>
        <w:rPr>
          <w:lang w:eastAsia="zh-CN"/>
        </w:rPr>
        <w:t>本文首先比较TD3与GAIL+TD3的训练过程，以分析模仿学习信号对生产企业主体决策训练的影响。图6-1给出了两种方法在平均存活天数、生产企业累计收益、消费企业累计收益、银行累计收益和累计归一化学习曲线下面积五项指标上的均值曲线及SEM阴影。图6-1(a)中的水平虚线表示表5-1所列专家轨迹的合计平均存活天数，其数值为97.99天。</w:t>
      </w:r>
    </w:p>
    <w:p w14:paraId="0BF891C8"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8" name="Picture 2068173008"/>
            <wp:cNvGraphicFramePr>
              <a:graphicFrameLocks noChangeAspect="1"/>
            </wp:cNvGraphicFramePr>
            <a:graphic>
              <a:graphicData uri="http://schemas.openxmlformats.org/drawingml/2006/picture">
                <pic:pic>
                  <pic:nvPicPr>
                    <pic:cNvPr id="0" name="td3_vs_gail_td3_five_metrics_aulc_sem.png"/>
                    <pic:cNvPicPr/>
                  </pic:nvPicPr>
                  <pic:blipFill>
                    <a:blip r:embed="rId19"/>
                    <a:stretch>
                      <a:fillRect/>
                    </a:stretch>
                  </pic:blipFill>
                  <pic:spPr>
                    <a:xfrm>
                      <a:off x="0" y="0"/>
                      <a:ext cx="5806440" cy="3299114"/>
                    </a:xfrm>
                    <a:prstGeom prst="rect"/>
                  </pic:spPr>
                </pic:pic>
              </a:graphicData>
            </a:graphic>
          </wp:inline>
        </w:drawing>
      </w:r>
    </w:p>
    <w:p w14:paraId="59FD54EF" w14:textId="77777777" w:rsidR="00BE7EA7" w:rsidRDefault="00BE7EA7" w:rsidP="00BE7EA7">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6B04643" w14:textId="77777777" w:rsidR="00BE7EA7" w:rsidRDefault="00BE7EA7" w:rsidP="00BE7EA7">
      <w:pPr>
        <w:ind w:firstLine="420"/>
        <w:rPr>
          <w:lang w:eastAsia="zh-CN"/>
        </w:rPr>
      </w:pPr>
      <w:r>
        <w:rPr>
          <w:lang w:eastAsia="zh-CN"/>
        </w:rPr>
        <w:t>从图6-1可以看出，GAIL+TD3的各项训练曲线整体早于TD3上升，并较早进入相对稳定阶段。在平均存活天数方面，GAIL+TD3在训练前期快速提高，并在第20个评估时刻之前进入相对稳定区间；TD3的提升过程相对缓慢，直至训练后期才接近GAIL+TD3的平均水平。在主体收益方面，GAIL+TD3较早提高生产企业、消费企业和银行的累计收益，说明生产企业主体所获得的模仿学习信号会通过产品交易与信贷关系影响其他经济主体。TD3在训练后期的生产企业和消费企业累计收益均值高于GAIL+TD3，但其对应的SEM阴影也更宽，反映出两种训练方案在前期学习速度、后期收益水平和跨随机种子波动之间存在差异。银行累计收益则呈现不同结果，GAIL+TD3在训练前期完成提升后保持较高均值，而TD3的提升时间较晚，训练后期均值仍低于GAIL+TD3。图6-1(e)进一步显示，第60个评估时刻GAIL+TD3与TD3的累计归一化学习曲线下面积均值分别为0.683和0.435，前者在相同训练区间内形成了更大的存活天数累积面积。综合来看，GAIL+TD3能够加快系统存活天数和主体收益的前期提升，并使训练曲线较早进入相对稳定阶段；TD3在部分企业收益指标上具有较高的后期均值，说明学习速度、系统存活水平和主体收益水平之间需要结合具体评价目标进行分析。</w:t>
      </w:r>
    </w:p>
    <w:p w14:paraId="1B19CEB9" w14:textId="77777777" w:rsidR="00BE7EA7" w:rsidRDefault="00BE7EA7" w:rsidP="00BE7EA7">
      <w:pPr>
        <w:pStyle w:val="21"/>
        <w:ind w:firstLineChars="0" w:firstLine="0"/>
      </w:pPr>
      <w:r>
        <w:t>6.3 GAIL+TD3</w:t>
      </w:r>
      <w:r>
        <w:t>与</w:t>
      </w:r>
      <w:r>
        <w:t>Transformer+GAIL+TD3</w:t>
      </w:r>
      <w:r>
        <w:t>的结果对比</w:t>
      </w:r>
    </w:p>
    <w:p w14:paraId="481C5411" w14:textId="77777777" w:rsidR="00BE7EA7" w:rsidRDefault="00BE7EA7" w:rsidP="00BE7EA7">
      <w:pPr>
        <w:ind w:firstLine="420"/>
      </w:pPr>
      <w:r>
        <w:t>本文进一步比较GAIL+TD3与Transformer+GAIL+TD3，以分析历史状态序列表征对生产企业主体训练过程的影响。图6-2给出了两种方法在五项指标上的均值曲线及SEM阴影。图6-2(a)中的水平虚线同样表示专家轨迹的合计平均存活天数，用于比较两种训练方案与专家轨迹存活水平之间的差距。</w:t>
      </w:r>
    </w:p>
    <w:p w14:paraId="01D1E73F"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9" name="Picture 2068173009"/>
            <wp:cNvGraphicFramePr>
              <a:graphicFrameLocks noChangeAspect="1"/>
            </wp:cNvGraphicFramePr>
            <a:graphic>
              <a:graphicData uri="http://schemas.openxmlformats.org/drawingml/2006/picture">
                <pic:pic>
                  <pic:nvPicPr>
                    <pic:cNvPr id="0" name="gail_td3_vs_transformer_five_metrics_aulc_sem.png"/>
                    <pic:cNvPicPr/>
                  </pic:nvPicPr>
                  <pic:blipFill>
                    <a:blip r:embed="rId20"/>
                    <a:stretch>
                      <a:fillRect/>
                    </a:stretch>
                  </pic:blipFill>
                  <pic:spPr>
                    <a:xfrm>
                      <a:off x="0" y="0"/>
                      <a:ext cx="5806440" cy="3299114"/>
                    </a:xfrm>
                    <a:prstGeom prst="rect"/>
                  </pic:spPr>
                </pic:pic>
              </a:graphicData>
            </a:graphic>
          </wp:inline>
        </w:drawing>
      </w:r>
    </w:p>
    <w:p w14:paraId="6CA111E8" w14:textId="77777777" w:rsidR="00BE7EA7" w:rsidRDefault="00BE7EA7" w:rsidP="00BE7EA7">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7A38F00F" w14:textId="77777777" w:rsidR="00BE7EA7" w:rsidRDefault="00BE7EA7" w:rsidP="00BE7EA7">
      <w:pPr>
        <w:ind w:firstLine="420"/>
        <w:rPr>
          <w:lang w:eastAsia="zh-CN"/>
        </w:rPr>
      </w:pPr>
      <w:r>
        <w:rPr>
          <w:lang w:eastAsia="zh-CN"/>
        </w:rPr>
        <w:t>从图6-2可以看出，Transformer+GAIL+TD3在多项指标上的训练曲线整体早于GAIL+TD3上升。在平均存活天数方面，Transformer+GAIL+TD3更早进入快速提升阶段，并在训练后期保持较高的平均水平，说明历史状态序列表征能够为生产企业主体提供当前状态之外的近期交互信息。在企业收益方面，Transformer+GAIL+TD3的生产企业累计收益提升更早，稳定阶段均值也高于GAIL+TD3；其消费企业累计收益在多数评估时刻同样较高，表明生产企业策略的变化会经由商品交易和资金流转影响消费企业的经营结果。与此同时，Transformer+GAIL+TD3在部分评估时刻的企业收益SEM阴影较宽，说明不同随机种子下的收益结果仍存在一定波动。银行累计收益的变化方向与企业收益并不完全一致，Transformer+GAIL+TD3在训练前期出现较大波动，进入相对稳定阶段后的均值低于GAIL+TD3，反映出企业经营策略变化对信贷关系产生了间接影响。图6-2(e)显示，第60个评估时刻Transformer+GAIL+TD3与GAIL+TD3的累计归一化学习曲线下面积均值分别为0.773和0.683，前者在相同训练区间内形成了更大的存活天数累积面积。综合来看，Transformer编码器所提供的历史状态表征改善了系统存活水平和企业经营收益，并进一步提高了模型的前期学习速度；银行收益及跨随机种子波动的结果也表明，不同主体目标之间仍然存在表现差异。</w:t>
      </w:r>
    </w:p>
    <w:p w14:paraId="47A42522" w14:textId="77777777" w:rsidR="00BE7EA7" w:rsidRDefault="00BE7EA7" w:rsidP="00BE7EA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F317578" w14:textId="77777777" w:rsidR="00BE7EA7" w:rsidRDefault="00BE7EA7" w:rsidP="00BE7EA7">
      <w:pPr>
        <w:ind w:firstLineChars="0" w:firstLine="0"/>
        <w:jc w:val="center"/>
      </w:pPr>
      <w:r>
        <w:rPr>
          <w:noProof/>
        </w:rPr>
        <w:drawing>
          <wp:inline distT="0" distB="0" distL="0" distR="0" wp14:anchorId="13D6C67A" wp14:editId="31890539">
            <wp:extent cx="4754880" cy="4034444"/>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algorithm_dscr_boxplot_and_risk.png"/>
                    <pic:cNvPicPr/>
                  </pic:nvPicPr>
                  <pic:blipFill>
                    <a:blip r:embed="rId16"/>
                    <a:stretch>
                      <a:fillRect/>
                    </a:stretch>
                  </pic:blipFill>
                  <pic:spPr>
                    <a:xfrm>
                      <a:off x="0" y="0"/>
                      <a:ext cx="4754880" cy="4034444"/>
                    </a:xfrm>
                    <a:prstGeom prst="rect">
                      <a:avLst/>
                    </a:prstGeom>
                  </pic:spPr>
                </pic:pic>
              </a:graphicData>
            </a:graphic>
          </wp:inline>
        </w:drawing>
      </w:r>
    </w:p>
    <w:p w14:paraId="277480EB" w14:textId="77777777" w:rsidR="00BE7EA7" w:rsidRDefault="00BE7EA7" w:rsidP="00BE7EA7">
      <w:pPr>
        <w:ind w:firstLineChars="0" w:firstLine="0"/>
        <w:jc w:val="center"/>
        <w:rPr>
          <w:lang w:eastAsia="zh-CN"/>
        </w:rPr>
      </w:pPr>
      <w:r>
        <w:rPr>
          <w:sz w:val="18"/>
          <w:lang w:eastAsia="zh-CN"/>
        </w:rPr>
        <w:t>图</w:t>
      </w:r>
      <w:r>
        <w:rPr>
          <w:sz w:val="18"/>
          <w:lang w:eastAsia="zh-CN"/>
        </w:rPr>
        <w:t xml:space="preserve">6-3 </w:t>
      </w:r>
      <w:r>
        <w:rPr>
          <w:sz w:val="18"/>
          <w:lang w:eastAsia="zh-CN"/>
        </w:rPr>
        <w:t>三种主体训练方案下生产企业偿债风险对比</w:t>
      </w:r>
    </w:p>
    <w:p w14:paraId="3B8288D2" w14:textId="77777777" w:rsidR="00BE7EA7" w:rsidRDefault="00BE7EA7" w:rsidP="00BE7EA7">
      <w:pPr>
        <w:ind w:firstLine="420"/>
        <w:rPr>
          <w:lang w:eastAsia="zh-CN"/>
        </w:rPr>
      </w:pPr>
      <w:r>
        <w:rPr>
          <w:lang w:eastAsia="zh-CN"/>
        </w:rPr>
        <w:t>图</w:t>
      </w:r>
      <w:r>
        <w:rPr>
          <w:lang w:eastAsia="zh-CN"/>
        </w:rPr>
        <w:t>6-3</w:t>
      </w:r>
      <w:r>
        <w:rPr>
          <w:lang w:eastAsia="zh-CN"/>
        </w:rPr>
        <w:t>显示，</w:t>
      </w:r>
      <w:r>
        <w:rPr>
          <w:lang w:eastAsia="zh-CN"/>
        </w:rPr>
        <w:t>TD3</w:t>
      </w:r>
      <w:r>
        <w:rPr>
          <w:lang w:eastAsia="zh-CN"/>
        </w:rPr>
        <w:t>、</w:t>
      </w:r>
      <w:r>
        <w:rPr>
          <w:lang w:eastAsia="zh-CN"/>
        </w:rPr>
        <w:t>GAIL+TD3</w:t>
      </w:r>
      <w:r>
        <w:rPr>
          <w:lang w:eastAsia="zh-CN"/>
        </w:rPr>
        <w:t>和</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的生产企业日</w:t>
      </w:r>
      <w:proofErr w:type="gramStart"/>
      <w:r>
        <w:rPr>
          <w:lang w:eastAsia="zh-CN"/>
        </w:rPr>
        <w:t>观测占</w:t>
      </w:r>
      <w:proofErr w:type="gramEnd"/>
      <w:r>
        <w:rPr>
          <w:lang w:eastAsia="zh-CN"/>
        </w:rPr>
        <w:t>比分别为</w:t>
      </w:r>
      <w:r>
        <w:rPr>
          <w:lang w:eastAsia="zh-CN"/>
        </w:rPr>
        <w:t>6.52%</w:t>
      </w:r>
      <w:r>
        <w:rPr>
          <w:lang w:eastAsia="zh-CN"/>
        </w:rPr>
        <w:t>、</w:t>
      </w:r>
      <w:r>
        <w:rPr>
          <w:lang w:eastAsia="zh-CN"/>
        </w:rPr>
        <w:t>0.23%</w:t>
      </w:r>
      <w:r>
        <w:rPr>
          <w:lang w:eastAsia="zh-CN"/>
        </w:rPr>
        <w:t>和</w:t>
      </w:r>
      <w:r>
        <w:rPr>
          <w:lang w:eastAsia="zh-CN"/>
        </w:rPr>
        <w:t>0.00%</w:t>
      </w:r>
      <w:r>
        <w:rPr>
          <w:lang w:eastAsia="zh-CN"/>
        </w:rPr>
        <w:t>。</w:t>
      </w:r>
      <w:r>
        <w:rPr>
          <w:lang w:eastAsia="zh-CN"/>
        </w:rPr>
        <w:t>DSCR</w:t>
      </w:r>
      <w:r>
        <w:rPr>
          <w:lang w:eastAsia="zh-CN"/>
        </w:rPr>
        <w:t>小于</w:t>
      </w:r>
      <w:r>
        <w:rPr>
          <w:lang w:eastAsia="zh-CN"/>
        </w:rPr>
        <w:t>1</w:t>
      </w:r>
      <w:r>
        <w:rPr>
          <w:lang w:eastAsia="zh-CN"/>
        </w:rPr>
        <w:t>表示生产企业当日可支配现金不足以覆盖当期应还本金与利息，因此，较低的风险占比对应更少的当期偿债缺口。在本组稳定运行观测中，</w:t>
      </w:r>
      <w:r>
        <w:rPr>
          <w:lang w:eastAsia="zh-CN"/>
        </w:rPr>
        <w:t>GAIL+TD3</w:t>
      </w:r>
      <w:r>
        <w:rPr>
          <w:lang w:eastAsia="zh-CN"/>
        </w:rPr>
        <w:t>的偿债风险占比低于</w:t>
      </w:r>
      <w:r>
        <w:rPr>
          <w:lang w:eastAsia="zh-CN"/>
        </w:rPr>
        <w:t>TD3</w:t>
      </w:r>
      <w:r>
        <w:rPr>
          <w:lang w:eastAsia="zh-CN"/>
        </w:rPr>
        <w:t>，</w:t>
      </w:r>
      <w:r>
        <w:rPr>
          <w:lang w:eastAsia="zh-CN"/>
        </w:rPr>
        <w:t>Transformer+GAIL+TD3</w:t>
      </w:r>
      <w:r>
        <w:rPr>
          <w:lang w:eastAsia="zh-CN"/>
        </w:rPr>
        <w:t>未出现</w:t>
      </w:r>
      <w:r>
        <w:rPr>
          <w:lang w:eastAsia="zh-CN"/>
        </w:rPr>
        <w:t>DSCR</w:t>
      </w:r>
      <w:r>
        <w:rPr>
          <w:lang w:eastAsia="zh-CN"/>
        </w:rPr>
        <w:t>小于</w:t>
      </w:r>
      <w:r>
        <w:rPr>
          <w:lang w:eastAsia="zh-CN"/>
        </w:rPr>
        <w:t>1</w:t>
      </w:r>
      <w:r>
        <w:rPr>
          <w:lang w:eastAsia="zh-CN"/>
        </w:rPr>
        <w:t>的日观测。该结果与图</w:t>
      </w:r>
      <w:r>
        <w:rPr>
          <w:lang w:eastAsia="zh-CN"/>
        </w:rPr>
        <w:t>6-2(a)</w:t>
      </w:r>
      <w:r>
        <w:rPr>
          <w:lang w:eastAsia="zh-CN"/>
        </w:rPr>
        <w:t>中的稳定阶段存活水平共同说明，历史状态表征能够帮助生产企业主体在经营扩张、现金持有和债务偿付之间形成更稳定的决策关系。</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E1FA" w14:textId="77777777" w:rsidR="00505818" w:rsidRDefault="00505818" w:rsidP="00D80834">
      <w:pPr>
        <w:spacing w:after="0" w:line="240" w:lineRule="auto"/>
        <w:ind w:firstLine="420"/>
      </w:pPr>
      <w:r>
        <w:separator/>
      </w:r>
    </w:p>
  </w:endnote>
  <w:endnote w:type="continuationSeparator" w:id="0">
    <w:p w14:paraId="0F8E4AC3" w14:textId="77777777" w:rsidR="00505818" w:rsidRDefault="00505818"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2E4" w14:textId="77777777" w:rsidR="00505818" w:rsidRDefault="00505818" w:rsidP="00D80834">
      <w:pPr>
        <w:spacing w:after="0" w:line="240" w:lineRule="auto"/>
        <w:ind w:firstLine="420"/>
      </w:pPr>
      <w:r>
        <w:separator/>
      </w:r>
    </w:p>
  </w:footnote>
  <w:footnote w:type="continuationSeparator" w:id="0">
    <w:p w14:paraId="2B1428FF" w14:textId="77777777" w:rsidR="00505818" w:rsidRDefault="00505818"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83DA9"/>
    <w:rsid w:val="003D4578"/>
    <w:rsid w:val="003D6F01"/>
    <w:rsid w:val="0040089B"/>
    <w:rsid w:val="004253C3"/>
    <w:rsid w:val="004473C3"/>
    <w:rsid w:val="004B5322"/>
    <w:rsid w:val="004B7014"/>
    <w:rsid w:val="004B786C"/>
    <w:rsid w:val="004D33BA"/>
    <w:rsid w:val="004D5B19"/>
    <w:rsid w:val="00505818"/>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8F596D"/>
    <w:rsid w:val="009478D4"/>
    <w:rsid w:val="009605EA"/>
    <w:rsid w:val="00980023"/>
    <w:rsid w:val="009C676C"/>
    <w:rsid w:val="009D38C7"/>
    <w:rsid w:val="009E188D"/>
    <w:rsid w:val="00A10F13"/>
    <w:rsid w:val="00A370BC"/>
    <w:rsid w:val="00A66A22"/>
    <w:rsid w:val="00AA1D8D"/>
    <w:rsid w:val="00AB2CE1"/>
    <w:rsid w:val="00B47730"/>
    <w:rsid w:val="00BB5CAA"/>
    <w:rsid w:val="00BE7EA7"/>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22</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52</cp:revision>
  <dcterms:created xsi:type="dcterms:W3CDTF">2013-12-23T23:15:00Z</dcterms:created>
  <dcterms:modified xsi:type="dcterms:W3CDTF">2026-07-17T16:26:00Z</dcterms:modified>
  <cp:category/>
</cp:coreProperties>
</file>