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66B02">
        <w:rPr>
          <w:highlight w:val="yellow"/>
          <w:lang w:eastAsia="zh-CN"/>
        </w:rPr>
        <w:t xml:space="preserve">4.2 Transformer </w:t>
      </w:r>
      <w:r w:rsidRPr="00266B02">
        <w:rPr>
          <w:highlight w:val="yellow"/>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52A34DBC" w14:textId="7BA894AF" w:rsidR="00D80834" w:rsidRDefault="00D80834" w:rsidP="00370FEF">
      <w:pPr>
        <w:ind w:firstLineChars="0" w:firstLine="0"/>
        <w:jc w:val="center"/>
        <w:rPr>
          <w:rFonts w:hint="eastAsia"/>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Transformer </w:t>
      </w:r>
      <w:r>
        <w:rPr>
          <w:lang w:eastAsia="zh-CN"/>
        </w:rPr>
        <w:t>编码器对历史窗口进行编码。编码器输出的最后一个时间位置向量经归一化后作为历史状态特征，并与当前状态向量拼接，输入后续动作生成网络。该过程可表示为：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网页人工采集实验共有63名参与者。参与者依据网页提供的生产企业经营状态完成连续决策，并可独立进行多个仿真回合。经存活天数筛选后，人工采集部分共保留285个有效回合和27987条状态—动作样本。第二类为Codex交互式辅助采集数据。Codex 5.5通过Control Chrome读取同一网页中的可见信息和动作边界，依据第5.3节所述分层提示逐日生成并提交四项业务动作。为控制环境随机性和非目标主体策略变化对采集结果的影响，两类采集均采用统一的实验随机种子，并固定消费企业和银行的预训练Actor参数。采集阶段不对Codex、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55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C16B667" w:rsidR="00EA1A03" w:rsidRPr="00A73A46" w:rsidRDefault="00837F85" w:rsidP="00AA2124">
            <w:pPr>
              <w:spacing w:after="0"/>
              <w:ind w:firstLineChars="0" w:firstLine="0"/>
              <w:jc w:val="center"/>
              <w:rPr>
                <w:b w:val="0"/>
                <w:bCs w:val="0"/>
                <w:lang w:eastAsia="zh-CN"/>
              </w:rPr>
            </w:pPr>
            <w:r>
              <w:rPr>
                <w:b w:val="0"/>
                <w:bCs w:val="0"/>
                <w:lang w:eastAsia="zh-CN"/>
              </w:rPr>
              <w:t>Codex交互式辅助采集数据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1C06C63F" w:rsidR="00CA2E93" w:rsidRPr="001112F3" w:rsidRDefault="001112F3" w:rsidP="001112F3">
      <w:pPr>
        <w:ind w:firstLine="420"/>
        <w:rPr>
          <w:rFonts w:hint="eastAsia"/>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本文比较前60个评估时刻，共计6000个训练回合。表6-1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lastRenderedPageBreak/>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纳入统计的训练回合数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6000个回合</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评估时刻数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60个</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随机种子组数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每种模型8组</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每个评估时刻对应回合数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E=100个连续训练回合</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单回合最大天数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100天</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统计方法</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8次独立运行的均值及均值上下1个SEM</w:t>
            </w:r>
          </w:p>
        </w:tc>
      </w:tr>
    </w:tbl>
    <w:p w14:paraId="23964B2E" w14:textId="77777777" w:rsidR="00CA2E93" w:rsidRDefault="00CA2E93" w:rsidP="00CA2E93">
      <w:pPr>
        <w:ind w:firstLine="420"/>
        <w:rPr>
          <w:lang w:eastAsia="zh-CN"/>
        </w:rPr>
      </w:pPr>
      <w:r>
        <w:rPr>
          <w:lang w:eastAsia="zh-CN"/>
        </w:rPr>
        <w:t>在上述训练过程中，本文跟踪平均存活天数、生产企业累计收益、累计归一化学习曲线下面积、学习速度和生产企业偿债能力五项评价指标。各项指标的定义如下。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proofErr w:type="gramStart"/>
      <w:r>
        <w:rPr>
          <w:lang w:eastAsia="zh-CN"/>
        </w:rPr>
        <w:t>个</w:t>
      </w:r>
      <w:proofErr w:type="gramEnd"/>
      <w:r>
        <w:rPr>
          <w:lang w:eastAsia="zh-CN"/>
        </w:rPr>
        <w:t>评估时刻所含</w:t>
      </w:r>
      <w:r>
        <w:rPr>
          <w:lang w:eastAsia="zh-CN"/>
        </w:rPr>
        <w:t>E</w:t>
      </w:r>
      <w:proofErr w:type="gramStart"/>
      <w:r>
        <w:rPr>
          <w:lang w:eastAsia="zh-CN"/>
        </w:rPr>
        <w:t>个</w:t>
      </w:r>
      <w:proofErr w:type="gramEnd"/>
      <w:r>
        <w:rPr>
          <w:lang w:eastAsia="zh-CN"/>
        </w:rPr>
        <w:t>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proofErr w:type="gramStart"/>
      <w:r>
        <w:rPr>
          <w:lang w:eastAsia="zh-CN"/>
        </w:rPr>
        <w:t>个</w:t>
      </w:r>
      <w:proofErr w:type="gramEnd"/>
      <w:r>
        <w:rPr>
          <w:lang w:eastAsia="zh-CN"/>
        </w:rPr>
        <w:t>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（2）生产企业累计收益。本文首先在单个回合内汇总生产企业的收入、支出与利息，再对第k个评估时刻内E个回合的生产企业累计收益取算术平均值，其定义如下：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式中，J表示生产企业在对应评估时刻的平均累计收益；R、C和I分别表示单个回合内的累计收入、累计支出和累计利息；k和n分别表示评估时刻编号和该评估时刻内的回合序号。</w:t>
      </w:r>
    </w:p>
    <w:p w14:paraId="35209E15" w14:textId="77777777" w:rsidR="00CA2E93" w:rsidRDefault="00CA2E93" w:rsidP="00CA2E93">
      <w:pPr>
        <w:ind w:firstLine="420"/>
        <w:rPr>
          <w:lang w:eastAsia="zh-CN"/>
        </w:rPr>
      </w:pPr>
      <w:r>
        <w:rPr>
          <w:lang w:eastAsia="zh-CN"/>
        </w:rPr>
        <w:t>（3）累计归一化学习曲线下面积。归一化学习曲线下面积（nAULC: normalized area under the learning curve）用于描述平均存活天数在完整训练区间内的累积表现。本文对每次独立运行的平均存活天数曲线采用梯形法积分，并以完整评估区间和单回合最大天数进行归一化。截至第k个评估时刻的累计归一化面积定义如下：</w:t>
      </w:r>
    </w:p>
    <w:p w14:paraId="3F5D57E8" w14:textId="77777777" w:rsidR="00CA2E93" w:rsidRDefault="00000000" w:rsidP="00CA2E93">
      <w:pPr>
        <w:spacing w:before="60" w:line="288" w:lineRule="auto"/>
        <w:ind w:firstLine="42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r,k</m:t>
              </m:r>
            </m:sub>
            <m:sup>
              <m:r>
                <m:rPr>
                  <m:nor/>
                </m:rPr>
                <m:t>norm</m:t>
              </m:r>
            </m:sup>
          </m:sSubSup>
          <m: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K-1</m:t>
                  </m:r>
                </m:e>
              </m:d>
              <m:sSub>
                <m:sSubPr>
                  <m:ctrlPr>
                    <w:rPr>
                      <w:rFonts w:ascii="Cambria Math" w:hAnsi="Cambria Math"/>
                    </w:rPr>
                  </m:ctrlPr>
                </m:sSubPr>
                <m:e>
                  <m:r>
                    <w:rPr>
                      <w:rFonts w:ascii="Cambria Math" w:hAnsi="Cambria Math"/>
                    </w:rPr>
                    <m:t>L</m:t>
                  </m:r>
                </m:e>
                <m:sub>
                  <m:r>
                    <m:rPr>
                      <m:nor/>
                    </m:rPr>
                    <m:t>max</m:t>
                  </m:r>
                </m:sub>
              </m:sSub>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r,j</m:t>
                          </m:r>
                        </m:sub>
                      </m:sSub>
                    </m:e>
                  </m:bar>
                  <m: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r,j+1</m:t>
                          </m:r>
                        </m:sub>
                      </m:sSub>
                    </m:e>
                  </m:bar>
                </m:num>
                <m:den>
                  <m:r>
                    <w:rPr>
                      <w:rFonts w:ascii="Cambria Math" w:hAnsi="Cambria Math"/>
                    </w:rPr>
                    <m:t>2</m:t>
                  </m:r>
                </m:den>
              </m:f>
            </m:e>
          </m:nary>
        </m:oMath>
      </m:oMathPara>
    </w:p>
    <w:p w14:paraId="7B0235AC" w14:textId="77777777" w:rsidR="00CA2E93" w:rsidRDefault="00CA2E93" w:rsidP="00CA2E93">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回合最大天数。本文令第1个评估时刻的累计归一化面积为0。在相同训练区间内，较大的累计归一化面积表示模型获得了较高的累积平均存活表现。</w:t>
      </w:r>
    </w:p>
    <w:p>
      <w:pPr>
        <w:ind w:firstLine="420"/>
        <w:rPr>
          <w:lang w:eastAsia="zh-CN"/>
        </w:rPr>
      </w:pPr>
      <w:r>
        <w:rPr>
          <w:lang w:eastAsia="zh-CN"/>
        </w:rPr>
        <w:t>（4）学习速度。本文采用平均存活天数均值曲线达到目标存活水平所需的评估时刻衡量学习速度。设第k个评估时刻的跨随机种子均值为μ，计算方式如下：</w:t>
      </w:r>
    </w:p>
    <w:p>
      <w:pPr>
        <w:spacing w:before="60" w:line="288" w:lineRule="auto"/>
        <w:ind w:firstLine="420"/>
        <w:jc w:val="center"/>
      </w:pPr>
      <m:oMath>
        <m:sSub>
          <m:e>
            <m:r>
              <m:t>μ</m:t>
            </m:r>
          </m:e>
          <m:sub>
            <m:r>
              <m:t>k</m:t>
            </m:r>
          </m:sub>
        </m:sSub>
        <m:r>
          <m:t>=</m:t>
        </m:r>
        <m:f>
          <m:fPr>
            <m:type m:val="bar"/>
          </m:fPr>
          <m:num>
            <m:r>
              <m:t>1</m:t>
            </m:r>
          </m:num>
          <m:den>
            <m:r>
              <m:t>S</m:t>
            </m:r>
          </m:den>
        </m:f>
        <m:nary>
          <m:naryPr>
            <m:chr m:val="∑"/>
            <m:limLoc m:val="undOvr"/>
            <m:grow m:val="1"/>
            <m:subHide m:val="off"/>
            <m:supHide m:val="off"/>
          </m:naryPr>
          <m:sub>
            <m:r>
              <m:t>r=1</m:t>
            </m:r>
          </m:sub>
          <m:sup>
            <m:r>
              <m:t>S</m:t>
            </m:r>
          </m:sup>
          <m:e>
            <m:bar>
              <m:barPr>
                <m:pos m:val="top"/>
              </m:barPr>
              <m:e>
                <m:sSub>
                  <m:e>
                    <m:r>
                      <m:t>L</m:t>
                    </m:r>
                  </m:e>
                  <m:sub>
                    <m:r>
                      <m:t>r,k</m:t>
                    </m:r>
                  </m:sub>
                </m:sSub>
              </m:e>
            </m:bar>
          </m:e>
        </m:nary>
      </m:oMath>
    </w:p>
    <w:p>
      <w:pPr>
        <w:ind w:firstLine="420"/>
        <w:rPr>
          <w:lang w:eastAsia="zh-CN"/>
        </w:rPr>
      </w:pPr>
      <w:r>
        <w:rPr>
          <w:lang w:eastAsia="zh-CN"/>
        </w:rPr>
        <w:t>为减少均值曲线短时波动对阈值到达时刻的影响，本文将连续3个评估时刻均不低于目标值时的第1个评估时刻定义为达到该目标值的时刻，其定义如下：</w:t>
      </w:r>
    </w:p>
    <w:p>
      <w:pPr>
        <w:spacing w:before="60" w:line="288" w:lineRule="auto"/>
        <w:ind w:firstLine="420"/>
        <w:jc w:val="center"/>
      </w:pPr>
      <m:oMath>
        <m:sSub>
          <m:e>
            <m:r>
              <m:t>T</m:t>
            </m:r>
          </m:e>
          <m:sub>
            <m:r>
              <m:t>q</m:t>
            </m:r>
          </m:sub>
        </m:sSub>
        <m:r>
          <m:t>=</m:t>
        </m:r>
        <m:r>
          <m:rPr>
            <m:sty m:val="p"/>
          </m:rPr>
          <m:t>min</m:t>
        </m:r>
        <m:d>
          <m:dPr>
            <m:begChr m:val="{"/>
            <m:sepChr m:val=","/>
            <m:endChr m:val="}"/>
          </m:dPr>
          <m:e>
            <m:r>
              <m:t>k|</m:t>
            </m:r>
            <m:sSub>
              <m:e>
                <m:r>
                  <m:t>μ</m:t>
                </m:r>
              </m:e>
              <m:sub>
                <m:r>
                  <m:t>k</m:t>
                </m:r>
              </m:sub>
            </m:sSub>
            <m:r>
              <m:t>≥q,</m:t>
            </m:r>
            <m:sSub>
              <m:e>
                <m:r>
                  <m:t>μ</m:t>
                </m:r>
              </m:e>
              <m:sub>
                <m:r>
                  <m:t>k+1</m:t>
                </m:r>
              </m:sub>
            </m:sSub>
            <m:r>
              <m:t>≥q,</m:t>
            </m:r>
            <m:sSub>
              <m:e>
                <m:r>
                  <m:t>μ</m:t>
                </m:r>
              </m:e>
              <m:sub>
                <m:r>
                  <m:t>k+2</m:t>
                </m:r>
              </m:sub>
            </m:sSub>
            <m:r>
              <m:t>≥q</m:t>
            </m:r>
          </m:e>
        </m:d>
        <m:r>
          <m:t>,q∈</m:t>
        </m:r>
        <m:d>
          <m:dPr>
            <m:begChr m:val="{"/>
            <m:sepChr m:val=","/>
            <m:endChr m:val="}"/>
          </m:dPr>
          <m:e>
            <m:r>
              <m:t>80,90</m:t>
            </m:r>
          </m:e>
        </m:d>
      </m:oMath>
    </w:p>
    <w:p>
      <w:pPr>
        <w:ind w:firstLine="420"/>
        <w:rPr>
          <w:lang w:eastAsia="zh-CN"/>
        </w:rPr>
      </w:pPr>
      <w:r>
        <w:rPr>
          <w:lang w:eastAsia="zh-CN"/>
        </w:rPr>
        <w:t>式中，S表示独立运行次数，本文取S=8；r表示独立运行编号；μ表示第k个评估时刻的平均存活天数均值；q表示目标存活天数，本文分别取80天和90天；T表示均值曲线达到目标值所需的评估时刻。较小的T表示模型以较少的训练回合达到目标存活水平。若均值曲线截至第60个评估时刻仍未满足连续3个评估时刻均不低于目标值的条件，则记为“未达到”。</w:t>
      </w:r>
    </w:p>
    <w:p w14:paraId="1ED1F1E3" w14:textId="77777777" w:rsidR="00CA2E93" w:rsidRDefault="00CA2E93" w:rsidP="00CA2E93">
      <w:pPr>
        <w:ind w:firstLine="420"/>
      </w:pPr>
      <w:r>
        <w:rPr>
          <w:lang w:eastAsia="zh-CN"/>
        </w:rPr>
        <w:t>（5）生产企业偿债能力。本文采用偿债覆盖率（DSCR: Debt Service Coverage Ratio）度量生产企业的当期偿债能力。该指标以生产企业当日可支配现金与当期应还本息之比表示，其定义如下：</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433DF079" w:rsidR="002B5830" w:rsidRDefault="00287703" w:rsidP="002B5830">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和累计归一化学习曲线下面积三项指标上的均值曲线及SEM阴影。其中，图6-1(a)中的水平虚线表示表5-1所列专家轨迹的合计平均存活天数，其数值为97.99天。为定量比较三种模型的训练表现，本文对每次独立运行在最后20个评估时刻的平均存活天数和生产企业累计收益分别取均值，再在8次独立运行之间计算总体均值和SEM；累计归一化学习曲线下面积采用第60个评估时刻的数值；学习速度采用平均存活天数均值曲线达到80天和90天所需的评估时刻。表6-2汇总了三种模型的相应统计结果。</w:t>
      </w:r>
    </w:p>
    <w:p w14:paraId="0E055D1A" w14:textId="06022E1C" w:rsidR="00181A75" w:rsidRDefault="00181A75" w:rsidP="002B5830">
      <w:pPr>
        <w:ind w:firstLineChars="0" w:firstLine="0"/>
        <w:jc w:val="center"/>
        <w:rPr>
          <w:lang w:eastAsia="zh-CN"/>
        </w:rPr>
      </w:pPr>
      <w:r>
        <w:drawing>
          <wp:inline xmlns:a="http://schemas.openxmlformats.org/drawingml/2006/main" xmlns:pic="http://schemas.openxmlformats.org/drawingml/2006/picture">
            <wp:extent cx="5806440" cy="1825510"/>
            <wp:docPr id="2068173010" name="Picture 2068173010"/>
            <wp:cNvGraphicFramePr>
              <a:graphicFrameLocks noChangeAspect="1"/>
            </wp:cNvGraphicFramePr>
            <a:graphic>
              <a:graphicData uri="http://schemas.openxmlformats.org/drawingml/2006/picture">
                <pic:pic>
                  <pic:nvPicPr>
                    <pic:cNvPr id="0" name="td3_vs_gail_td3_three_metrics_aulc_sem.png"/>
                    <pic:cNvPicPr/>
                  </pic:nvPicPr>
                  <pic:blipFill>
                    <a:blip r:embed="rId25"/>
                    <a:stretch>
                      <a:fillRect/>
                    </a:stretch>
                  </pic:blipFill>
                  <pic:spPr>
                    <a:xfrm>
                      <a:off x="0" y="0"/>
                      <a:ext cx="5806440" cy="1825510"/>
                    </a:xfrm>
                    <a:prstGeom prst="rect"/>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29E23F20" w14:textId="602CA333" w:rsidR="0034115F" w:rsidRDefault="0034115F" w:rsidP="0034115F">
      <w:pPr>
        <w:ind w:firstLine="420"/>
        <w:rPr>
          <w:rFonts w:hint="eastAsia"/>
          <w:lang w:eastAsia="zh-CN"/>
        </w:rPr>
      </w:pPr>
      <w:r>
        <w:rPr>
          <w:rFonts w:hint="eastAsia"/>
          <w:lang w:eastAsia="zh-CN"/>
        </w:rPr>
        <w:t>从图6-1(a)可以看出，引入模仿学习信号后，GAIL+TD3的平均存活天数曲线在训练前期较快上升，并较早转入相对稳定阶段；TD3的平均存活天数曲线在训练前期上升较缓，随后在训练中后期持续提高并进入相近的稳定区间。图6-1(b)显示，GAIL+TD3的生产企业累计收益曲线较早进入快速提升阶段并转入相对稳定状态，TD3的生产企业累计收益曲线则在训练中后期快速提高。图6-1(c)显示，GAIL+TD3的累计归一化学习曲线下面积整体高于TD3，且两条曲线的差距主要在训练前期形成并延续至训练末期。</w:t>
      </w:r>
    </w:p>
    <w:p w14:paraId="778B98AC" w14:textId="2B7DC0AF" w:rsidR="0034115F" w:rsidRDefault="0034115F" w:rsidP="0034115F">
      <w:pPr>
        <w:ind w:firstLine="420"/>
        <w:rPr>
          <w:rFonts w:hint="eastAsia"/>
          <w:lang w:eastAsia="zh-CN"/>
        </w:rPr>
      </w:pPr>
      <w:r>
        <w:rPr>
          <w:rFonts w:hint="eastAsia"/>
          <w:lang w:eastAsia="zh-CN"/>
        </w:rPr>
        <w:t>表6-2中的具体数值显示，GAIL+TD3达到80天所需的评估时刻由TD3的44缩短至17，提前27个评估时刻，即2700个训练回合；两种模型的平均存活天数均值曲线在前60个评估时刻内均未达到连续3个评估时刻不低于90天的条件。GAIL+TD3在第60个评估时刻的累计归一化学习曲线下面积由TD3的0.435提高至0.683，增幅约为56.8%，表明该模型在相同训练区间内取得了更高的累积平均存活表现。结合图6-1(b)所示的曲线变化，模仿奖励能够较早引导生产企业主体形成有效策略。</w:t>
      </w:r>
    </w:p>
    <w:p w14:paraId="046D11B6" w14:textId="416CF2A0" w:rsidR="00181A75" w:rsidRPr="009429FD" w:rsidRDefault="0034115F" w:rsidP="0034115F">
      <w:pPr>
        <w:ind w:firstLine="420"/>
        <w:rPr>
          <w:rFonts w:hint="eastAsia"/>
          <w:lang w:eastAsia="zh-CN"/>
        </w:rPr>
      </w:pPr>
      <w:r>
        <w:rPr>
          <w:rFonts w:hint="eastAsia"/>
          <w:lang w:eastAsia="zh-CN"/>
        </w:rPr>
        <w:t>不过，GAIL+TD3的最终稳定平均存活天数为80.71天，与专家轨迹平均值仍相差17.28天。该结果表明，模仿学习信号缩短了模型达到80天所需的训练过程，但稳定阶段的存活水平仍有进一步接近专家轨迹的空间。因此，下一节引入历史状态序列表征，以考察模型利用连续交互信息后能否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表6-2 三种主体训练方案的训练表现统计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平均存活天数/天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81.50（±3.05%）</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80.71（±5.38%）</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90.24（±5.25%）</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生产企业累计收益</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205.43K（±29.43%）</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126.35K（±20.57%）</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180.43K（±34.82%）</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第60个评估时刻的nAULC</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0.435（±3.92%）</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0.683（±5.11%）</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0.773（±4.37%）</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达到80天所需评估时刻</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44</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14</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达到90天所需评估时刻</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77777777" w:rsidR="00181A75" w:rsidRDefault="00181A75" w:rsidP="009429FD">
      <w:pPr>
        <w:spacing w:before="40" w:after="80" w:line="288" w:lineRule="auto"/>
        <w:ind w:left="340" w:hangingChars="200" w:hanging="340"/>
        <w:rPr>
          <w:lang w:eastAsia="zh-CN"/>
        </w:rPr>
      </w:pPr>
      <w:r>
        <w:rPr>
          <w:sz w:val="17"/>
          <w:lang w:eastAsia="zh-CN"/>
        </w:rPr>
        <w:t>注：平均存活天数和生产企业累计收益为每次独立运行最后20个评估时刻的均值，再对8次运行进行统计；nAULC采用第60个评估时刻的数值。括号内为相对SEM，K表示10³。学习速度依据8次独立运行的平均存活天数均值曲线计算；“未达到”表示均值曲线截至第60个评估时刻仍未连续3个评估时刻达到相应目标值。</w:t>
      </w:r>
    </w:p>
    <w:p w14:paraId="0DD2C01D" w14:textId="77777777" w:rsidR="00181A75" w:rsidRDefault="00181A75" w:rsidP="000C01B6">
      <w:pPr>
        <w:pStyle w:val="21"/>
        <w:rPr>
          <w:lang w:eastAsia="zh-CN"/>
        </w:rPr>
      </w:pPr>
      <w:r>
        <w:rPr>
          <w:lang w:eastAsia="zh-CN"/>
        </w:rPr>
        <w:t>6.3 GAIL+TD3</w:t>
      </w:r>
      <w:r>
        <w:rPr>
          <w:lang w:eastAsia="zh-CN"/>
        </w:rPr>
        <w:t>与</w:t>
      </w:r>
      <w:r>
        <w:rPr>
          <w:lang w:eastAsia="zh-CN"/>
        </w:rPr>
        <w:t>Transformer+GAIL+TD3</w:t>
      </w:r>
      <w:r>
        <w:rPr>
          <w:lang w:eastAsia="zh-CN"/>
        </w:rPr>
        <w:t>的结果对比</w:t>
      </w:r>
    </w:p>
    <w:p w14:paraId="6920CFAE" w14:textId="77777777" w:rsidR="00181A75" w:rsidRDefault="00181A75" w:rsidP="000C01B6">
      <w:pPr>
        <w:ind w:firstLine="420"/>
        <w:rPr>
          <w:lang w:eastAsia="zh-CN"/>
        </w:rPr>
      </w:pPr>
      <w:r>
        <w:rPr>
          <w:lang w:eastAsia="zh-CN"/>
        </w:rPr>
        <w:t>基于上一节的结果，本文进一步比较GAIL+TD3与Transformer+GAIL+TD3，以分析历史状态序列表征对生产企业主体训练过程的影响。图6-2给出了两种模型在平均存活天数、生产企业累计收益和累计归一化学习曲线下面积三项指标上的均值曲线及SEM阴影，表6-2列出了对应的训练表现统计。图6-2(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drawing>
          <wp:inline xmlns:a="http://schemas.openxmlformats.org/drawingml/2006/main" xmlns:pic="http://schemas.openxmlformats.org/drawingml/2006/picture">
            <wp:extent cx="5806440" cy="1825510"/>
            <wp:docPr id="2068173011" name="Picture 2068173011"/>
            <wp:cNvGraphicFramePr>
              <a:graphicFrameLocks noChangeAspect="1"/>
            </wp:cNvGraphicFramePr>
            <a:graphic>
              <a:graphicData uri="http://schemas.openxmlformats.org/drawingml/2006/picture">
                <pic:pic>
                  <pic:nvPicPr>
                    <pic:cNvPr id="0" name="gail_td3_vs_transformer_three_metrics_aulc_sem.png"/>
                    <pic:cNvPicPr/>
                  </pic:nvPicPr>
                  <pic:blipFill>
                    <a:blip r:embed="rId26"/>
                    <a:stretch>
                      <a:fillRect/>
                    </a:stretch>
                  </pic:blipFill>
                  <pic:spPr>
                    <a:xfrm>
                      <a:off x="0" y="0"/>
                      <a:ext cx="5806440" cy="1825510"/>
                    </a:xfrm>
                    <a:prstGeom prst="rect"/>
                  </pic:spPr>
                </pic:pic>
              </a:graphicData>
            </a:graphic>
          </wp:inline>
        </w:drawing>
      </w:r>
    </w:p>
    <w:p w14:paraId="77EA36DE" w14:textId="77777777" w:rsidR="00181A75" w:rsidRDefault="00181A75" w:rsidP="000C01B6">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0F683AE4" w14:textId="3ED83349" w:rsidR="0034115F" w:rsidRDefault="0034115F" w:rsidP="0034115F">
      <w:pPr>
        <w:ind w:firstLine="420"/>
        <w:rPr>
          <w:rFonts w:hint="eastAsia"/>
          <w:lang w:eastAsia="zh-CN"/>
        </w:rPr>
      </w:pPr>
      <w:r>
        <w:rPr>
          <w:rFonts w:hint="eastAsia"/>
          <w:lang w:eastAsia="zh-CN"/>
        </w:rPr>
        <w:t>从图6-2(a)可以看出，Transformer+GAIL+TD3在第14个评估时刻达到80天，比GAIL+TD3提前3个评估时刻；该模型随后在第20个评估时刻达到90天，并在训练后期保持较接近专家参考线的平均水平。图6-2(b)显示，Transformer+GAIL+TD3的生产企业累计收益在训练前期较快提高，稳定阶段的均值高于GAIL+TD3。图6-2(c)显示，Transformer+GAIL+TD3的累计归一化学习曲线下面积在多数评估时刻高于GAIL+TD3。上述曲线表明，历史状态序列为生产企业主体提供了单步状态之外的连续交互信息，使模型能够更充分地利用模仿奖励所包含的专家行为信息。</w:t>
      </w:r>
    </w:p>
    <w:p w14:paraId="41087A07" w14:textId="07343F3B" w:rsidR="0034115F" w:rsidRDefault="0034115F" w:rsidP="0034115F">
      <w:pPr>
        <w:ind w:firstLine="420"/>
        <w:rPr>
          <w:lang w:eastAsia="zh-CN"/>
        </w:rPr>
      </w:pPr>
      <w:r>
        <w:rPr>
          <w:rFonts w:hint="eastAsia"/>
          <w:lang w:eastAsia="zh-CN"/>
        </w:rPr>
        <w:t>表6-2进一步显示，引入Transformer编码器后，最终稳定平均存活天数由80.71天提高至90.24天，与专家轨迹平均值的差距由17.28天缩小至7.75天，缩小幅度约为55.2%。第60个评估时刻的累计归一化学习曲线下面积由0.683提高至0.773，增幅约为13.2%；生产企业最终稳定累计收益由126.35K提高至180.43K。学习速度指标显示，Transformer+GAIL+TD3不仅较早达到80天，而且在三种模型中率先达到并连续保持90天。上述结果说明，历史状态表征提高了生产企业主体对跨时段信息的利用能力，并使模型在训练全过程的累积平均存活表现、稳定阶段存活水平和生产企业经营结果方面进一步接近专家行为所形成的运行状态。</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49A75DE" w14:textId="77777777" w:rsidR="00181A75" w:rsidRDefault="00181A75" w:rsidP="000C01B6">
      <w:pPr>
        <w:ind w:firstLineChars="0" w:firstLine="0"/>
        <w:jc w:val="center"/>
      </w:pPr>
      <w:r>
        <w:rPr>
          <w:noProof/>
        </w:rPr>
        <w:lastRenderedPageBreak/>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w:t>
      </w:r>
      <w:r w:rsidR="00136137" w:rsidRPr="00136137">
        <w:rPr>
          <w:sz w:val="18"/>
          <w:lang w:eastAsia="zh-CN"/>
        </w:rPr>
        <w:t xml:space="preserve">DSCR </w:t>
      </w:r>
      <w:r w:rsidR="00136137" w:rsidRPr="00136137">
        <w:rPr>
          <w:sz w:val="18"/>
          <w:lang w:eastAsia="zh-CN"/>
        </w:rPr>
        <w:t>低于</w:t>
      </w:r>
      <w:r w:rsidR="00136137" w:rsidRPr="00136137">
        <w:rPr>
          <w:sz w:val="18"/>
          <w:lang w:eastAsia="zh-CN"/>
        </w:rPr>
        <w:t xml:space="preserve"> 1 </w:t>
      </w:r>
      <w:r w:rsidR="00136137" w:rsidRPr="00136137">
        <w:rPr>
          <w:sz w:val="18"/>
          <w:lang w:eastAsia="zh-CN"/>
        </w:rPr>
        <w:t>的</w:t>
      </w:r>
      <w:r w:rsidR="00136137">
        <w:rPr>
          <w:sz w:val="18"/>
          <w:lang w:eastAsia="zh-CN"/>
        </w:rPr>
        <w:t>生产企业</w:t>
      </w:r>
      <w:r w:rsidR="00136137" w:rsidRPr="00136137">
        <w:rPr>
          <w:sz w:val="18"/>
          <w:lang w:eastAsia="zh-CN"/>
        </w:rPr>
        <w:t>日</w:t>
      </w:r>
      <w:proofErr w:type="gramStart"/>
      <w:r w:rsidR="00136137" w:rsidRPr="00136137">
        <w:rPr>
          <w:sz w:val="18"/>
          <w:lang w:eastAsia="zh-CN"/>
        </w:rPr>
        <w:t>观测占</w:t>
      </w:r>
      <w:proofErr w:type="gramEnd"/>
      <w:r w:rsidR="00136137" w:rsidRPr="00136137">
        <w:rPr>
          <w:sz w:val="18"/>
          <w:lang w:eastAsia="zh-CN"/>
        </w:rPr>
        <w:t>比</w:t>
      </w:r>
    </w:p>
    <w:p w14:paraId="5F022869" w14:textId="12D841D6" w:rsidR="00BF1217" w:rsidRPr="00BF1217" w:rsidRDefault="00181A75" w:rsidP="00BF1217">
      <w:pPr>
        <w:ind w:firstLine="420"/>
        <w:rPr>
          <w:rFonts w:hint="eastAsia"/>
          <w:lang w:eastAsia="zh-CN"/>
        </w:rPr>
      </w:pPr>
      <w:r>
        <w:rPr>
          <w:lang w:eastAsia="zh-CN"/>
        </w:rPr>
        <w:t>图</w:t>
      </w:r>
      <w:r>
        <w:rPr>
          <w:lang w:eastAsia="zh-CN"/>
        </w:rPr>
        <w:t>6-3</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表示生产企业当日可支配现金不足以覆盖当期应还本金与利息，因此，较低的风险占比对应更少的当期偿债缺口。与</w:t>
      </w:r>
      <w:r>
        <w:rPr>
          <w:lang w:eastAsia="zh-CN"/>
        </w:rPr>
        <w:t>GAIL+TD3</w:t>
      </w:r>
      <w:r>
        <w:rPr>
          <w:lang w:eastAsia="zh-CN"/>
        </w:rPr>
        <w:t>相比，</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的日</w:t>
      </w:r>
      <w:proofErr w:type="gramStart"/>
      <w:r>
        <w:rPr>
          <w:lang w:eastAsia="zh-CN"/>
        </w:rPr>
        <w:t>观测占</w:t>
      </w:r>
      <w:proofErr w:type="gramEnd"/>
      <w:r>
        <w:rPr>
          <w:lang w:eastAsia="zh-CN"/>
        </w:rPr>
        <w:t>比由</w:t>
      </w:r>
      <w:r>
        <w:rPr>
          <w:lang w:eastAsia="zh-CN"/>
        </w:rPr>
        <w:t>0.23%</w:t>
      </w:r>
      <w:r>
        <w:rPr>
          <w:lang w:eastAsia="zh-CN"/>
        </w:rPr>
        <w:t>降至</w:t>
      </w:r>
      <w:r>
        <w:rPr>
          <w:lang w:eastAsia="zh-CN"/>
        </w:rPr>
        <w:t>0.00%</w:t>
      </w:r>
      <w:r>
        <w:rPr>
          <w:lang w:eastAsia="zh-CN"/>
        </w:rPr>
        <w:t>，即本组稳定运行观测中未出现生产企业当期现金不足以覆盖应还本息的记录。</w:t>
      </w:r>
      <w:r w:rsidR="00BF1217">
        <w:rPr>
          <w:rFonts w:hint="eastAsia"/>
          <w:lang w:eastAsia="zh-CN"/>
        </w:rPr>
        <w:t>结合平均存活天数和企业收益结果，</w:t>
      </w:r>
      <w:r w:rsidR="00BF1217">
        <w:rPr>
          <w:rFonts w:hint="eastAsia"/>
          <w:lang w:eastAsia="zh-CN"/>
        </w:rPr>
        <w:t>Transformer</w:t>
      </w:r>
      <w:r w:rsidR="00BF1217">
        <w:rPr>
          <w:rFonts w:hint="eastAsia"/>
          <w:lang w:eastAsia="zh-CN"/>
        </w:rPr>
        <w:t>编码器所提供的历史状态信息改善了生产企业主体对跨时段经营状态的利用效果，使模型在更接近专家存活水平的同时保持了较好的债务偿付状态。</w:t>
      </w:r>
    </w:p>
    <w:p w14:paraId="19C0D796" w14:textId="6B0BF737" w:rsidR="00181A75" w:rsidRDefault="00BE3826" w:rsidP="000C01B6">
      <w:pPr>
        <w:ind w:firstLine="420"/>
        <w:rPr>
          <w:lang w:eastAsia="zh-CN"/>
        </w:rPr>
      </w:pPr>
      <w:r>
        <w:rPr>
          <w:lang w:eastAsia="zh-CN"/>
        </w:rPr>
        <w:t>综合图6-2、图6-3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TD3主体决策模型基础上引入生成对抗模仿学习，并进一步采用Transformer编码器增强生产企业主体的历史状态表征。本文通过人工行为采集系统整理专家状态—动作数据，并从学习速度、专家轨迹存活水平接近程度、生产企业累计收益和生产企业偿债能力等方面，比较TD3、GAIL+TD3和Transformer+GAIL+TD3三种主体训练方案。主要研究结论如下。</w:t>
      </w:r>
    </w:p>
    <w:p w14:paraId="0D2630F4" w14:textId="77777777" w:rsidR="00815AAA" w:rsidRDefault="00815AAA" w:rsidP="00815AAA">
      <w:pPr>
        <w:ind w:firstLine="420"/>
        <w:rPr>
          <w:lang w:eastAsia="zh-CN"/>
        </w:rPr>
      </w:pPr>
      <w:r>
        <w:rPr>
          <w:lang w:eastAsia="zh-CN"/>
        </w:rPr>
        <w:t>首先，生成对抗模仿学习信号缩短了生产企业主体达到较高存活水平所需的训练过程。与TD3相比，GAIL+TD3达到80天所需的评估时刻由44缩短至17，提前27个评估时刻；第60个评估时刻的累计归一化学习曲线下面积由0.435提高至0.683。专家状态—动作样本经由判别器形成的模仿奖励为生产企业主体提供了额外的学习信息，使模型以较少的训练回合达到80天，并在完整训练区间内取得较高的累积平均存活表现。</w:t>
      </w:r>
    </w:p>
    <w:p w14:paraId="0D30AC2D" w14:textId="1C7A16E0" w:rsidR="00815AAA" w:rsidRDefault="00815AAA" w:rsidP="00815AAA">
      <w:pPr>
        <w:ind w:firstLine="420"/>
        <w:rPr>
          <w:lang w:eastAsia="zh-CN"/>
        </w:rPr>
      </w:pPr>
      <w:r>
        <w:rPr>
          <w:lang w:eastAsia="zh-CN"/>
        </w:rPr>
        <w:t>其次，引入Transformer编码器后，模型的学习速度和稳定阶段存活水平得到进一步改善。Transformer+GAIL+TD3在第14个评估时刻达到80天，并在第20个评估时刻达到90天；其最终稳定平均存活天数由80.71天提高至90.24天，与专家轨迹平均值的差距由17.28天缩小至7.75天，第60个评估时刻的累计归一化学习曲线下面积由0.683提高至0.773。上述结果说明，历史状态序列增强了生产企业主体对跨时段交互信息的表征，并使模型在平均存活天数方面进一步接近专家轨迹。</w:t>
      </w:r>
    </w:p>
    <w:p w14:paraId="1F4A0248" w14:textId="77777777" w:rsidR="00815AAA" w:rsidRDefault="00815AAA" w:rsidP="00815AAA">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BE440" w14:textId="77777777" w:rsidR="00D3666F" w:rsidRDefault="00D3666F" w:rsidP="00D80834">
      <w:pPr>
        <w:spacing w:after="0" w:line="240" w:lineRule="auto"/>
        <w:ind w:firstLine="420"/>
      </w:pPr>
      <w:r>
        <w:separator/>
      </w:r>
    </w:p>
  </w:endnote>
  <w:endnote w:type="continuationSeparator" w:id="0">
    <w:p w14:paraId="58F1041A" w14:textId="77777777" w:rsidR="00D3666F" w:rsidRDefault="00D3666F"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4D0AE" w14:textId="77777777" w:rsidR="00D3666F" w:rsidRDefault="00D3666F" w:rsidP="00D80834">
      <w:pPr>
        <w:spacing w:after="0" w:line="240" w:lineRule="auto"/>
        <w:ind w:firstLine="420"/>
      </w:pPr>
      <w:r>
        <w:separator/>
      </w:r>
    </w:p>
  </w:footnote>
  <w:footnote w:type="continuationSeparator" w:id="0">
    <w:p w14:paraId="7BD6DF83" w14:textId="77777777" w:rsidR="00D3666F" w:rsidRDefault="00D3666F"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2B5"/>
    <w:rsid w:val="00106600"/>
    <w:rsid w:val="001112F3"/>
    <w:rsid w:val="00132A53"/>
    <w:rsid w:val="00136137"/>
    <w:rsid w:val="0014066F"/>
    <w:rsid w:val="0015074B"/>
    <w:rsid w:val="001564DE"/>
    <w:rsid w:val="00181A75"/>
    <w:rsid w:val="001A17F2"/>
    <w:rsid w:val="001C3CEC"/>
    <w:rsid w:val="001E2A7E"/>
    <w:rsid w:val="001E3A48"/>
    <w:rsid w:val="001F02D5"/>
    <w:rsid w:val="0022292D"/>
    <w:rsid w:val="00240ACC"/>
    <w:rsid w:val="00241125"/>
    <w:rsid w:val="002509AB"/>
    <w:rsid w:val="00252B19"/>
    <w:rsid w:val="0025789C"/>
    <w:rsid w:val="00266B02"/>
    <w:rsid w:val="00273EC8"/>
    <w:rsid w:val="0028065F"/>
    <w:rsid w:val="00287703"/>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53C3"/>
    <w:rsid w:val="004473C3"/>
    <w:rsid w:val="00466680"/>
    <w:rsid w:val="004B5322"/>
    <w:rsid w:val="004B57EC"/>
    <w:rsid w:val="004B7014"/>
    <w:rsid w:val="004B786C"/>
    <w:rsid w:val="004D33BA"/>
    <w:rsid w:val="004D5B19"/>
    <w:rsid w:val="004E53FD"/>
    <w:rsid w:val="0056293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C389C"/>
    <w:rsid w:val="00802531"/>
    <w:rsid w:val="0080787C"/>
    <w:rsid w:val="00815AAA"/>
    <w:rsid w:val="008313C4"/>
    <w:rsid w:val="00834D39"/>
    <w:rsid w:val="00837F85"/>
    <w:rsid w:val="00863E24"/>
    <w:rsid w:val="00881D01"/>
    <w:rsid w:val="0088461D"/>
    <w:rsid w:val="008A6CC9"/>
    <w:rsid w:val="008C453B"/>
    <w:rsid w:val="008C4E20"/>
    <w:rsid w:val="008D34B8"/>
    <w:rsid w:val="008D5D81"/>
    <w:rsid w:val="008E2DE5"/>
    <w:rsid w:val="009429FD"/>
    <w:rsid w:val="009478D4"/>
    <w:rsid w:val="009605EA"/>
    <w:rsid w:val="00980023"/>
    <w:rsid w:val="009C676C"/>
    <w:rsid w:val="009D38C7"/>
    <w:rsid w:val="009E188D"/>
    <w:rsid w:val="00A10F13"/>
    <w:rsid w:val="00A370BC"/>
    <w:rsid w:val="00A5721C"/>
    <w:rsid w:val="00A66A22"/>
    <w:rsid w:val="00A73A46"/>
    <w:rsid w:val="00AA1D8D"/>
    <w:rsid w:val="00AA2124"/>
    <w:rsid w:val="00AB2CE1"/>
    <w:rsid w:val="00B47730"/>
    <w:rsid w:val="00B56444"/>
    <w:rsid w:val="00BB5CAA"/>
    <w:rsid w:val="00BE3826"/>
    <w:rsid w:val="00BF1217"/>
    <w:rsid w:val="00C24BE3"/>
    <w:rsid w:val="00C530D0"/>
    <w:rsid w:val="00C600CF"/>
    <w:rsid w:val="00C952C1"/>
    <w:rsid w:val="00CA1743"/>
    <w:rsid w:val="00CA2E93"/>
    <w:rsid w:val="00CB0664"/>
    <w:rsid w:val="00CB6C3A"/>
    <w:rsid w:val="00CC44E0"/>
    <w:rsid w:val="00CC606E"/>
    <w:rsid w:val="00CE7616"/>
    <w:rsid w:val="00D04633"/>
    <w:rsid w:val="00D31250"/>
    <w:rsid w:val="00D3666F"/>
    <w:rsid w:val="00D37172"/>
    <w:rsid w:val="00D4233F"/>
    <w:rsid w:val="00D80834"/>
    <w:rsid w:val="00DB3246"/>
    <w:rsid w:val="00E42F9D"/>
    <w:rsid w:val="00E53EB7"/>
    <w:rsid w:val="00E856FD"/>
    <w:rsid w:val="00E86F4A"/>
    <w:rsid w:val="00E92ACC"/>
    <w:rsid w:val="00EA1A03"/>
    <w:rsid w:val="00EC18C7"/>
    <w:rsid w:val="00EF56D7"/>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3765</TotalTime>
  <Pages>22</Pages>
  <Words>3332</Words>
  <Characters>18995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85</cp:revision>
  <dcterms:created xsi:type="dcterms:W3CDTF">2013-12-23T23:15:00Z</dcterms:created>
  <dcterms:modified xsi:type="dcterms:W3CDTF">2026-07-19T17:02:00Z</dcterms:modified>
  <cp:category/>
</cp:coreProperties>
</file>