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1  引言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理论经济学研究经常需要对经济运行过程进行抽象建模，并以模型推演解释经济系统中的一般性规律。这类研究通常需要较多经济运行数据作为支撑，但是现实经济活动数据的获取成本较高，数据来源受到真实环境和采集条件的限制。许多理论经济模型中涉及的变量，例如社会总产品、商品流通速度等，是理论层面的抽象表达，并不能在真实的经济环境中加以采集。因此，单纯依赖现实数据支撑理论经济学建模会遇到明显的数据约束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为了弥补现实数据的不足，研究者可以利用仿真方法构建虚拟经济运行环境，并根据研究需要生成和提取虚拟经济数据。经过一段时间的发展，这类仿真方法中的多主体仿真（MAS: Multi-agent Simulation）逐渐成为主流形式。MAS 是由多个相互作用的智能主体（agent）组成的系统。将 MAS 方法应用于理论经济学研究领域，可以形成复杂经济系统多主体仿真（MAS-E: Multi-agent Simulation of Complex Economic System）。在 MAS-E 中，经济主体通过多轮交互改变系统状态，系统状态又会影响主体后续决策。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MAS-E 的一个关键问题在于智能主体的决策驱动机制。传统的固定规则方法依赖人工设定，模型灵活性和自适应能力有限。强化学习（RL: Reinforcement Learning）方法能够根据环境反馈训练决策策略，但是其训练目标通常围绕奖励最大化展开，容易使主体表现出偏向完全理性的行为模式。真实市场主体的决策受到风险偏好、经验判断、有限信息和行为习惯等因素影响，因此真实决策不能简单等同于单一奖励目标下的最优结果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基于上述背景，模仿学习（IL: Imitation Learning）可以作为强化学习在经济主体决策生成中的补充方法。模仿学习以专家行为数据为参照，目标是使生成行为接近专家数据中体现的决策模式。本文在原有多主体经济仿真系统基础上，围绕生产企业主体的决策模型进行改进。一方面，本文将生成对抗模仿学习（GAIL: Generative Adversarial Imitation Learning）与双延迟深度确定性策略梯度算法（TD3: Twin Delayed Deep Deterministic Policy Gradient）结合，利用判别器提供与专家行为相关的模仿信号。另一方面，本文在扩展模型中将 Transformer 编码器（Transformer Encoder）加入生产企业策略网络的状态表征环节，使 Actor 在输出动作前能够结合当前观测与历史状态序列。该扩展仍然保持 GAIL 与 Actor-Critic 结构结合的训练方式，即判别器结果不直接作为 Actor 的监督目标，而是通过 Critic 对价值估计的影响间接作用于策略更新。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通过上述改进，本文旨在为理论经济学研究突破“数据困境”提供支持。本文也希望通过这一具体实践，获得在有限理性决策生成问题上运用模仿学习方法的指导性结论，并为同类领域研究提供参考。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2  仿真环境与主体决策建模问题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2.1  仿真环境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沿用既有复杂经济系统仿真环境的建模方案[1]。该环境包含企业主体和银行主体两类抽象微观经济主体。企业主体具有生产企业和消费企业两个实例，生产企业产出生产资料，消费企业产出消费品（劳动力的等效表示）。本文将企业所生产的生产资料及消费品统称为“产品”，生产资料及消费品被投放到市场中进行流通时也被称为“商品”。银行主体具有一个实例，银行通过贷款发放和本息回收与企业形成信用关系。企业根据自身持有的生产资料和消费品进行生产，并将产品投放至市场。企业再通过市场交易购买商品，以支持下一轮生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49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rule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9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图2-1  初步设计的仿真运行规则示意图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如图2-1所示，在仿真过程中，虚拟经济主体被置于新的环境中进行交互，并推动环境状态不断变化。当系统触发终止条件时，一次完整的仿真运行结束。本文将这样一个大周期称为一个“回合”。终止条件包括以下三种情况：某个企业破产，市场上已经无法购买到支撑后续生产的某种商品，或者仿真达到预制的天数上限 T。一个回合结束后，整体环境与各经济主体的个体属性会被重置，并开始新的回合。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在每个回合中，系统按照含有 6 个阶段（P1-P6）的小周期循环运行。本文将一个小周期称为“一天”。一天中的 6 个阶段依次为 P1 企业决策阶段、P2 银行决策阶段、P3 贷款发放阶段、P4 商品交易阶段、P5 生产阶段和 P6 结算阶段。由于本文重点是主体决策模型的训练方案，具体生产公式、交易规则和银行约束沿用既有研究[1]，本文不展开重复推导。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2.2  主体决策建模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决策模型是智能主体建立“从观察到行动”映射的计算结构。在本文所沿用的仿真环境中，Actor 是主体执行决策的策略网络。Actor 以主体在当前时刻能够观测到的状态向量为输入，并输出连续动作向量。动作向量随后进入仿真环境，并通过贷款、交易、生产和结算过程影响下一时刻状态。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根据既有环境定义与当前代码结构，企业主体的状态输入包含企业经营状态、生产要素需求信息、市场交易记录、市场价格信息和时间状态变量等信息，维度为 33。企业主体的动作输出为 4 维，分别对应贷款意愿（WNDF）、生产资料购买意愿（K）、消费品购买意愿（L）和次日定价（P）。银行主体的状态输入同时包含银行经营状态和企业主体信息，维度为 51。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银行主体的动作输出为 2 维，对应向两类企业发放贷款的决策量。其中，WNDB</w:t>
      </w:r>
      <w:r>
        <w:rPr>
          <w:rFonts w:ascii="Times New Roman" w:hAnsi="Times New Roman" w:eastAsia="宋体"/>
          <w:sz w:val="21"/>
          <w:vertAlign w:val="subscript"/>
        </w:rPr>
        <w:t>A</w:t>
      </w:r>
      <w:r>
        <w:rPr>
          <w:rFonts w:ascii="Times New Roman" w:hAnsi="Times New Roman" w:eastAsia="宋体"/>
          <w:sz w:val="21"/>
        </w:rPr>
        <w:t xml:space="preserve"> 表示银行向生产企业发放贷款的意愿，WNDB</w:t>
      </w:r>
      <w:r>
        <w:rPr>
          <w:rFonts w:ascii="Times New Roman" w:hAnsi="Times New Roman" w:eastAsia="宋体"/>
          <w:sz w:val="21"/>
          <w:vertAlign w:val="subscript"/>
        </w:rPr>
        <w:t>B</w:t>
      </w:r>
      <w:r>
        <w:rPr>
          <w:rFonts w:ascii="Times New Roman" w:hAnsi="Times New Roman" w:eastAsia="宋体"/>
          <w:sz w:val="21"/>
        </w:rPr>
        <w:t xml:space="preserve"> 表示银行向消费企业发放贷款的意愿。</w:t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表2-1  企业与银行的状态与动作空间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48"/>
        <w:gridCol w:w="2948"/>
        <w:gridCol w:w="2948"/>
      </w:tblGrid>
      <w:tr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主体</w:t>
            </w:r>
          </w:p>
        </w:tc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Actor 输入</w:t>
            </w:r>
          </w:p>
        </w:tc>
        <w:tc>
          <w:tcPr>
            <w:tcW w:type="dxa" w:w="2948"/>
            <w:shd w:fill="F2F2F2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Actor 输出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企业主体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33 维状态向量，包含经营状态、需求信息、交易记录、价格信息和时间状态变量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维连续动作：贷款意愿、生产资料购买意愿、消费品购买意愿、次日定价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银行主体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 维状态向量，包含银行经营状态与企业主体信息</w:t>
            </w:r>
          </w:p>
        </w:tc>
        <w:tc>
          <w:tcPr>
            <w:tcW w:type="dxa" w:w="2948"/>
            <w:vAlign w:val="center"/>
          </w:tcPr>
          <w:p>
            <w:pPr>
              <w:spacing w:line="276" w:lineRule="auto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维连续动作：向生产企业和消费企业发放贷款的意愿</w:t>
            </w:r>
          </w:p>
        </w:tc>
      </w:tr>
    </w:tbl>
    <w:p/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在进行上述决策时，主体能够利用的信息主要来自自身经营状态、上一阶段决策结果以及可观测的市场交互信息。如果模型需要进一步利用历史信息，则可以在 Actor 的状态表征环节引入时序编码模块。该模块不会改变动作空间本身，而是改变 Actor 接收状态信息的表达方式，使策略网络能够在生成动作前利用更长时间窗口内的交互信息。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3  专家数据采集与有限理性行为表示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4  基于生成对抗模仿学习与TD3的主体训练方案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4.1  模型训练方案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本文将生成对抗模仿学习（GAIL: Generative Adversarial Imitation Learning）引入生产企业主体的 TD3 训练过程。在该方案中，生产企业 Actor 同时承担 TD3 策略网络和 GAIL 生成器的作用。Actor 根据当前状态生成连续动作，动作一方面作用于仿真环境并产生环境奖励、下一状态和终止标记，另一方面与状态共同形成状态-动作样本。这些样本随后进入经验池，并在学习阶段同时服务于判别器训练和 Critic 目标值计算。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图4-1给出了基于生成对抗模仿学习与 TD3 的主体训练方案。在该方案中，专家行为样本为判别器提供专家分布参照，生产企业在线交互样本构成生成样本。判别器根据两类状态-动作样本之间的差异产生模仿奖励。本文实现将该模仿奖励与环境奖励融合，并将融合奖励用于 TD3 的 Critic 目标值计算，使 GAIL 信号通过价值估计影响 Actor 更新。模仿学习信号进入策略学习过程的路径可以概括为“判别器—融合奖励—Critic—Actor”。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2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IL+TD3v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88" w:lineRule="auto"/>
        <w:jc w:val="center"/>
      </w:pPr>
      <w:r>
        <w:rPr>
          <w:rFonts w:ascii="Times New Roman" w:hAnsi="Times New Roman" w:eastAsia="宋体"/>
          <w:sz w:val="18"/>
        </w:rPr>
        <w:t>图4-1  基于生成对抗模仿学习与TD3的主体训练方案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4.2  状态、动作与经验样本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生产企业主体的状态向量维度为 33，动作向量维度为 4。专家数据文件中的每一条记录由状态字段和动作字段组成，其中前 33 个字段对应专家状态，后 4 个字段对应专家动作。在线交互过程中，生产企业 Actor 输出的动作与当前状态共同构成生成样本。这些生成样本一方面进入经验池，用于 TD3 的 Critic 和 Actor 更新；另一方面在网络参数更新阶段被取出，用作判别器的生成样本。令一次网络参数更新阶段采样得到的经验池批量为：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\mathcal{B}=\{(s_i,a_i,r_i^{env},s'_i,d_i)\}_{i=1}^{N}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其中，s_i 表示第 i 个样本的生产企业状态，a_i 表示对应动作，r_i^{env} 表示环境奖励，s'_i 表示下一状态，d_i 表示终止标记，N 表示批量大小。判别器不使用完整经验样本，而只使用同一批量中的状态-动作部分作为生成样本：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\mathcal{B}_{G}=\{(s_i,a_i)\}_{i=1}^{N}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专家样本从上述专家数据文件中独立采样得到。专家批量定义为：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\mathcal{B}_{E}=\{(s_i^{E},a_i^{E})\}_{i=1}^{N}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其中，s_i^{E} 和 a_i^{E} 分别表示第 i 个专家状态和专家动作。本文还根据专家数据计算状态均值、状态方差、动作均值和动作方差，并用这些统计量对专家样本与生成样本进行标准化。这一处理用于降低量纲差异对判别器输入分布的影响。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本文实现中的一个重要细节是批量对齐。每一次网络参数更新阶段只从经验池采样一次生产企业经验批量。该批量的状态-动作部分用于判别器中的生成样本，该批量的完整经验样本又用于 TD3 的 Critic 目标值计算。因此，判别器给出的模仿奖励与 Critic 使用的环境奖励和下一状态在样本索引上保持一致。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4.3  判别器目标与模仿奖励构造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判别器 D_φ 的输入为经标准化处理的状态-动作对，输出为一个 logits 值。Sigmoid 函数将 logits 转换为区间在 0 到 1 之间的判别概率。判别器概率定义为：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D_{\phi}(s,a)=\sigma(f_{\phi}(s,a))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其中，f_φ(s,a) 表示判别器网络在参数 φ 下输出的 logits，σ(·) 表示 Sigmoid 函数，D_φ(s,a) 表示样本来自专家分布的判别概率。判别器训练中，专家样本标签设为 1，生成样本标签设为 0。判别器训练采用二元交叉熵目标，使专家状态-动作对对应较高的判别概率，使生产企业生成的状态-动作对对应较低的判别概率。判别器损失定义为：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L_D(\phi)=-\frac{1}{N}\sum_{i=1}^{N}\left[\log D_{\phi}(s_i^{E},a_i^{E})+\log\left(1-D_{\phi}(s_i,a_i)\right)\right]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该式中，L_D(φ) 表示判别器损失。第一项提高专家状态-动作对被判定为专家样本的概率，第二项降低生成状态-动作对被判定为专家样本的概率。生产企业生成样本对应的模仿奖励由判别器概率直接给出：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r_i^{int}=D_{\phi}(s_i,a_i)=\sigma(f_{\phi}(s_i,a_i))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其中，r_i^{int} 表示第 i 个生成样本对应的模仿奖励。该奖励表示判别器认为生成状态-动作对接近专家分布的概率。在本文训练流程中，生产企业主体与仿真环境交互产生的经验首先进入经验池。每次网络参数更新阶段从经验池采样一个经验批量，并将其中的状态-动作对作为生成样本。同一批生成样本与专家样本共同用于判别器参数更新，随后判别器对该批生成样本输出模仿奖励。模仿奖励与环境奖励形成融合奖励，并进入 TD3 的 Critic 目标值计算；Actor 的参数更新由 Critic 对当前策略动作的价值估计驱动。本文采用在线判别器训练方式，判别器参数随生产企业主体交互样本和策略变化持续更新。</w:t>
      </w:r>
    </w:p>
    <w:p>
      <w:pPr>
        <w:pStyle w:val="Heading2"/>
        <w:spacing w:before="120" w:after="80" w:line="300" w:lineRule="auto"/>
        <w:jc w:val="left"/>
      </w:pPr>
      <w:r>
        <w:rPr>
          <w:rFonts w:ascii="Times New Roman" w:hAnsi="Times New Roman" w:eastAsia="黑体"/>
          <w:b/>
          <w:sz w:val="21"/>
        </w:rPr>
        <w:t>4.4  融合奖励与TD3参数更新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生产企业 Critic 使用环境奖励与模仿奖励构造融合奖励。本文采用随训练步数递增的 warm-up 模仿奖励权重。在训练早期，判别器尚未形成稳定的区分边界；如果模仿奖励权重过大，判别器的不可靠打分会放大 Critic 目标值偏移，并通过价值估计影响 Actor 更新。因此，训练初期使用较小的模仿奖励权重，随后逐步提升至基础权重。融合奖励定义为：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\tilde{r}_i=r_i^{env}+w_t^{GAIL}r_i^{int}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w_t^{GAIL}=\lambda_{GAIL}\cdot \min\left(1,\frac{n_t}{n_{warm}}\right)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其中，\tilde{r}_i 表示融合奖励，r_i^{env} 表示仿真环境给出的奖励，r_i^{int} 表示判别器产生的模仿奖励，w_t^{GAIL} 表示第 t 次网络参数更新阶段采用的模仿奖励权重。\lambda_{GAIL} 表示模仿奖励基础权重，n_t 表示第 t 次更新时超过学习起点后的训练步数，n_{warm} 表示 warm-up 长度。在融合奖励确定后，目标 Actor 根据下一状态生成动作，并加入裁剪后的目标策略平滑噪声；该动作随后被限制在动作边界内。目标 Critic 根据下一状态和目标动作输出两个 Q 值估计，TD3 取两个估计值中的较小值，并与融合奖励共同构造当前 Critic 更新所需的目标值。目标动作与目标值定义如下：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\tilde{a}'_i=\operatorname{clip}\left(\mu_{\bar{\psi}}(s'_i)+\operatorname{clip}(\epsilon_i,-c,c),-a_{\max},a_{\max}\right)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y_i=\tilde{r}_i+\gamma(1-d_i)\min_{k=1,2}Q_{\bar{\theta}_k}(s'_i,\tilde{a}'_i)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其中，\mu_{\bar{\psi}} 表示目标 Actor，Q_{\bar{\theta}_k} 表示目标 Critic 模块中的第 k 个 Q 值估计分支，k=1,2。该目标值形式沿用 TD3 中取双 Q 估计较小值的目标值构造方式。\epsilon_i 表示目标策略平滑噪声，c 表示噪声裁剪边界，a_{\max} 表示动作边界，\gamma 表示折扣因子。d_i 为终止标记；当样本为终止状态时，后续状态价值不再进入目标值。Critic 根据当前 Q 值与目标值之间的误差更新参数：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L_Q(\theta_1,\theta_2)=\frac{1}{N}\sum_{i=1}^{N}\sum_{k=1}^{2}\ell\left(Q_{\theta_k}(s_i,a_i),y_i\right)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其中，L_Q 表示 Critic 损失，Q_{\theta_k} 表示在线 Critic 模块中的第 k 个 Q 值估计分支，k=1,2。\ell(\cdot) 表示本文采用的 Critic 误差函数。在 Critic 更新之后，生产企业 Actor 通过最大化当前 Critic 对其策略动作的价值估计完成参数更新。Actor 损失函数定义为：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L_{\mu}(\psi)=-\frac{1}{N}\sum_{i=1}^{N}Q_{\theta_1}(s_i,\mu_{\psi}(s_i))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其中，L_\mu 表示 Actor 损失，\mu_{\psi} 表示当前训练的生产企业 Actor，即生产企业主体的策略网络。在该训练方案中，生产企业 Actor 的梯度信号来自 Critic 对当前策略动作的价值估计。专家动作在该训练方案中用于构造判别器的专家样本，并通过判别器奖励间接进入策略学习过程。判别器信息通过融合奖励进入 TD3 的 Critic 目标值计算，并由价值估计影响 Actor 的策略更新。目标网络采用软更新形式：</w:t>
      </w:r>
    </w:p>
    <w:p>
      <w:pPr>
        <w:spacing w:before="60" w:after="60" w:line="288" w:lineRule="auto"/>
        <w:jc w:val="center"/>
      </w:pPr>
      <w:r>
        <w:rPr>
          <w:rFonts w:ascii="Times New Roman" w:hAnsi="Times New Roman" w:eastAsia="Times New Roman"/>
          <w:i/>
          <w:sz w:val="21"/>
        </w:rPr>
        <w:t>\bar{\theta}_k\leftarrow \tau\theta_k+(1-\tau)\bar{\theta}_k,\quad \bar{\psi}\leftarrow \tau\psi+(1-\tau)\bar{\psi}</w:t>
      </w:r>
    </w:p>
    <w:p>
      <w:pPr>
        <w:spacing w:before="0" w:after="60" w:line="360" w:lineRule="auto"/>
        <w:ind w:firstLine="420"/>
        <w:jc w:val="both"/>
      </w:pPr>
      <w:r>
        <w:rPr>
          <w:rFonts w:ascii="Times New Roman" w:hAnsi="Times New Roman" w:eastAsia="宋体"/>
          <w:sz w:val="21"/>
        </w:rPr>
        <w:t>其中，\tau 表示软更新系数。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5  基于Transformer表征增强的GAIL+TD3主体训练方案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6  实验设置与结果分析</w:t>
      </w:r>
    </w:p>
    <w:p>
      <w:pPr>
        <w:pStyle w:val="Heading1"/>
        <w:spacing w:before="200" w:after="120" w:line="300" w:lineRule="auto"/>
        <w:jc w:val="left"/>
      </w:pPr>
      <w:r>
        <w:rPr>
          <w:rFonts w:ascii="Times New Roman" w:hAnsi="Times New Roman" w:eastAsia="黑体"/>
          <w:b/>
          <w:sz w:val="24"/>
        </w:rPr>
        <w:t>参考文献</w:t>
      </w:r>
    </w:p>
    <w:p>
      <w:pPr>
        <w:spacing w:before="0" w:after="60" w:line="360" w:lineRule="auto"/>
        <w:jc w:val="both"/>
      </w:pPr>
      <w:r>
        <w:rPr>
          <w:rFonts w:ascii="Times New Roman" w:hAnsi="Times New Roman" w:eastAsia="宋体"/>
          <w:sz w:val="21"/>
        </w:rPr>
        <w:t>[1] B. Chen, S. Ding, Y. Lin and G. Chen, "Multi-agent Simulation of Complex Economic Systems Driven by Deep Reinforcement Learning," 2025 IEEE 17th International Conference on Computer Research and Development (ICCRD), Shangrao, China, 2025, pp. 47-54, doi: 10.1109/ICCRD64588.2025.10963160.</w:t>
      </w:r>
    </w:p>
    <w:sectPr w:rsidR="00FC693F" w:rsidRPr="0006063C" w:rsidSect="00034616">
      <w:pgSz w:w="11906" w:h="16838"/>
      <w:pgMar w:top="1417" w:right="1531" w:bottom="1417" w:left="153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  <w:jc w:val="both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