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step）。第k个评估时刻对应第k组连续训练回合的统计结果。表6-1列出了实验采用的模型、评估间隔、单个回合最大运行时长和统计方法。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proofErr w:type="spellStart"/>
            <w:r>
              <w:rPr>
                <w:b/>
                <w:sz w:val="18"/>
              </w:rPr>
              <w:t>项目</w:t>
            </w:r>
            <w:proofErr w:type="spellEnd"/>
          </w:p>
        </w:tc>
        <w:tc>
          <w:tcPr>
            <w:tcW w:w="6009" w:type="dxa"/>
            <w:shd w:val="clear" w:color="auto" w:fill="F2F2F2"/>
            <w:vAlign w:val="center"/>
          </w:tcPr>
          <w:p w14:paraId="56A8F0BE" w14:textId="77777777" w:rsidR="00BE7EA7" w:rsidRDefault="00BE7EA7" w:rsidP="00B06FE6">
            <w:pPr>
              <w:spacing w:after="0" w:line="276" w:lineRule="auto"/>
              <w:ind w:firstLine="361"/>
              <w:jc w:val="center"/>
            </w:pPr>
            <w:proofErr w:type="spellStart"/>
            <w:r>
              <w:rPr>
                <w:b/>
                <w:sz w:val="18"/>
              </w:rPr>
              <w:t>设定</w:t>
            </w:r>
            <w:proofErr w:type="spellEnd"/>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对比模型</w:t>
            </w:r>
          </w:p>
        </w:tc>
        <w:tc>
          <w:tcPr>
            <w:tcW w:w="6009" w:type="dxa"/>
            <w:vAlign w:val="center"/>
          </w:tcPr>
          <w:p w14:paraId="2A1AB8D0" w14:textId="77777777" w:rsidR="00BE7EA7" w:rsidRDefault="00BE7EA7" w:rsidP="00B06FE6">
            <w:pPr>
              <w:spacing w:after="0" w:line="276" w:lineRule="auto"/>
              <w:ind w:firstLine="360"/>
              <w:jc w:val="left"/>
            </w:pPr>
            <w:r>
              <w:rPr>
                <w:sz w:val="18"/>
              </w:rPr>
              <w:t>TD3</w:t>
            </w:r>
            <w:r>
              <w:rPr>
                <w:sz w:val="18"/>
              </w:rPr>
              <w:t>、</w:t>
            </w:r>
            <w:r>
              <w:rPr>
                <w:sz w:val="18"/>
              </w:rPr>
              <w:t>GAIL+TD3</w:t>
            </w:r>
            <w:r>
              <w:rPr>
                <w:sz w:val="18"/>
              </w:rPr>
              <w:t>、</w:t>
            </w:r>
            <w:r>
              <w:rPr>
                <w:sz w:val="18"/>
              </w:rPr>
              <w:t>Transformer+GAIL+TD3</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proofErr w:type="spellStart"/>
            <w:r>
              <w:rPr>
                <w:sz w:val="18"/>
              </w:rPr>
              <w:t>随机种子组数</w:t>
            </w:r>
            <w:proofErr w:type="spellEnd"/>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单个回合最大运行时长</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proofErr w:type="spellStart"/>
            <w:r>
              <w:rPr>
                <w:sz w:val="18"/>
              </w:rPr>
              <w:t>统计方法</w:t>
            </w:r>
            <w:proofErr w:type="spellEnd"/>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w:t>
            </w:r>
            <w:r>
              <w:rPr>
                <w:sz w:val="18"/>
                <w:lang w:eastAsia="zh-CN"/>
              </w:rPr>
              <w:t>次独立运行的均值及均值上下</w:t>
            </w:r>
            <w:r>
              <w:rPr>
                <w:sz w:val="18"/>
                <w:lang w:eastAsia="zh-CN"/>
              </w:rPr>
              <w:t>1</w:t>
            </w:r>
            <w:r>
              <w:rPr>
                <w:sz w:val="18"/>
                <w:lang w:eastAsia="zh-CN"/>
              </w:rPr>
              <w:t>个</w:t>
            </w:r>
            <w:r>
              <w:rPr>
                <w:sz w:val="18"/>
                <w:lang w:eastAsia="zh-CN"/>
              </w:rPr>
              <w:t>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14:paraId="51001A2A" w14:textId="77777777" w:rsidR="00BE7EA7" w:rsidRDefault="00BE7EA7" w:rsidP="00BE7EA7">
      <w:pPr>
        <w:ind w:firstLine="420"/>
        <w:rPr>
          <w:lang w:eastAsia="zh-CN"/>
        </w:rPr>
      </w:pPr>
      <w:r>
        <w:rPr>
          <w:lang w:eastAsia="zh-CN"/>
        </w:rPr>
        <w:t>本文首先比较TD3与GAIL+TD3的训练过程，以分析模仿学习信号对生产企业主体决策训练的影响。图6-1给出了两种方法在平均存活天数、生产企业累计收益、消费企业累计收益、银行累计收益和累计归一化学习曲线下面积五项指标上的均值曲线及SEM阴影。图6-1(a)中的水平虚线表示表5-1所列专家轨迹的合计平均存活天数，其数值为97.99天。</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图</w:t>
      </w:r>
      <w:r>
        <w:rPr>
          <w:lang w:eastAsia="zh-CN"/>
        </w:rPr>
        <w:t>6-1(a)</w:t>
      </w:r>
      <w:r>
        <w:rPr>
          <w:lang w:eastAsia="zh-CN"/>
        </w:rPr>
        <w:t>显示，</w:t>
      </w:r>
      <w:r>
        <w:rPr>
          <w:lang w:eastAsia="zh-CN"/>
        </w:rPr>
        <w:t>GAIL+TD3</w:t>
      </w:r>
      <w:r>
        <w:rPr>
          <w:lang w:eastAsia="zh-CN"/>
        </w:rPr>
        <w:t>的平均存活天数在训练前期迅速提高，并在第</w:t>
      </w:r>
      <w:r>
        <w:rPr>
          <w:lang w:eastAsia="zh-CN"/>
        </w:rPr>
        <w:t>20</w:t>
      </w:r>
      <w:r>
        <w:rPr>
          <w:lang w:eastAsia="zh-CN"/>
        </w:rPr>
        <w:t>个评估时刻之前进入相对稳定区间。</w:t>
      </w:r>
      <w:r>
        <w:rPr>
          <w:lang w:eastAsia="zh-CN"/>
        </w:rPr>
        <w:t>TD3</w:t>
      </w:r>
      <w:r>
        <w:rPr>
          <w:lang w:eastAsia="zh-CN"/>
        </w:rPr>
        <w:t>的平均存活天数在训练前期上升较缓，随后持续提高，并在训练后期</w:t>
      </w:r>
      <w:r>
        <w:rPr>
          <w:lang w:eastAsia="zh-CN"/>
        </w:rPr>
        <w:lastRenderedPageBreak/>
        <w:t>接近</w:t>
      </w:r>
      <w:r>
        <w:rPr>
          <w:lang w:eastAsia="zh-CN"/>
        </w:rPr>
        <w:t>GAIL+TD3</w:t>
      </w:r>
      <w:r>
        <w:rPr>
          <w:lang w:eastAsia="zh-CN"/>
        </w:rPr>
        <w:t>的水平。该结果说明，</w:t>
      </w:r>
      <w:proofErr w:type="gramStart"/>
      <w:r>
        <w:rPr>
          <w:lang w:eastAsia="zh-CN"/>
        </w:rPr>
        <w:t>判别器</w:t>
      </w:r>
      <w:proofErr w:type="gramEnd"/>
      <w:r>
        <w:rPr>
          <w:lang w:eastAsia="zh-CN"/>
        </w:rPr>
        <w:t>提供的模仿奖励能够在训练早期为生产企业策略提供与专家行为分布相关的引导，使系统较早形成可维持较长运行时间的主体决策组合。</w:t>
      </w:r>
    </w:p>
    <w:p w14:paraId="138478B2" w14:textId="77777777" w:rsidR="00BE7EA7" w:rsidRDefault="00BE7EA7" w:rsidP="00BE7EA7">
      <w:pPr>
        <w:ind w:firstLine="420"/>
        <w:rPr>
          <w:lang w:eastAsia="zh-CN"/>
        </w:rPr>
      </w:pPr>
      <w:r>
        <w:rPr>
          <w:lang w:eastAsia="zh-CN"/>
        </w:rPr>
        <w:t>图</w:t>
      </w:r>
      <w:r>
        <w:rPr>
          <w:lang w:eastAsia="zh-CN"/>
        </w:rPr>
        <w:t>6-1(b)</w:t>
      </w:r>
      <w:r>
        <w:rPr>
          <w:lang w:eastAsia="zh-CN"/>
        </w:rPr>
        <w:t>显示，</w:t>
      </w:r>
      <w:r>
        <w:rPr>
          <w:lang w:eastAsia="zh-CN"/>
        </w:rPr>
        <w:t>GAIL+TD3</w:t>
      </w:r>
      <w:r>
        <w:rPr>
          <w:lang w:eastAsia="zh-CN"/>
        </w:rPr>
        <w:t>的生产企业累计收益在训练前期较快上升，并较早进入相对稳定阶段。</w:t>
      </w:r>
      <w:r>
        <w:rPr>
          <w:lang w:eastAsia="zh-CN"/>
        </w:rPr>
        <w:t>TD3</w:t>
      </w:r>
      <w:r>
        <w:rPr>
          <w:lang w:eastAsia="zh-CN"/>
        </w:rPr>
        <w:t>的生产企业累计收益在训练中后期快速提高，其训练后期均值高于</w:t>
      </w:r>
      <w:r>
        <w:rPr>
          <w:lang w:eastAsia="zh-CN"/>
        </w:rPr>
        <w:t>GAIL+TD3</w:t>
      </w:r>
      <w:r>
        <w:rPr>
          <w:lang w:eastAsia="zh-CN"/>
        </w:rPr>
        <w:t>，同时对应的</w:t>
      </w:r>
      <w:r>
        <w:rPr>
          <w:lang w:eastAsia="zh-CN"/>
        </w:rPr>
        <w:t>SEM</w:t>
      </w:r>
      <w:r>
        <w:rPr>
          <w:lang w:eastAsia="zh-CN"/>
        </w:rPr>
        <w:t>阴影更宽。该现象反映了两种训练方案在收敛速度、收益水平与跨随机种子波动之间的表现差异。系统存活时间与单一主体累计收益对应不同的决策目标，因此，训练后期较高的企业收益不能单独代表系统整体运行质量。</w:t>
      </w:r>
    </w:p>
    <w:p w14:paraId="5C16FDE8" w14:textId="77777777" w:rsidR="00BE7EA7" w:rsidRDefault="00BE7EA7" w:rsidP="00BE7EA7">
      <w:pPr>
        <w:ind w:firstLine="420"/>
        <w:rPr>
          <w:lang w:eastAsia="zh-CN"/>
        </w:rPr>
      </w:pPr>
      <w:r>
        <w:rPr>
          <w:lang w:eastAsia="zh-CN"/>
        </w:rPr>
        <w:t>图</w:t>
      </w:r>
      <w:r>
        <w:rPr>
          <w:lang w:eastAsia="zh-CN"/>
        </w:rPr>
        <w:t>6-1(c)</w:t>
      </w:r>
      <w:r>
        <w:rPr>
          <w:lang w:eastAsia="zh-CN"/>
        </w:rPr>
        <w:t>显示，消费企业累计收益虽然未直接接受模仿学习信号，但其曲线随生产企业策略变化而发生同步调整。</w:t>
      </w:r>
      <w:r>
        <w:rPr>
          <w:lang w:eastAsia="zh-CN"/>
        </w:rPr>
        <w:t>GAIL+TD3</w:t>
      </w:r>
      <w:r>
        <w:rPr>
          <w:lang w:eastAsia="zh-CN"/>
        </w:rPr>
        <w:t>在训练前期较快提高消费企业累计收益并较早进入稳定区间，</w:t>
      </w:r>
      <w:r>
        <w:rPr>
          <w:lang w:eastAsia="zh-CN"/>
        </w:rPr>
        <w:t>TD3</w:t>
      </w:r>
      <w:r>
        <w:rPr>
          <w:lang w:eastAsia="zh-CN"/>
        </w:rPr>
        <w:t>则在训练后期达到更高的累计收益均值。该结果表明，生产企业主体的策略更新会通过产品交易和主体间交互影响消费企业的经营结果。</w:t>
      </w:r>
    </w:p>
    <w:p w14:paraId="7917A4CA" w14:textId="77777777" w:rsidR="00BE7EA7" w:rsidRDefault="00BE7EA7" w:rsidP="00BE7EA7">
      <w:pPr>
        <w:ind w:firstLine="420"/>
        <w:rPr>
          <w:lang w:eastAsia="zh-CN"/>
        </w:rPr>
      </w:pPr>
      <w:r>
        <w:rPr>
          <w:lang w:eastAsia="zh-CN"/>
        </w:rPr>
        <w:t>图6-1(d)显示，GAIL+TD3的银行累计收益在训练前期迅速提高，之后围绕较高水平波动；TD3的银行累计收益提升时间较晚，训练后期均值仍低于GAIL+TD3。银行收益来自企业支付的利息，因此，该指标记录了企业经营决策对信贷关系的间接影响。</w:t>
      </w:r>
    </w:p>
    <w:p>
      <w:pPr>
        <w:ind w:firstLine="420"/>
        <w:rPr>
          <w:lang w:eastAsia="zh-CN"/>
        </w:rPr>
      </w:pPr>
      <w:r>
        <w:rPr>
          <w:lang w:eastAsia="zh-CN"/>
        </w:rPr>
        <w:t>图6-1(e)显示，GAIL+TD3的累计归一化学习曲线下面积在训练过程中高于TD3，第60个评估时刻的均值分别为0.683和0.435。该指标累积了此前各评估时刻的平均存活表现，两条曲线之间的差异说明GAIL+TD3在相同训练进度内形成了更大的存活天数累积面积。综合五项指标，GAIL+TD3的主要表现特征是较快提高系统存活天数和各主体收益，并较早形成相对稳定的训练曲线；TD3在部分企业累计收益指标上的后期均值较高，体现了不同决策目标之间的表现差异。</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本文进一步比较GAIL+TD3与Transformer+GAIL+TD3，以分析历史状态序列表征对生产企业主体训练过程的影响。图6-2给出了两种方法在五项指标上的均值曲线及SEM阴影。图6-2(a)中的水平虚线同样表示专家轨迹的合计平均存活天数，用于比较两种训练方案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t>图</w:t>
      </w:r>
      <w:r>
        <w:t>6-2(a)</w:t>
      </w:r>
      <w:r>
        <w:t>显示，</w:t>
      </w:r>
      <w:r>
        <w:t>Transformer+GAIL+TD3</w:t>
      </w:r>
      <w:r>
        <w:t>的平均存活天数在训练前期更早进入快速上升阶段，并在稳定阶段保持高于</w:t>
      </w:r>
      <w:r>
        <w:t>GAIL+TD3</w:t>
      </w:r>
      <w:r>
        <w:t>的平均水平。</w:t>
      </w:r>
      <w:r>
        <w:rPr>
          <w:lang w:eastAsia="zh-CN"/>
        </w:rPr>
        <w:t>两种方法在训练前期均能较快提升系统存活时间，但</w:t>
      </w:r>
      <w:r>
        <w:rPr>
          <w:lang w:eastAsia="zh-CN"/>
        </w:rPr>
        <w:t>Transformer</w:t>
      </w:r>
      <w:r>
        <w:rPr>
          <w:lang w:eastAsia="zh-CN"/>
        </w:rPr>
        <w:t>编码器对历史状态序列的整合使生产企业主体能够同时利用当前状态与近期交互信息，从而较早形成较稳定的决策。</w:t>
      </w:r>
    </w:p>
    <w:p w14:paraId="755E6D40" w14:textId="77777777" w:rsidR="00BE7EA7" w:rsidRDefault="00BE7EA7" w:rsidP="00BE7EA7">
      <w:pPr>
        <w:ind w:firstLine="420"/>
        <w:rPr>
          <w:lang w:eastAsia="zh-CN"/>
        </w:rPr>
      </w:pPr>
      <w:r>
        <w:rPr>
          <w:lang w:eastAsia="zh-CN"/>
        </w:rPr>
        <w:t>图</w:t>
      </w:r>
      <w:r>
        <w:rPr>
          <w:lang w:eastAsia="zh-CN"/>
        </w:rPr>
        <w:t>6-2(b)</w:t>
      </w:r>
      <w:r>
        <w:rPr>
          <w:lang w:eastAsia="zh-CN"/>
        </w:rPr>
        <w:t>显示，</w:t>
      </w:r>
      <w:r>
        <w:rPr>
          <w:lang w:eastAsia="zh-CN"/>
        </w:rPr>
        <w:t>Transformer+GAIL+TD3</w:t>
      </w:r>
      <w:r>
        <w:rPr>
          <w:lang w:eastAsia="zh-CN"/>
        </w:rPr>
        <w:t>的生产企业累计收益在训练前期上升更快，稳定阶段的均值也高于</w:t>
      </w:r>
      <w:r>
        <w:rPr>
          <w:lang w:eastAsia="zh-CN"/>
        </w:rPr>
        <w:t>GAIL+TD3</w:t>
      </w:r>
      <w:r>
        <w:rPr>
          <w:lang w:eastAsia="zh-CN"/>
        </w:rPr>
        <w:t>。该方法对应的</w:t>
      </w:r>
      <w:r>
        <w:rPr>
          <w:lang w:eastAsia="zh-CN"/>
        </w:rPr>
        <w:t>SEM</w:t>
      </w:r>
      <w:r>
        <w:rPr>
          <w:lang w:eastAsia="zh-CN"/>
        </w:rPr>
        <w:t>阴影在部分评估时刻较宽，说明不同随机种子下的收益水平仍存在波动。该结果表明，历史状态表征有助于生产企业主体在产量、采购、贷款和定价等连续决策之间建立</w:t>
      </w:r>
      <w:proofErr w:type="gramStart"/>
      <w:r>
        <w:rPr>
          <w:lang w:eastAsia="zh-CN"/>
        </w:rPr>
        <w:t>跨时刻</w:t>
      </w:r>
      <w:proofErr w:type="gramEnd"/>
      <w:r>
        <w:rPr>
          <w:lang w:eastAsia="zh-CN"/>
        </w:rPr>
        <w:t>联系，但收益表现仍受到不同训练轨迹的影响。</w:t>
      </w:r>
    </w:p>
    <w:p w14:paraId="42922F8E" w14:textId="77777777" w:rsidR="00BE7EA7" w:rsidRDefault="00BE7EA7" w:rsidP="00BE7EA7">
      <w:pPr>
        <w:ind w:firstLine="420"/>
        <w:rPr>
          <w:lang w:eastAsia="zh-CN"/>
        </w:rPr>
      </w:pPr>
      <w:r>
        <w:rPr>
          <w:lang w:eastAsia="zh-CN"/>
        </w:rPr>
        <w:t>图</w:t>
      </w:r>
      <w:r>
        <w:rPr>
          <w:lang w:eastAsia="zh-CN"/>
        </w:rPr>
        <w:t>6-2(c)</w:t>
      </w:r>
      <w:r>
        <w:rPr>
          <w:lang w:eastAsia="zh-CN"/>
        </w:rPr>
        <w:t>显示，</w:t>
      </w:r>
      <w:r>
        <w:rPr>
          <w:lang w:eastAsia="zh-CN"/>
        </w:rPr>
        <w:t>Transformer+GAIL+TD3</w:t>
      </w:r>
      <w:r>
        <w:rPr>
          <w:lang w:eastAsia="zh-CN"/>
        </w:rPr>
        <w:t>的消费企业累计收益在多数评估时刻高于</w:t>
      </w:r>
      <w:r>
        <w:rPr>
          <w:lang w:eastAsia="zh-CN"/>
        </w:rPr>
        <w:t>GAIL+TD3</w:t>
      </w:r>
      <w:r>
        <w:rPr>
          <w:lang w:eastAsia="zh-CN"/>
        </w:rPr>
        <w:t>，并在训练后期保持较高均值。消费企业未直接加入</w:t>
      </w:r>
      <w:r>
        <w:rPr>
          <w:lang w:eastAsia="zh-CN"/>
        </w:rPr>
        <w:t>Transformer</w:t>
      </w:r>
      <w:r>
        <w:rPr>
          <w:lang w:eastAsia="zh-CN"/>
        </w:rPr>
        <w:t>编码器，其收益变化主要来自生产企业策略对商品交易、资金流转和系统运行时长的影响。因此，该子图反映了生产企业历史状态表征对其他企业主体经营结果的间接作用。</w:t>
      </w:r>
    </w:p>
    <w:p w14:paraId="7D372570" w14:textId="77777777" w:rsidR="00BE7EA7" w:rsidRDefault="00BE7EA7" w:rsidP="00BE7EA7">
      <w:pPr>
        <w:ind w:firstLine="420"/>
        <w:rPr>
          <w:lang w:eastAsia="zh-CN"/>
        </w:rPr>
      </w:pPr>
      <w:r>
        <w:rPr>
          <w:lang w:eastAsia="zh-CN"/>
        </w:rPr>
        <w:t>图6-2(d)显示，Transformer+GAIL+TD3的银行累计收益在训练前期出现较大波动，之后进入相对稳定区间；其训练后期均值低于GAIL+TD3。银行累计收益由企业支付利息形成，生产企业贷款需求、现金流状况和存活时间的变化会共同改变银行收益。该结果表明，生产企业历史状态表征对企业经营表现的影响会进一步传导至企业与银行之间的信贷关系。</w:t>
      </w:r>
    </w:p>
    <w:p>
      <w:pPr>
        <w:ind w:firstLine="420"/>
        <w:rPr>
          <w:lang w:eastAsia="zh-CN"/>
        </w:rPr>
      </w:pPr>
      <w:r>
        <w:rPr>
          <w:lang w:eastAsia="zh-CN"/>
        </w:rPr>
        <w:t>图6-2(e)显示，Transformer+GAIL+TD3的累计归一化学习曲线下面积在训练过程中高于GAIL+TD3，第60个评估时刻的均值分别为0.773和0.683。该结果与图6-2(a)中Transformer+GAIL+TD3较早提高并维持较高平均存活天数的曲线特征一致，说明历史状态序列表征扩大了相同训练区间内的存活天数累积面积。</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三种主体训练方案下生产企业偿债风险对比</w:t>
      </w:r>
    </w:p>
    <w:p w14:paraId="3B8288D2" w14:textId="77777777" w:rsidR="00BE7EA7" w:rsidRDefault="00BE7EA7" w:rsidP="00BE7EA7">
      <w:pPr>
        <w:ind w:firstLine="420"/>
        <w:rPr>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表示生产企业当日可支配现金不足以覆盖当期应还本金与利息，因此，较低的风险占比对应更少的当期偿债缺口。在本组稳定运行观测中，</w:t>
      </w:r>
      <w:r>
        <w:rPr>
          <w:lang w:eastAsia="zh-CN"/>
        </w:rPr>
        <w:t>GAIL+TD3</w:t>
      </w:r>
      <w:r>
        <w:rPr>
          <w:lang w:eastAsia="zh-CN"/>
        </w:rPr>
        <w:t>的偿债风险占比低于</w:t>
      </w:r>
      <w:r>
        <w:rPr>
          <w:lang w:eastAsia="zh-CN"/>
        </w:rPr>
        <w:t>TD3</w:t>
      </w:r>
      <w:r>
        <w:rPr>
          <w:lang w:eastAsia="zh-CN"/>
        </w:rPr>
        <w:t>，</w:t>
      </w:r>
      <w:r>
        <w:rPr>
          <w:lang w:eastAsia="zh-CN"/>
        </w:rPr>
        <w:t>Transformer+GAIL+TD3</w:t>
      </w:r>
      <w:r>
        <w:rPr>
          <w:lang w:eastAsia="zh-CN"/>
        </w:rPr>
        <w:t>未出现</w:t>
      </w:r>
      <w:r>
        <w:rPr>
          <w:lang w:eastAsia="zh-CN"/>
        </w:rPr>
        <w:t>DSCR</w:t>
      </w:r>
      <w:r>
        <w:rPr>
          <w:lang w:eastAsia="zh-CN"/>
        </w:rPr>
        <w:t>小于</w:t>
      </w:r>
      <w:r>
        <w:rPr>
          <w:lang w:eastAsia="zh-CN"/>
        </w:rPr>
        <w:t>1</w:t>
      </w:r>
      <w:r>
        <w:rPr>
          <w:lang w:eastAsia="zh-CN"/>
        </w:rPr>
        <w:t>的日观测。该结果与图</w:t>
      </w:r>
      <w:r>
        <w:rPr>
          <w:lang w:eastAsia="zh-CN"/>
        </w:rPr>
        <w:t>6-2(a)</w:t>
      </w:r>
      <w:r>
        <w:rPr>
          <w:lang w:eastAsia="zh-CN"/>
        </w:rPr>
        <w:t>中的稳定阶段存活水平共同说明，历史状态表征能够帮助生产企业主体在经营扩张、现金持有和债务偿付之间形成更稳定的决策关系。</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