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step）。第k个评估时刻对应第k组连续训练回合的统计结果。表6-1列出了实验采用的模型、评估间隔、单个回合最大运行时长和统计方法。</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proofErr w:type="spellStart"/>
            <w:r>
              <w:rPr>
                <w:b/>
                <w:sz w:val="18"/>
              </w:rPr>
              <w:t>项目</w:t>
            </w:r>
            <w:proofErr w:type="spellEnd"/>
          </w:p>
        </w:tc>
        <w:tc>
          <w:tcPr>
            <w:tcW w:w="6009" w:type="dxa"/>
            <w:shd w:val="clear" w:color="auto" w:fill="F2F2F2"/>
            <w:vAlign w:val="center"/>
          </w:tcPr>
          <w:p w14:paraId="56A8F0BE" w14:textId="77777777" w:rsidR="00BE7EA7" w:rsidRDefault="00BE7EA7" w:rsidP="00B06FE6">
            <w:pPr>
              <w:spacing w:after="0" w:line="276" w:lineRule="auto"/>
              <w:ind w:firstLine="361"/>
              <w:jc w:val="center"/>
            </w:pPr>
            <w:proofErr w:type="spellStart"/>
            <w:r>
              <w:rPr>
                <w:b/>
                <w:sz w:val="18"/>
              </w:rPr>
              <w:t>设定</w:t>
            </w:r>
            <w:proofErr w:type="spellEnd"/>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对比模型</w:t>
            </w:r>
          </w:p>
        </w:tc>
        <w:tc>
          <w:tcPr>
            <w:tcW w:w="6009" w:type="dxa"/>
            <w:vAlign w:val="center"/>
          </w:tcPr>
          <w:p w14:paraId="2A1AB8D0" w14:textId="77777777" w:rsidR="00BE7EA7" w:rsidRDefault="00BE7EA7" w:rsidP="00B06FE6">
            <w:pPr>
              <w:spacing w:after="0" w:line="276" w:lineRule="auto"/>
              <w:ind w:firstLine="360"/>
              <w:jc w:val="left"/>
            </w:pPr>
            <w:r>
              <w:rPr>
                <w:sz w:val="18"/>
              </w:rPr>
              <w:t>TD3</w:t>
            </w:r>
            <w:r>
              <w:rPr>
                <w:sz w:val="18"/>
              </w:rPr>
              <w:t>、</w:t>
            </w:r>
            <w:r>
              <w:rPr>
                <w:sz w:val="18"/>
              </w:rPr>
              <w:t>GAIL+TD3</w:t>
            </w:r>
            <w:r>
              <w:rPr>
                <w:sz w:val="18"/>
              </w:rPr>
              <w:t>、</w:t>
            </w:r>
            <w:r>
              <w:rPr>
                <w:sz w:val="18"/>
              </w:rPr>
              <w:t>Transformer+GAIL+TD3</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proofErr w:type="spellStart"/>
            <w:r>
              <w:rPr>
                <w:sz w:val="18"/>
              </w:rPr>
              <w:t>随机种子组数</w:t>
            </w:r>
            <w:proofErr w:type="spellEnd"/>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r>
              <w:rPr>
                <w:sz w:val="18"/>
              </w:rPr>
              <w:t>单个回合最大运行时长</w:t>
            </w:r>
          </w:p>
        </w:tc>
        <w:tc>
          <w:tcPr>
            <w:tcW w:w="6009" w:type="dxa"/>
            <w:vAlign w:val="center"/>
          </w:tcPr>
          <w:p w14:paraId="4ED062A3" w14:textId="77777777" w:rsidR="00BE7EA7" w:rsidRDefault="00BE7EA7" w:rsidP="00B06FE6">
            <w:pPr>
              <w:spacing w:after="0" w:line="276" w:lineRule="auto"/>
              <w:ind w:firstLine="360"/>
              <w:jc w:val="left"/>
            </w:pPr>
            <w:r>
              <w:rPr>
                <w:sz w:val="18"/>
              </w:rPr>
              <w:t>100天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proofErr w:type="spellStart"/>
            <w:r>
              <w:rPr>
                <w:sz w:val="18"/>
              </w:rPr>
              <w:t>统计方法</w:t>
            </w:r>
            <w:proofErr w:type="spellEnd"/>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w:t>
            </w:r>
            <w:r>
              <w:rPr>
                <w:sz w:val="18"/>
                <w:lang w:eastAsia="zh-CN"/>
              </w:rPr>
              <w:t>次独立运行的均值及均值上下</w:t>
            </w:r>
            <w:r>
              <w:rPr>
                <w:sz w:val="18"/>
                <w:lang w:eastAsia="zh-CN"/>
              </w:rPr>
              <w:t>1</w:t>
            </w:r>
            <w:r>
              <w:rPr>
                <w:sz w:val="18"/>
                <w:lang w:eastAsia="zh-CN"/>
              </w:rPr>
              <w:t>个</w:t>
            </w:r>
            <w:r>
              <w:rPr>
                <w:sz w:val="18"/>
                <w:lang w:eastAsia="zh-CN"/>
              </w:rPr>
              <w:t>SEM</w:t>
            </w:r>
          </w:p>
        </w:tc>
      </w:tr>
    </w:tbl>
    <w:p w14:paraId="150B189D" w14:textId="77777777" w:rsidR="00BE7EA7" w:rsidRDefault="00BE7EA7" w:rsidP="00BE7EA7">
      <w:pPr>
        <w:ind w:firstLine="420"/>
        <w:rPr>
          <w:lang w:eastAsia="zh-CN"/>
        </w:rPr>
      </w:pPr>
      <w:r>
        <w:rPr>
          <w:lang w:eastAsia="zh-CN"/>
        </w:rPr>
        <w:t>在上述训练过程中，本文跟踪系统运行、主体收益、学习速度和生产企业偿债风险四类评价指标。各项指标的定义如下。</w:t>
      </w:r>
    </w:p>
    <w:p w14:paraId="65BBFDF9" w14:textId="77777777" w:rsidR="00BE7EA7" w:rsidRDefault="00BE7EA7" w:rsidP="00BE7EA7">
      <w:pPr>
        <w:ind w:firstLine="420"/>
        <w:rPr>
          <w:lang w:eastAsia="zh-CN"/>
        </w:rPr>
      </w:pPr>
      <w:r>
        <w:rPr>
          <w:lang w:eastAsia="zh-CN"/>
        </w:rPr>
        <w:t>（1）平均存活天数。该指标用于衡量系统在一个评估时刻内维持运行的平均时长，等于第k个评估时刻所含E个回合存活天数的算术平均值，其定义如下：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式中，n表示第k个评估时刻内的回合序号，n=1,2,…,E；L表示对应回合的存活天数。</w:t>
      </w:r>
    </w:p>
    <w:p>
      <w:pPr>
        <w:ind w:firstLine="420"/>
        <w:rPr>
          <w:lang w:eastAsia="zh-CN"/>
        </w:rPr>
      </w:pPr>
      <w:r>
        <w:rPr>
          <w:lang w:eastAsia="zh-CN"/>
        </w:rPr>
        <w:t>（2）累计收益。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式中，J表示企业在对应评估时刻的平均累计收益；R、C和I分别表示单个回合内的累计收入、累计支出和累计利息；i、k和n分别表示企业编号、评估时刻编号和该评估时刻内的回合序号。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式中，J表示银行在对应评估时刻的平均累计收益；m表示系统中的企业主体数量；I表示对应企业在单个回合内支付的累计利息；k和n分别表示评估时刻编号和该评估时刻内的回合序号。</w:t>
      </w:r>
    </w:p>
    <w:p>
      <w:pPr>
        <w:ind w:firstLine="420"/>
        <w:rPr>
          <w:lang w:eastAsia="zh-CN"/>
        </w:rPr>
      </w:pPr>
      <w:r>
        <w:rPr>
          <w:lang w:eastAsia="zh-CN"/>
        </w:rPr>
        <w:t>（3）累计归一化学习曲线下面积。归一化学习曲线下面积（nAULC: normalized area under the learning curve）用于综合衡量平均存活天数的提升速度与持续水平。本文对每次独立运行的平均存活天数曲线采用梯形法积分，并以完整评估区间和单个回合最大运行时长进行归一化。截至第k个评估时刻的累计归一化面积定义如下：</w:t>
      </w:r>
    </w:p>
    <w:p>
      <w:pPr>
        <w:spacing w:before="60" w:line="288" w:lineRule="auto"/>
        <w:ind w:firstLine="420"/>
        <w:jc w:val="center"/>
      </w:pPr>
      <m:oMath>
        <m:sSubSup>
          <m:e>
            <m:r>
              <m:t>A</m:t>
            </m:r>
          </m:e>
          <m:sub>
            <m:r>
              <m:t>r,k</m:t>
            </m:r>
          </m:sub>
          <m:sup>
            <m:r>
              <m:rPr>
                <m:nor/>
              </m:rPr>
              <m:t>norm</m:t>
            </m:r>
          </m:sup>
        </m:sSubSup>
        <m:r>
          <m:t>=</m:t>
        </m:r>
        <m:f>
          <m:fPr>
            <m:type m:val="bar"/>
          </m:fPr>
          <m:num>
            <m:r>
              <m:t>1</m:t>
            </m:r>
          </m:num>
          <m:den>
            <m:d>
              <m:dPr>
                <m:sepChr m:val=","/>
              </m:dPr>
              <m:e>
                <m:r>
                  <m:t>K−1</m:t>
                </m:r>
              </m:e>
            </m:d>
            <m:sSub>
              <m:e>
                <m:r>
                  <m:t>L</m:t>
                </m:r>
              </m:e>
              <m:sub>
                <m:r>
                  <m:rPr>
                    <m:nor/>
                  </m:rPr>
                  <m:t>max</m:t>
                </m:r>
              </m:sub>
            </m:sSub>
          </m:den>
        </m:f>
        <m:nary>
          <m:naryPr>
            <m:chr m:val="∑"/>
            <m:limLoc m:val="undOvr"/>
            <m:grow m:val="1"/>
            <m:subHide m:val="off"/>
            <m:supHide m:val="off"/>
          </m:naryPr>
          <m:sub>
            <m:r>
              <m:t>j=1</m:t>
            </m:r>
          </m:sub>
          <m:sup>
            <m:r>
              <m:t>k−1</m:t>
            </m:r>
          </m:sup>
          <m:e>
            <m:f>
              <m:fPr>
                <m:type m:val="bar"/>
              </m:fPr>
              <m:num>
                <m:bar>
                  <m:barPr>
                    <m:pos m:val="top"/>
                  </m:barPr>
                  <m:e>
                    <m:sSub>
                      <m:e>
                        <m:r>
                          <m:t>L</m:t>
                        </m:r>
                      </m:e>
                      <m:sub>
                        <m:r>
                          <m:t>r,j</m:t>
                        </m:r>
                      </m:sub>
                    </m:sSub>
                  </m:e>
                </m:bar>
                <m:r>
                  <m:t>+</m:t>
                </m:r>
                <m:bar>
                  <m:barPr>
                    <m:pos m:val="top"/>
                  </m:barPr>
                  <m:e>
                    <m:sSub>
                      <m:e>
                        <m:r>
                          <m:t>L</m:t>
                        </m:r>
                      </m:e>
                      <m:sub>
                        <m:r>
                          <m:t>r,j+1</m:t>
                        </m:r>
                      </m:sub>
                    </m:sSub>
                  </m:e>
                </m:bar>
              </m:num>
              <m:den>
                <m:r>
                  <m:t>2</m:t>
                </m:r>
              </m:den>
            </m:f>
          </m:e>
        </m:nary>
      </m:oMath>
    </w:p>
    <w:p>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个回合最大运行时长。本文令第1个评估时刻的累计归一化面积为0。在相同评估时刻下，较大的累计归一化面积表示模型在此前训练过程中较早或较持续地取得了较高的平均存活天数。</w:t>
      </w:r>
    </w:p>
    <w:p w14:paraId="4AB9ADB1" w14:textId="77777777" w:rsidR="00BE7EA7" w:rsidRDefault="00BE7EA7" w:rsidP="00BE7EA7">
      <w:pPr>
        <w:ind w:firstLine="420"/>
      </w:pPr>
      <w:r>
        <w:t>（4）生产企业偿债能力。本文采用偿债覆盖率（DSCR: Debt Service Coverage Ratio）度量生产企业的当期偿债能力。该指标以生产企业当日可支配现金与当期应还本息之比表示，其定义如下：</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式中，s表示8次运行结果的样本标准差，S表示独立运行次数，本文取S=8。训练曲线中的实线表示8次独立运行的均值，阴影表示均值上下1个SEM。</w:t>
      </w:r>
    </w:p>
    <w:p>
      <w:pPr>
        <w:spacing w:line="360" w:lineRule="auto" w:after="60"/>
        <w:ind w:firstLine="420"/>
        <w:jc w:val="both"/>
      </w:pPr>
      <w:r>
        <w:t>为定量比较三种模型在训练后期的表现，本文先对每次独立运行在第41至第60个评估时刻的平均存活天数和三项累计收益分别取均值，再在8次运行之间计算总体均值和SEM；累计归一化学习曲线下面积采用第60个评估时刻的数值。本文将上述统计结果称为最终稳定性能，具体结果见表6-2。</w:t>
      </w:r>
    </w:p>
    <w:p>
      <w:pPr>
        <w:spacing w:line="288" w:lineRule="auto" w:before="40" w:after="80"/>
        <w:jc w:val="center"/>
      </w:pPr>
      <w:r>
        <w:rPr>
          <w:rFonts w:ascii="Times New Roman" w:hAnsi="Times New Roman" w:eastAsia="宋体"/>
          <w:b w:val="0"/>
          <w:sz w:val="18"/>
        </w:rPr>
        <w:t>表6-2 三种主体训练方案的最终性能统计</w:t>
      </w:r>
    </w:p>
    <w:tbl>
      <w:tblPr>
        <w:tblStyle w:val="aff1"/>
        <w:tblW w:type="dxa" w:w="8846"/>
        <w:jc w:val="center"/>
        <w:tblLayout w:type="fixed"/>
        <w:tblLook w:firstColumn="1" w:firstRow="1" w:lastColumn="0" w:lastRow="0" w:noHBand="0" w:noVBand="1" w:val="04A0"/>
      </w:tblPr>
      <w:tblGrid>
        <w:gridCol w:w="2325"/>
        <w:gridCol w:w="1871"/>
        <w:gridCol w:w="2155"/>
        <w:gridCol w:w="2495"/>
      </w:tblGrid>
      <w:tr>
        <w:tc>
          <w:tcPr>
            <w:tcW w:type="dxa" w:w="2324"/>
            <w:shd w:fill="F2F2F2"/>
            <w:vAlign w:val="center"/>
          </w:tcPr>
          <w:p>
            <w:pPr>
              <w:spacing w:line="264" w:lineRule="auto" w:after="0"/>
              <w:jc w:val="center"/>
            </w:pPr>
            <w:r>
              <w:rPr>
                <w:rFonts w:ascii="Times New Roman" w:hAnsi="Times New Roman" w:eastAsia="宋体"/>
                <w:b/>
                <w:sz w:val="17"/>
              </w:rPr>
              <w:t>评价指标</w:t>
            </w:r>
          </w:p>
        </w:tc>
        <w:tc>
          <w:tcPr>
            <w:tcW w:type="dxa" w:w="1871"/>
            <w:shd w:fill="F2F2F2"/>
            <w:vAlign w:val="center"/>
          </w:tcPr>
          <w:p>
            <w:pPr>
              <w:spacing w:line="264" w:lineRule="auto" w:after="0"/>
              <w:jc w:val="center"/>
            </w:pPr>
            <w:r>
              <w:rPr>
                <w:rFonts w:ascii="Times New Roman" w:hAnsi="Times New Roman" w:eastAsia="宋体"/>
                <w:b/>
                <w:sz w:val="17"/>
              </w:rPr>
              <w:t>TD3</w:t>
            </w:r>
          </w:p>
        </w:tc>
        <w:tc>
          <w:tcPr>
            <w:tcW w:type="dxa" w:w="2154"/>
            <w:shd w:fill="F2F2F2"/>
            <w:vAlign w:val="center"/>
          </w:tcPr>
          <w:p>
            <w:pPr>
              <w:spacing w:line="264" w:lineRule="auto" w:after="0"/>
              <w:jc w:val="center"/>
            </w:pPr>
            <w:r>
              <w:rPr>
                <w:rFonts w:ascii="Times New Roman" w:hAnsi="Times New Roman" w:eastAsia="宋体"/>
                <w:b/>
                <w:sz w:val="17"/>
              </w:rPr>
              <w:t>GAIL+TD3</w:t>
            </w:r>
          </w:p>
        </w:tc>
        <w:tc>
          <w:tcPr>
            <w:tcW w:type="dxa" w:w="2494"/>
            <w:shd w:fill="F2F2F2"/>
            <w:vAlign w:val="center"/>
          </w:tcPr>
          <w:p>
            <w:pPr>
              <w:spacing w:line="264" w:lineRule="auto" w:after="0"/>
              <w:jc w:val="center"/>
            </w:pPr>
            <w:r>
              <w:rPr>
                <w:rFonts w:ascii="Times New Roman" w:hAnsi="Times New Roman" w:eastAsia="宋体"/>
                <w:b/>
                <w:sz w:val="17"/>
              </w:rPr>
              <w:t>Transformer+GAIL+TD3</w:t>
            </w:r>
          </w:p>
        </w:tc>
      </w:tr>
      <w:tr>
        <w:tc>
          <w:tcPr>
            <w:tcW w:type="dxa" w:w="2324"/>
            <w:vAlign w:val="center"/>
          </w:tcPr>
          <w:p>
            <w:pPr>
              <w:spacing w:line="264" w:lineRule="auto" w:after="0"/>
              <w:jc w:val="left"/>
            </w:pPr>
            <w:r>
              <w:rPr>
                <w:rFonts w:ascii="Times New Roman" w:hAnsi="Times New Roman" w:eastAsia="宋体"/>
                <w:b w:val="0"/>
                <w:sz w:val="17"/>
              </w:rPr>
              <w:t>平均存活天数/天</w:t>
            </w:r>
          </w:p>
        </w:tc>
        <w:tc>
          <w:tcPr>
            <w:tcW w:type="dxa" w:w="1871"/>
            <w:vAlign w:val="center"/>
          </w:tcPr>
          <w:p>
            <w:pPr>
              <w:spacing w:line="264" w:lineRule="auto" w:after="0"/>
              <w:jc w:val="center"/>
            </w:pPr>
            <w:r>
              <w:rPr>
                <w:rFonts w:ascii="Times New Roman" w:hAnsi="Times New Roman" w:eastAsia="宋体"/>
                <w:b w:val="0"/>
                <w:sz w:val="17"/>
              </w:rPr>
              <w:t>81.50（±3.05%）</w:t>
            </w:r>
          </w:p>
        </w:tc>
        <w:tc>
          <w:tcPr>
            <w:tcW w:type="dxa" w:w="2154"/>
            <w:vAlign w:val="center"/>
          </w:tcPr>
          <w:p>
            <w:pPr>
              <w:spacing w:line="264" w:lineRule="auto" w:after="0"/>
              <w:jc w:val="center"/>
            </w:pPr>
            <w:r>
              <w:rPr>
                <w:rFonts w:ascii="Times New Roman" w:hAnsi="Times New Roman" w:eastAsia="宋体"/>
                <w:b w:val="0"/>
                <w:sz w:val="17"/>
              </w:rPr>
              <w:t>80.71（±5.38%）</w:t>
            </w:r>
          </w:p>
        </w:tc>
        <w:tc>
          <w:tcPr>
            <w:tcW w:type="dxa" w:w="2494"/>
            <w:vAlign w:val="center"/>
          </w:tcPr>
          <w:p>
            <w:pPr>
              <w:spacing w:line="264" w:lineRule="auto" w:after="0"/>
              <w:jc w:val="center"/>
            </w:pPr>
            <w:r>
              <w:rPr>
                <w:rFonts w:ascii="Times New Roman" w:hAnsi="Times New Roman" w:eastAsia="宋体"/>
                <w:b w:val="0"/>
                <w:sz w:val="17"/>
              </w:rPr>
              <w:t>90.24（±5.25%）</w:t>
            </w:r>
          </w:p>
        </w:tc>
      </w:tr>
      <w:tr>
        <w:tc>
          <w:tcPr>
            <w:tcW w:type="dxa" w:w="2324"/>
            <w:vAlign w:val="center"/>
          </w:tcPr>
          <w:p>
            <w:pPr>
              <w:spacing w:line="264" w:lineRule="auto" w:after="0"/>
              <w:jc w:val="left"/>
            </w:pPr>
            <w:r>
              <w:rPr>
                <w:rFonts w:ascii="Times New Roman" w:hAnsi="Times New Roman" w:eastAsia="宋体"/>
                <w:b w:val="0"/>
                <w:sz w:val="17"/>
              </w:rPr>
              <w:t>生产企业累计收益</w:t>
            </w:r>
          </w:p>
        </w:tc>
        <w:tc>
          <w:tcPr>
            <w:tcW w:type="dxa" w:w="1871"/>
            <w:vAlign w:val="center"/>
          </w:tcPr>
          <w:p>
            <w:pPr>
              <w:spacing w:line="264" w:lineRule="auto" w:after="0"/>
              <w:jc w:val="center"/>
            </w:pPr>
            <w:r>
              <w:rPr>
                <w:rFonts w:ascii="Times New Roman" w:hAnsi="Times New Roman" w:eastAsia="宋体"/>
                <w:b w:val="0"/>
                <w:sz w:val="17"/>
              </w:rPr>
              <w:t>205.43K（±29.43%）</w:t>
            </w:r>
          </w:p>
        </w:tc>
        <w:tc>
          <w:tcPr>
            <w:tcW w:type="dxa" w:w="2154"/>
            <w:vAlign w:val="center"/>
          </w:tcPr>
          <w:p>
            <w:pPr>
              <w:spacing w:line="264" w:lineRule="auto" w:after="0"/>
              <w:jc w:val="center"/>
            </w:pPr>
            <w:r>
              <w:rPr>
                <w:rFonts w:ascii="Times New Roman" w:hAnsi="Times New Roman" w:eastAsia="宋体"/>
                <w:b w:val="0"/>
                <w:sz w:val="17"/>
              </w:rPr>
              <w:t>126.35K（±20.57%）</w:t>
            </w:r>
          </w:p>
        </w:tc>
        <w:tc>
          <w:tcPr>
            <w:tcW w:type="dxa" w:w="2494"/>
            <w:vAlign w:val="center"/>
          </w:tcPr>
          <w:p>
            <w:pPr>
              <w:spacing w:line="264" w:lineRule="auto" w:after="0"/>
              <w:jc w:val="center"/>
            </w:pPr>
            <w:r>
              <w:rPr>
                <w:rFonts w:ascii="Times New Roman" w:hAnsi="Times New Roman" w:eastAsia="宋体"/>
                <w:b w:val="0"/>
                <w:sz w:val="17"/>
              </w:rPr>
              <w:t>180.43K（±34.82%）</w:t>
            </w:r>
          </w:p>
        </w:tc>
      </w:tr>
      <w:tr>
        <w:tc>
          <w:tcPr>
            <w:tcW w:type="dxa" w:w="2324"/>
            <w:vAlign w:val="center"/>
          </w:tcPr>
          <w:p>
            <w:pPr>
              <w:spacing w:line="264" w:lineRule="auto" w:after="0"/>
              <w:jc w:val="left"/>
            </w:pPr>
            <w:r>
              <w:rPr>
                <w:rFonts w:ascii="Times New Roman" w:hAnsi="Times New Roman" w:eastAsia="宋体"/>
                <w:b w:val="0"/>
                <w:sz w:val="17"/>
              </w:rPr>
              <w:t>消费企业累计收益</w:t>
            </w:r>
          </w:p>
        </w:tc>
        <w:tc>
          <w:tcPr>
            <w:tcW w:type="dxa" w:w="1871"/>
            <w:vAlign w:val="center"/>
          </w:tcPr>
          <w:p>
            <w:pPr>
              <w:spacing w:line="264" w:lineRule="auto" w:after="0"/>
              <w:jc w:val="center"/>
            </w:pPr>
            <w:r>
              <w:rPr>
                <w:rFonts w:ascii="Times New Roman" w:hAnsi="Times New Roman" w:eastAsia="宋体"/>
                <w:b w:val="0"/>
                <w:sz w:val="17"/>
              </w:rPr>
              <w:t>185.81K（±27.75%）</w:t>
            </w:r>
          </w:p>
        </w:tc>
        <w:tc>
          <w:tcPr>
            <w:tcW w:type="dxa" w:w="2154"/>
            <w:vAlign w:val="center"/>
          </w:tcPr>
          <w:p>
            <w:pPr>
              <w:spacing w:line="264" w:lineRule="auto" w:after="0"/>
              <w:jc w:val="center"/>
            </w:pPr>
            <w:r>
              <w:rPr>
                <w:rFonts w:ascii="Times New Roman" w:hAnsi="Times New Roman" w:eastAsia="宋体"/>
                <w:b w:val="0"/>
                <w:sz w:val="17"/>
              </w:rPr>
              <w:t>150.01K（±12.99%）</w:t>
            </w:r>
          </w:p>
        </w:tc>
        <w:tc>
          <w:tcPr>
            <w:tcW w:type="dxa" w:w="2494"/>
            <w:vAlign w:val="center"/>
          </w:tcPr>
          <w:p>
            <w:pPr>
              <w:spacing w:line="264" w:lineRule="auto" w:after="0"/>
              <w:jc w:val="center"/>
            </w:pPr>
            <w:r>
              <w:rPr>
                <w:rFonts w:ascii="Times New Roman" w:hAnsi="Times New Roman" w:eastAsia="宋体"/>
                <w:b w:val="0"/>
                <w:sz w:val="17"/>
              </w:rPr>
              <w:t>169.48K（±23.11%）</w:t>
            </w:r>
          </w:p>
        </w:tc>
      </w:tr>
      <w:tr>
        <w:tc>
          <w:tcPr>
            <w:tcW w:type="dxa" w:w="2324"/>
            <w:vAlign w:val="center"/>
          </w:tcPr>
          <w:p>
            <w:pPr>
              <w:spacing w:line="264" w:lineRule="auto" w:after="0"/>
              <w:jc w:val="left"/>
            </w:pPr>
            <w:r>
              <w:rPr>
                <w:rFonts w:ascii="Times New Roman" w:hAnsi="Times New Roman" w:eastAsia="宋体"/>
                <w:b w:val="0"/>
                <w:sz w:val="17"/>
              </w:rPr>
              <w:t>银行累计收益</w:t>
            </w:r>
          </w:p>
        </w:tc>
        <w:tc>
          <w:tcPr>
            <w:tcW w:type="dxa" w:w="1871"/>
            <w:vAlign w:val="center"/>
          </w:tcPr>
          <w:p>
            <w:pPr>
              <w:spacing w:line="264" w:lineRule="auto" w:after="0"/>
              <w:jc w:val="center"/>
            </w:pPr>
            <w:r>
              <w:rPr>
                <w:rFonts w:ascii="Times New Roman" w:hAnsi="Times New Roman" w:eastAsia="宋体"/>
                <w:b w:val="0"/>
                <w:sz w:val="17"/>
              </w:rPr>
              <w:t>5.28K（±24.53%）</w:t>
            </w:r>
          </w:p>
        </w:tc>
        <w:tc>
          <w:tcPr>
            <w:tcW w:type="dxa" w:w="2154"/>
            <w:vAlign w:val="center"/>
          </w:tcPr>
          <w:p>
            <w:pPr>
              <w:spacing w:line="264" w:lineRule="auto" w:after="0"/>
              <w:jc w:val="center"/>
            </w:pPr>
            <w:r>
              <w:rPr>
                <w:rFonts w:ascii="Times New Roman" w:hAnsi="Times New Roman" w:eastAsia="宋体"/>
                <w:b w:val="0"/>
                <w:sz w:val="17"/>
              </w:rPr>
              <w:t>10.31K（±21.80%）</w:t>
            </w:r>
          </w:p>
        </w:tc>
        <w:tc>
          <w:tcPr>
            <w:tcW w:type="dxa" w:w="2494"/>
            <w:vAlign w:val="center"/>
          </w:tcPr>
          <w:p>
            <w:pPr>
              <w:spacing w:line="264" w:lineRule="auto" w:after="0"/>
              <w:jc w:val="center"/>
            </w:pPr>
            <w:r>
              <w:rPr>
                <w:rFonts w:ascii="Times New Roman" w:hAnsi="Times New Roman" w:eastAsia="宋体"/>
                <w:b w:val="0"/>
                <w:sz w:val="17"/>
              </w:rPr>
              <w:t>7.15K（±50.02%）</w:t>
            </w:r>
          </w:p>
        </w:tc>
      </w:tr>
      <w:tr>
        <w:tc>
          <w:tcPr>
            <w:tcW w:type="dxa" w:w="2324"/>
            <w:vAlign w:val="center"/>
          </w:tcPr>
          <w:p>
            <w:pPr>
              <w:spacing w:line="264" w:lineRule="auto" w:after="0"/>
              <w:jc w:val="left"/>
            </w:pPr>
            <w:r>
              <w:rPr>
                <w:rFonts w:ascii="Times New Roman" w:hAnsi="Times New Roman" w:eastAsia="宋体"/>
                <w:b w:val="0"/>
                <w:sz w:val="17"/>
              </w:rPr>
              <w:t>累计归一化学习曲线下面积</w:t>
            </w:r>
          </w:p>
        </w:tc>
        <w:tc>
          <w:tcPr>
            <w:tcW w:type="dxa" w:w="1871"/>
            <w:vAlign w:val="center"/>
          </w:tcPr>
          <w:p>
            <w:pPr>
              <w:spacing w:line="264" w:lineRule="auto" w:after="0"/>
              <w:jc w:val="center"/>
            </w:pPr>
            <w:r>
              <w:rPr>
                <w:rFonts w:ascii="Times New Roman" w:hAnsi="Times New Roman" w:eastAsia="宋体"/>
                <w:b w:val="0"/>
                <w:sz w:val="17"/>
              </w:rPr>
              <w:t>0.435（±3.92%）</w:t>
            </w:r>
          </w:p>
        </w:tc>
        <w:tc>
          <w:tcPr>
            <w:tcW w:type="dxa" w:w="2154"/>
            <w:vAlign w:val="center"/>
          </w:tcPr>
          <w:p>
            <w:pPr>
              <w:spacing w:line="264" w:lineRule="auto" w:after="0"/>
              <w:jc w:val="center"/>
            </w:pPr>
            <w:r>
              <w:rPr>
                <w:rFonts w:ascii="Times New Roman" w:hAnsi="Times New Roman" w:eastAsia="宋体"/>
                <w:b w:val="0"/>
                <w:sz w:val="17"/>
              </w:rPr>
              <w:t>0.683（±5.11%）</w:t>
            </w:r>
          </w:p>
        </w:tc>
        <w:tc>
          <w:tcPr>
            <w:tcW w:type="dxa" w:w="2494"/>
            <w:vAlign w:val="center"/>
          </w:tcPr>
          <w:p>
            <w:pPr>
              <w:spacing w:line="264" w:lineRule="auto" w:after="0"/>
              <w:jc w:val="center"/>
            </w:pPr>
            <w:r>
              <w:rPr>
                <w:rFonts w:ascii="Times New Roman" w:hAnsi="Times New Roman" w:eastAsia="宋体"/>
                <w:b w:val="0"/>
                <w:sz w:val="17"/>
              </w:rPr>
              <w:t>0.773（±4.37%）</w:t>
            </w:r>
          </w:p>
        </w:tc>
      </w:tr>
    </w:tbl>
    <w:p>
      <w:pPr>
        <w:spacing w:line="288" w:lineRule="auto" w:before="40" w:after="80"/>
        <w:jc w:val="both"/>
      </w:pPr>
      <w:r>
        <w:rPr>
          <w:rFonts w:ascii="Times New Roman" w:hAnsi="Times New Roman" w:eastAsia="宋体"/>
          <w:b w:val="0"/>
          <w:sz w:val="17"/>
        </w:rPr>
        <w:t>注：平均存活天数及三项累计收益为每次独立运行最后20个评估时刻的均值，再对8次运行进行统计；累计归一化学习曲线下面积采用第60个评估时刻的数值。括号内为相对SEM，K表示10³。</w:t>
      </w:r>
    </w:p>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14:paraId="51001A2A" w14:textId="77777777" w:rsidR="00BE7EA7" w:rsidRDefault="00BE7EA7" w:rsidP="00BE7EA7">
      <w:pPr>
        <w:ind w:firstLine="420"/>
        <w:rPr>
          <w:lang w:eastAsia="zh-CN"/>
        </w:rPr>
      </w:pPr>
      <w:r>
        <w:rPr>
          <w:lang w:eastAsia="zh-CN"/>
        </w:rPr>
        <w:t>本文首先比较TD3与GAIL+TD3的训练过程，以分析模仿学习信号对生产企业主体决策训练的影响。图6-1给出了两种模型在平均存活天数、生产企业累计收益、消费企业累计收益、银行累计收益和累计归一化学习曲线下面积五项指标上的均值曲线及SEM阴影，表6-2汇总了三种模型的最终稳定性能。图6-1(a)中的水平虚线表示表5-1所列专家轨迹的合计平均存活天数，其数值为97.99天。</w:t>
      </w:r>
    </w:p>
    <w:p w14:paraId="0BF891C8"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8" name="Picture 2068173008"/>
            <wp:cNvGraphicFramePr>
              <a:graphicFrameLocks noChangeAspect="1"/>
            </wp:cNvGraphicFramePr>
            <a:graphic>
              <a:graphicData uri="http://schemas.openxmlformats.org/drawingml/2006/picture">
                <pic:pic>
                  <pic:nvPicPr>
                    <pic:cNvPr id="0" name="td3_vs_gail_td3_five_metrics_aulc_sem.png"/>
                    <pic:cNvPicPr/>
                  </pic:nvPicPr>
                  <pic:blipFill>
                    <a:blip r:embed="rId19"/>
                    <a:stretch>
                      <a:fillRect/>
                    </a:stretch>
                  </pic:blipFill>
                  <pic:spPr>
                    <a:xfrm>
                      <a:off x="0" y="0"/>
                      <a:ext cx="5806440" cy="3299114"/>
                    </a:xfrm>
                    <a:prstGeom prst="rect"/>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从图6-1可以看出，GAIL+TD3的平均存活天数和三项主体收益曲线均早于TD3进入快速提升阶段，并较早转入相对稳定状态。其中，GAIL+TD3的平均存活天数在第20个评估时刻之前已接近后期水平，而TD3直至训练后期才达到相近区间；生产企业、消费企业和银行累计收益也呈现相似的前期差异。训练后期，TD3的生产企业和消费企业累计收益均值高于GAIL+TD3，且对应的SEM阴影更宽；银行累计收益则表现出相反关系，GAIL+TD3在完成前期提升后保持了高于TD3的均值。图6-1(e)所示的累计归一化学习曲线下面积综合记录了平均存活天数在整个训练区间内的提升速度和持续水平，其曲线差异进一步反映出GAIL+TD3在训练前期的学习效率优势。</w:t>
      </w:r>
    </w:p>
    <w:p>
      <w:pPr>
        <w:spacing w:line="360" w:lineRule="auto" w:after="60"/>
        <w:ind w:firstLine="420"/>
        <w:jc w:val="both"/>
      </w:pPr>
      <w:r>
        <w:rPr>
          <w:lang w:eastAsia="zh-CN"/>
        </w:rPr>
        <w:t>表6-2对上述曲线差异进行了定量汇总。与TD3相比，GAIL+TD3在第60个评估时刻的累计归一化学习曲线下面积均值由0.435提高至0.683，表明模仿学习信号使模型在相同训练区间内更早形成了较高的平均存活水平。GAIL+TD3的银行最终稳定累计收益均值由TD3的5.28K提高至10.31K；生产企业和消费企业最终稳定累计收益均值则分别由205.43K降至126.35K、由185.81K降至150.01K。这些结果表明，模仿学习信号主要改变了生产企业策略的形成速度，并通过商品交易和信贷关系对其他主体产生了不同方向的影响，因此学习速度与各主体的后期收益水平需要分别评价。</w:t>
      </w:r>
    </w:p>
    <w:p>
      <w:pPr>
        <w:spacing w:line="360" w:lineRule="auto" w:after="60"/>
        <w:ind w:firstLine="420"/>
        <w:jc w:val="both"/>
      </w:pPr>
      <w:r>
        <w:rPr>
          <w:lang w:eastAsia="zh-CN"/>
        </w:rPr>
        <w:t>但是，GAIL+TD3的最终稳定平均存活天数均值为80.71天，低于TD3的81.50天，二者相差0.79天；GAIL+TD3与专家轨迹平均存活天数之间仍相差17.28天。这一结果说明，模仿学习信号带来的前期学习效率优势没有同步转化为更高的最终稳定存活水平。因此，本文在下一节进一步引入历史状态序列表征，以考察生产企业主体利用连续交互信息后能否改善稳定阶段的系统存活水平。</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基于上一节的结果，本文进一步比较GAIL+TD3与Transformer+GAIL+TD3，以分析历史状态序列表征对生产企业主体训练过程的影响。图6-2给出了两种模型在五项指标上的均值曲线及SEM阴影，表6-2列出了对应的最终稳定性能。图6-2(a)中的水平虚线同样表示专家轨迹的合计平均存活天数，用于比较两种模型与专家轨迹存活水平之间的差距。</w:t>
      </w:r>
    </w:p>
    <w:p w14:paraId="01D1E73F"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9" name="Picture 2068173009"/>
            <wp:cNvGraphicFramePr>
              <a:graphicFrameLocks noChangeAspect="1"/>
            </wp:cNvGraphicFramePr>
            <a:graphic>
              <a:graphicData uri="http://schemas.openxmlformats.org/drawingml/2006/picture">
                <pic:pic>
                  <pic:nvPicPr>
                    <pic:cNvPr id="0" name="gail_td3_vs_transformer_five_metrics_aulc_sem.png"/>
                    <pic:cNvPicPr/>
                  </pic:nvPicPr>
                  <pic:blipFill>
                    <a:blip r:embed="rId20"/>
                    <a:stretch>
                      <a:fillRect/>
                    </a:stretch>
                  </pic:blipFill>
                  <pic:spPr>
                    <a:xfrm>
                      <a:off x="0" y="0"/>
                      <a:ext cx="5806440" cy="3299114"/>
                    </a:xfrm>
                    <a:prstGeom prst="rect"/>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rPr>
          <w:lang w:eastAsia="zh-CN"/>
        </w:rPr>
        <w:t>从图6-2可以看出，Transformer+GAIL+TD3在平均存活天数、生产企业累计收益和消费企业累计收益等指标上的曲线整体早于GAIL+TD3上升。Transformer+GAIL+TD3的平均存活天数在训练前期快速提高，并在后期保持了高于GAIL+TD3的均值；两项企业累计收益在稳定阶段也整体处于较高区间。这一变化说明，历史状态序列表征为生产企业主体提供了当前状态之外的连续交互信息，并改善了企业经营策略的形成过程。银行累计收益的变化方向与企业收益并不完全一致，Transformer+GAIL+TD3在前期呈现较大波动，稳定阶段均值低于GAIL+TD3，且SEM阴影较宽，反映出生产企业策略变化对信贷关系及跨随机种子结果产生了间接影响。</w:t>
      </w:r>
    </w:p>
    <w:p>
      <w:pPr>
        <w:spacing w:line="360" w:lineRule="auto" w:after="60"/>
        <w:ind w:firstLine="420"/>
        <w:jc w:val="both"/>
      </w:pPr>
      <w:r>
        <w:rPr>
          <w:lang w:eastAsia="zh-CN"/>
        </w:rPr>
        <w:t>表6-2进一步显示，引入Transformer编码器后，最终稳定平均存活天数均值由80.71天提高至90.24天，增加9.52天；该指标与专家轨迹平均值的差距由17.28天缩小至7.75天。生产企业和消费企业最终稳定累计收益均值分别由126.35K提高至180.43K、由150.01K提高至169.48K，第60个评估时刻的累计归一化学习曲线下面积均值由0.683提高至0.773。银行最终稳定累计收益均值则由10.31K降至7.15K，其相对SEM由21.80%提高至50.02%，说明历史状态表征对不同主体绩效和跨随机种子波动产生的影响并不一致。</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三种主体训练方案下生产企业偿债风险对比</w:t>
      </w:r>
    </w:p>
    <w:p w14:paraId="3B8288D2" w14:textId="77777777" w:rsidR="00BE7EA7" w:rsidRDefault="00BE7EA7" w:rsidP="00BE7EA7">
      <w:pPr>
        <w:ind w:firstLine="420"/>
        <w:rPr>
          <w:lang w:eastAsia="zh-CN"/>
        </w:rPr>
      </w:pPr>
      <w:r>
        <w:rPr>
          <w:lang w:eastAsia="zh-CN"/>
        </w:rPr>
        <w:t>图6-3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该结果与图6-2(a)和表6-2所反映的稳定阶段存活水平一致，说明历史状态序列表征有助于生产企业主体在经营扩张、现金持有和债务偿付之间形成更稳定的决策关系。</w:t>
      </w:r>
    </w:p>
    <w:p>
      <w:pPr>
        <w:spacing w:line="360" w:lineRule="auto" w:after="60"/>
        <w:ind w:firstLine="420"/>
        <w:jc w:val="both"/>
      </w:pPr>
      <w:r>
        <w:rPr>
          <w:lang w:eastAsia="zh-CN"/>
        </w:rPr>
        <w:t>综合图6-2、图6-3和表6-2的结果，Transformer+GAIL+TD3在前期学习效率、最终稳定平均存活天数、企业累计收益和生产企业偿债风险占比等方面均较GAIL+TD3取得了更好的均值结果。银行累计收益及其跨随机种子波动未呈现相同方向的变化，说明历史状态表征改善生产企业决策后，不同经济主体的收益目标仍存在差异。在本组实验设置下，Transformer编码器所提供的历史状态序列信息进一步弥补了单步状态表征在稳定阶段存活水平上的不足。</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