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step）。第k个评估时刻对应第k组连续训练回合的统计结果。表6-1列出了总训练天数、随机种子组数、每个评估时刻对应回合数、单回合最大天数和统计方法。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r>
              <w:rPr>
                <w:b/>
                <w:sz w:val="18"/>
              </w:rPr>
              <w:t>项目</w:t>
            </w:r>
          </w:p>
        </w:tc>
        <w:tc>
          <w:tcPr>
            <w:tcW w:w="6009" w:type="dxa"/>
            <w:shd w:val="clear" w:color="auto" w:fill="F2F2F2"/>
            <w:vAlign w:val="center"/>
          </w:tcPr>
          <w:p w14:paraId="56A8F0BE" w14:textId="77777777" w:rsidR="00BE7EA7" w:rsidRDefault="00BE7EA7" w:rsidP="00B06FE6">
            <w:pPr>
              <w:spacing w:after="0" w:line="276" w:lineRule="auto"/>
              <w:ind w:firstLine="361"/>
              <w:jc w:val="center"/>
            </w:pPr>
            <w:r>
              <w:rPr>
                <w:b/>
                <w:sz w:val="18"/>
              </w:rPr>
              <w:t>设定</w:t>
            </w:r>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总训练天数</w:t>
            </w:r>
          </w:p>
        </w:tc>
        <w:tc>
          <w:tcPr>
            <w:tcW w:w="6009" w:type="dxa"/>
            <w:vAlign w:val="center"/>
          </w:tcPr>
          <w:p w14:paraId="2A1AB8D0" w14:textId="77777777" w:rsidR="00BE7EA7" w:rsidRDefault="00BE7EA7" w:rsidP="00B06FE6">
            <w:pPr>
              <w:spacing w:after="0" w:line="276" w:lineRule="auto"/>
              <w:ind w:firstLine="360"/>
              <w:jc w:val="left"/>
            </w:pPr>
            <w:r>
              <w:rPr>
                <w:sz w:val="18"/>
              </w:rPr>
              <w:t>180000天</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r>
              <w:rPr>
                <w:sz w:val="18"/>
              </w:rPr>
              <w:t>随机种子组数</w:t>
            </w:r>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单回合最大天数</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r>
              <w:rPr>
                <w:sz w:val="18"/>
              </w:rPr>
              <w:t>统计方法</w:t>
            </w:r>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8次独立运行的均值及均值上下1个SEM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pPr>
        <w:spacing w:line="360" w:lineRule="auto" w:after="60"/>
        <w:ind w:firstLine="420"/>
        <w:jc w:val="both"/>
      </w:pPr>
      <w: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其中，图6-1(a)中的水平虚线表示表5-1所列专家轨迹的合计平均存活天数，其数值为97.99天。为定量比较三种模型的训练后期表现，本文先对每次独立运行在第41至第60个评估时刻的平均存活天数和三项累计收益分别取均值，再在8次独立运行之间计算总体均值和SEM；累计归一化学习曲线下面积采用第60个评估时刻的数值。表6-2汇总了三种模型的相应统计结果。</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平均存活天数和三项主体收益曲线均早于TD3进入快速提升阶段，并较早转入相对稳定状态。其中，GAIL+TD3的平均存活天数在第20个评估时刻之前已接近后期水平，而TD3直至训练后期才达到相近区间；生产企业、消费企业和银行累计收益也呈现相似的前期差异。图6-1(e)显示，GAIL+TD3的累计归一化学习曲线下面积整体高于TD3，且两条曲线的差距主要在训练前期形成，并延续至训练末期。</w:t>
      </w:r>
    </w:p>
    <w:p>
      <w:pPr>
        <w:spacing w:line="360" w:lineRule="auto" w:after="60"/>
        <w:ind w:firstLine="420"/>
        <w:jc w:val="both"/>
      </w:pPr>
      <w:r>
        <w:rPr>
          <w:lang w:eastAsia="zh-CN"/>
        </w:rPr>
        <w:t>表6-2中的具体数值显示，GAIL+TD3在第60个评估时刻的累计归一化学习曲线下面积均值由TD3的0.435提高至0.683，增幅约为56.8%；银行最终稳定累计收益均值由5.28K提高至10.31K，增幅约为95.4%。与此同时，生产企业和消费企业最终稳定累计收益均值分别由205.43K降至126.35K、由185.81K降至150.01K。这些结果表明，GAIL+TD3虽然并未在所有主体收益指标上取得更高的最终稳定均值，但其提高了平均存活天数的累积表现和银行收益，在训练速度与不同主体的后期收益目标之间呈现出不同于TD3的权衡关系。</w:t>
      </w:r>
    </w:p>
    <w:p>
      <w:pPr>
        <w:spacing w:line="360" w:lineRule="auto" w:after="60"/>
        <w:ind w:firstLine="420"/>
        <w:jc w:val="both"/>
      </w:pPr>
      <w:r>
        <w:rPr>
          <w:lang w:eastAsia="zh-CN"/>
        </w:rPr>
        <w:t>不过，表6-2和图6-1也显示，GAIL+TD3的最终稳定平均存活天数均值为80.71天，低于TD3的81.50天，二者相差0.79天；GAIL+TD3与专家轨迹平均存活天数之间仍相差17.28天。此外，GAIL+TD3最终稳定平均存活天数的相对SEM为5.38%，高于TD3的3.05%，说明其稳定阶段的平均存活天数在不同随机种子之间具有更大的相对波动。上述差异表明，模仿学习信号虽然加快了训练前期的策略形成过程，但在最终存活水平和跨随机种子稳定性方面仍存在改进空间。因此，本文在下一节进一步引入历史状态序列表征，以考察生产企业主体利用连续交互信息后能否改善稳定阶段的系统存活水平。</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平均存活天数、生产企业累计收益和消费企业累计收益等指标上的曲线整体早于GAIL+TD3上升。Transformer+GAIL+TD3的平均存活天数在训练前期快速提高，并在训练后期保持了较高的均值；生产企业和消费企业累计收益在稳定阶段也整体处于较高区间。上述曲线变化说明，历史状态序列表征为生产企业主体提供了当前状态之外的连续交互信息，有助于模型形成更稳定的企业经营策略。银行累计收益曲线在训练前期出现波动后进入相对稳定区间，反映出生产企业策略变化能够通过信贷关系影响银行主体的经营结果。</w:t>
      </w:r>
    </w:p>
    <w:p>
      <w:pPr>
        <w:spacing w:line="360" w:lineRule="auto" w:after="60"/>
        <w:ind w:firstLine="420"/>
        <w:jc w:val="both"/>
      </w:pPr>
      <w:r>
        <w:rPr>
          <w:lang w:eastAsia="zh-CN"/>
        </w:rPr>
        <w:t>表6-2进一步显示，与GAIL+TD3相比，引入Transformer编码器后，最终稳定平均存活天数均值由80.71天提高至90.24天，增加9.52天；该指标与专家轨迹平均值的差距由17.28天缩小至7.75天。生产企业和消费企业最终稳定累计收益均值分别由126.35K提高至180.43K、由150.01K提高至169.48K，第60个评估时刻的累计归一化学习曲线下面积均值由0.683提高至0.773。这些统计结果表明，历史状态序列表征不仅提高了模型在训练过程中的平均存活天数累积表现，也改善了稳定阶段的系统存活水平和企业经营收益，使生产企业主体能够更充分地利用跨时段交互信息进行决策。</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图6-3 三种主体训练方案下DSCR 低于 1 的生产企业日观测占比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和企业累计收益方面均较GAIL+TD3取得了更高的均值表现，同时将DSCR低于1的生产企业日观测占比降至0.00%。在本组实验设置下，Transformer编码器所提供的历史状态序列信息增强了生产企业主体对跨时段经济状态的表征能力，并进一步改善了系统存活水平、企业经营结果和债务偿付稳定性。</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