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pPr>
        <w:pStyle w:val="21"/>
        <w:rPr>
          <w:lang w:eastAsia="zh-CN"/>
        </w:rPr>
      </w:pPr>
      <w:r>
        <w:rPr>
          <w:lang w:eastAsia="zh-CN"/>
        </w:rPr>
        <w:t>3.1 主体决策模型</w:t>
      </w:r>
    </w:p>
    <w:p>
      <w:pPr>
        <w:ind w:firstLine="420"/>
        <w:rPr>
          <w:lang w:eastAsia="zh-CN"/>
        </w:rPr>
      </w:pPr>
      <w:r>
        <w:rPr>
          <w:lang w:eastAsia="zh-CN"/>
        </w:rPr>
        <w:t>生产企业主体的决策函数由Actor神经网络实现。Actor采用多层感知机（MLP：Multilayer Perceptron）结构，将生产企业在当前决策时刻的可观测状态映射为连续经营动作。网络输入为经标准化处理的33维状态向量，网络输出为4维动作向量，分别对应贷款意愿（WNDF）、生产资料购买意愿（K）、消费品购买意愿（L）和次日定价（P）。</w:t>
      </w:r>
    </w:p>
    <w:p>
      <w:pPr>
        <w:ind w:firstLine="420"/>
        <w:rPr>
          <w:lang w:eastAsia="zh-CN"/>
        </w:rPr>
      </w:pPr>
      <w:r>
        <w:rPr>
          <w:lang w:eastAsia="zh-CN"/>
        </w:rPr>
        <w:t>Actor由三层可训练的全连接映射组成。第一层将33维状态向量映射为128维隐藏特征，并采用双曲正切函数进行非线性变换；第二层将128维隐藏特征映射为32维隐藏特征，并采用带泄漏线性整流函数（Leaky ReLU：Leaky Rectified Linear Unit）进行非线性变换；第三层将32维隐藏特征映射为4维动作向量。Actor在第t个决策时刻的前向计算过程定义如下：</w:t>
      </w:r>
    </w:p>
    <w:p>
      <w:pPr>
        <w:spacing w:before="60" w:line="288" w:lineRule="auto"/>
        <w:ind w:firstLine="420"/>
        <w:jc w:val="center"/>
      </w:pPr>
      <m:oMath>
        <m:sSubSup>
          <m:e>
            <m:r>
              <m:t>h</m:t>
            </m:r>
          </m:e>
          <m:sub>
            <m:r>
              <m:t>t</m:t>
            </m:r>
          </m:sub>
          <m:sup>
            <m:r>
              <m:t>1</m:t>
            </m:r>
          </m:sup>
        </m:sSubSup>
        <m:r>
          <m:t>=</m:t>
        </m:r>
        <m:r>
          <m:rPr>
            <m:sty m:val="p"/>
          </m:rPr>
          <m:t>tanh</m:t>
        </m:r>
        <m:d>
          <m:dPr>
            <m:sepChr m:val=","/>
          </m:dPr>
          <m:e>
            <m:sSub>
              <m:e>
                <m:r>
                  <m:t>W</m:t>
                </m:r>
              </m:e>
              <m:sub>
                <m:r>
                  <m:t>1</m:t>
                </m:r>
              </m:sub>
            </m:sSub>
          </m:e>
          <m:e>
            <m:sSub>
              <m:e>
                <m:limUpp>
                  <m:e>
                    <m:r>
                      <m:t>s</m:t>
                    </m:r>
                  </m:e>
                  <m:lim>
                    <m:r>
                      <m:t>^</m:t>
                    </m:r>
                  </m:lim>
                </m:limUpp>
              </m:e>
              <m:sub>
                <m:r>
                  <m:t>t</m:t>
                </m:r>
              </m:sub>
            </m:sSub>
          </m:e>
          <m:e>
            <m:r>
              <m:t>+</m:t>
            </m:r>
          </m:e>
          <m:e>
            <m:sSub>
              <m:e>
                <m:r>
                  <m:t>b</m:t>
                </m:r>
              </m:e>
              <m:sub>
                <m:r>
                  <m:t>1</m:t>
                </m:r>
              </m:sub>
            </m:sSub>
          </m:e>
        </m:d>
        <m:r>
          <m:t>,</m:t>
        </m:r>
        <m:sSubSup>
          <m:e>
            <m:r>
              <m:t>h</m:t>
            </m:r>
          </m:e>
          <m:sub>
            <m:r>
              <m:t>t</m:t>
            </m:r>
          </m:sub>
          <m:sup>
            <m:r>
              <m:t>2</m:t>
            </m:r>
          </m:sup>
        </m:sSubSup>
        <m:r>
          <m:t>=</m:t>
        </m:r>
        <m:r>
          <m:rPr>
            <m:sty m:val="p"/>
          </m:rPr>
          <m:t>LeakyReLU</m:t>
        </m:r>
        <m:d>
          <m:dPr>
            <m:sepChr m:val=","/>
          </m:dPr>
          <m:e>
            <m:sSub>
              <m:e>
                <m:r>
                  <m:t>W</m:t>
                </m:r>
              </m:e>
              <m:sub>
                <m:r>
                  <m:t>2</m:t>
                </m:r>
              </m:sub>
            </m:sSub>
          </m:e>
          <m:e>
            <m:sSubSup>
              <m:e>
                <m:r>
                  <m:t>h</m:t>
                </m:r>
              </m:e>
              <m:sub>
                <m:r>
                  <m:t>t</m:t>
                </m:r>
              </m:sub>
              <m:sup>
                <m:r>
                  <m:t>1</m:t>
                </m:r>
              </m:sup>
            </m:sSubSup>
          </m:e>
          <m:e>
            <m:r>
              <m:t>+</m:t>
            </m:r>
          </m:e>
          <m:e>
            <m:sSub>
              <m:e>
                <m:r>
                  <m:t>b</m:t>
                </m:r>
              </m:e>
              <m:sub>
                <m:r>
                  <m:t>2</m:t>
                </m:r>
              </m:sub>
            </m:sSub>
          </m:e>
        </m:d>
        <m:r>
          <m:t>,</m:t>
        </m:r>
        <m:sSub>
          <m:e>
            <m:r>
              <m:t>a</m:t>
            </m:r>
          </m:e>
          <m:sub>
            <m:r>
              <m:t>t</m:t>
            </m:r>
          </m:sub>
        </m:sSub>
        <m:r>
          <m:t>=</m:t>
        </m:r>
        <m:sSub>
          <m:e>
            <m:r>
              <m:t>a</m:t>
            </m:r>
          </m:e>
          <m:sub>
            <m:r>
              <m:rPr>
                <m:nor/>
              </m:rPr>
              <m:t>max</m:t>
            </m:r>
          </m:sub>
        </m:sSub>
        <m:r>
          <m:rPr>
            <m:sty m:val="p"/>
          </m:rPr>
          <m:t>tanh</m:t>
        </m:r>
        <m:d>
          <m:dPr>
            <m:sepChr m:val=","/>
          </m:dPr>
          <m:e>
            <m:sSub>
              <m:e>
                <m:r>
                  <m:t>W</m:t>
                </m:r>
              </m:e>
              <m:sub>
                <m:r>
                  <m:t>3</m:t>
                </m:r>
              </m:sub>
            </m:sSub>
          </m:e>
          <m:e>
            <m:sSubSup>
              <m:e>
                <m:r>
                  <m:t>h</m:t>
                </m:r>
              </m:e>
              <m:sub>
                <m:r>
                  <m:t>t</m:t>
                </m:r>
              </m:sub>
              <m:sup>
                <m:r>
                  <m:t>2</m:t>
                </m:r>
              </m:sup>
            </m:sSubSup>
          </m:e>
          <m:e>
            <m:r>
              <m:t>+</m:t>
            </m:r>
          </m:e>
          <m:e>
            <m:sSub>
              <m:e>
                <m:r>
                  <m:t>b</m:t>
                </m:r>
              </m:e>
              <m:sub>
                <m:r>
                  <m:t>3</m:t>
                </m:r>
              </m:sub>
            </m:sSub>
          </m:e>
        </m:d>
      </m:oMath>
    </w:p>
    <w:p>
      <w:pPr>
        <w:ind w:firstLine="420"/>
        <w:rPr>
          <w:lang w:eastAsia="zh-CN"/>
        </w:rPr>
      </w:pPr>
      <w:r>
        <w:rPr>
          <w:lang w:eastAsia="zh-CN"/>
        </w:rPr>
        <w:t>式中，hat{s}_t表示第t个决策时刻经标准化处理的生产企业状态；h_t^(1)和h_t^(2)分别表示第一隐藏层和第二隐藏层输出的特征向量；W_1、W_2和W_3表示三层全连接映射的权重矩阵；b_1、b_2和b_3表示对应的偏置向量；a_t表示Actor生成的动作；a_max表示动作边界，本文取a_max=0.5。输出层采用双曲正切函数，并按动作边界进行缩放，使Actor直接生成的各维动作均位于[-0.5,0.5]区间内。</w:t>
      </w:r>
    </w:p>
    <w:p>
      <w:pPr>
        <w:ind w:firstLine="420"/>
        <w:rPr>
          <w:lang w:eastAsia="zh-CN"/>
        </w:rPr>
      </w:pPr>
      <w:r>
        <w:rPr>
          <w:lang w:eastAsia="zh-CN"/>
        </w:rPr>
        <w:t>两个隐藏层共同承担当前状态的特征表示任务。第一隐藏层形成128维中间特征，第二隐藏层进一步形成32维特征，动作输出层据此生成连续经营动作。因此，本章Actor采用基于当前观测的单步状态特征表示。第4章将在该结构基础上引入Transformer编码器，并进一步说明历史状态序列特征与Actor当前状态特征的融合方式。</w:t>
      </w:r>
    </w:p>
    <w:p>
      <w:pPr>
        <w:ind w:firstLine="420"/>
        <w:rPr>
          <w:lang w:eastAsia="zh-CN"/>
        </w:rPr>
      </w:pPr>
      <w:r>
        <w:rPr>
          <w:lang w:eastAsia="zh-CN"/>
        </w:rPr>
        <w:t>为保持专家行为与在线生成行为的数据接口一致，每条专家记录由33维状态向量和4维动作向量组成，其中前33个字段对应专家状态，后4个字段对应专家动作。在线交互过程中，生产企业Actor根据当前状态生成动作，仿真环境执行该动作后返回环境奖励、下一状态和终止标记，并由此形成经验样本。令一次网络参数更新阶段从经验池采样得到的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采用批量对齐机制。每一次网络参数更新阶段只从经验池采样一次生产企业经验批量。该批量的状态-动作部分用于构造判别器中的生成样本，该批量的完整经验样本又用于TD3的Critic目标值计算。因此，判别器给出的模仿奖励与Critic使用的环境奖励和下一状态在样本索引上保持一致。</w:t>
      </w:r>
    </w:p>
    <w:p w14:paraId="5CC3F728" w14:textId="77777777" w:rsidR="00636361" w:rsidRDefault="00000000" w:rsidP="001A17F2">
      <w:pPr>
        <w:pStyle w:val="21"/>
        <w:rPr>
          <w:lang w:eastAsia="zh-CN"/>
        </w:rPr>
      </w:pPr>
      <w:r>
        <w:rPr>
          <w:lang w:eastAsia="zh-CN"/>
        </w:rPr>
        <w:t>3.2 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动作样本。这些样本随后进入经验池，并在学习阶段同时服务于判别器训练和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3-1给出了基于生成对抗模仿学习与TD3的主体训练方案。在该方案中，专家行为样本为判别器提供专家分布参照，生产企业在线交互样本构成生成样本。判别器根据两类状态-动作样本之间的差异产生模仿奖励。本文将该模仿奖励与环境奖励融合，并将融合奖励用于TD3的Critic目标值计算，使GAIL信号通过价值估计影响Actor更新。模仿学习信号进入策略学习过程的路径可以概括为“判别器—融合奖励—Critic—Actor”。</w:t>
      </w:r>
    </w:p>
    <w:p w14:paraId="1343119B" w14:textId="77777777" w:rsidR="00636361" w:rsidRDefault="00000000" w:rsidP="001000AD">
      <w:pPr>
        <w:ind w:firstLineChars="0" w:firstLine="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更新顺序和环境交互规则，而是在生产企业主体的网络输入端加入历史状态或历史状态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（6）生成对抗模仿学习组件有效性。本文采用Jensen–Shannon散度、重叠系数和受试者工作特征曲线下面积评价生成对抗模仿学习组件。其中，Jensen–Shannon散度（JS divergence）用于度量两组判别器得分概率分布之间的差异。设P和Q表示两组归一化判别器得分分布，其定义如下：</w:t>
      </w:r>
    </w:p>
    <w:p>
      <w:pPr>
        <w:spacing w:before="60" w:line="288" w:lineRule="auto"/>
        <w:ind w:firstLine="420"/>
        <w:jc w:val="center"/>
      </w:pPr>
      <m:oMath>
        <m:r>
          <m:t>M=</m:t>
        </m:r>
        <m:f>
          <m:fPr>
            <m:type m:val="bar"/>
          </m:fPr>
          <m:num>
            <m:r>
              <m:t>P+Q</m:t>
            </m:r>
          </m:num>
          <m:den>
            <m:r>
              <m:t>2</m:t>
            </m:r>
          </m:den>
        </m:f>
        <m:r>
          <m:t>,</m:t>
        </m:r>
        <m:r>
          <m:rPr>
            <m:sty m:val="p"/>
          </m:rPr>
          <m:t>JS</m:t>
        </m:r>
        <m:d>
          <m:dPr>
            <m:sepChr m:val=","/>
          </m:dPr>
          <m:e>
            <m:r>
              <m:t>P</m:t>
            </m:r>
          </m:e>
          <m:e>
            <m:r>
              <m:t>∥</m:t>
            </m:r>
          </m:e>
          <m:e>
            <m:r>
              <m:t>Q</m:t>
            </m:r>
          </m:e>
        </m:d>
        <m:r>
          <m:t>=</m:t>
        </m:r>
        <m:f>
          <m:fPr>
            <m:type m:val="bar"/>
          </m:fPr>
          <m:num>
            <m:r>
              <m:t>1</m:t>
            </m:r>
          </m:num>
          <m:den>
            <m:r>
              <m:t>2</m:t>
            </m:r>
          </m:den>
        </m:f>
        <m:r>
          <m:rPr>
            <m:sty m:val="p"/>
          </m:rPr>
          <m:t>KL</m:t>
        </m:r>
        <m:d>
          <m:dPr>
            <m:sepChr m:val=","/>
          </m:dPr>
          <m:e>
            <m:r>
              <m:t>P</m:t>
            </m:r>
          </m:e>
          <m:e>
            <m:r>
              <m:t>∥</m:t>
            </m:r>
          </m:e>
          <m:e>
            <m:r>
              <m:t>M</m:t>
            </m:r>
          </m:e>
        </m:d>
        <m:r>
          <m:t>+</m:t>
        </m:r>
        <m:f>
          <m:fPr>
            <m:type m:val="bar"/>
          </m:fPr>
          <m:num>
            <m:r>
              <m:t>1</m:t>
            </m:r>
          </m:num>
          <m:den>
            <m:r>
              <m:t>2</m:t>
            </m:r>
          </m:den>
        </m:f>
        <m:r>
          <m:rPr>
            <m:sty m:val="p"/>
          </m:rPr>
          <m:t>KL</m:t>
        </m:r>
        <m:d>
          <m:dPr>
            <m:sepChr m:val=","/>
          </m:dPr>
          <m:e>
            <m:r>
              <m:t>Q</m:t>
            </m:r>
          </m:e>
          <m:e>
            <m:r>
              <m:t>∥</m:t>
            </m:r>
          </m:e>
          <m:e>
            <m:r>
              <m:t>M</m:t>
            </m:r>
          </m:e>
        </m:d>
      </m:oMath>
    </w:p>
    <w:p>
      <w:pPr>
        <w:ind w:firstLine="420"/>
      </w:pPr>
      <w:r>
        <w:rPr>
          <w:lang w:eastAsia="zh-CN"/>
        </w:rPr>
        <w:t>式中，M表示P和Q的等权混合分布，KL表示Kullback–Leibler散度。JS散度越小表示两组判别器得分分布越接近。重叠系数（OVL: Overlap Coefficient）用于度量两组归一化直方图的共同区域，其定义如下：</w:t>
      </w:r>
    </w:p>
    <w:p>
      <w:pPr>
        <w:spacing w:before="60" w:line="288" w:lineRule="auto"/>
        <w:ind w:firstLine="420"/>
        <w:jc w:val="center"/>
      </w:pPr>
      <m:oMath>
        <m:r>
          <m:rPr>
            <m:sty m:val="p"/>
          </m:rPr>
          <m:t>OVL</m:t>
        </m:r>
        <m:d>
          <m:dPr>
            <m:sepChr m:val=","/>
          </m:dPr>
          <m:e>
            <m:r>
              <m:t>P</m:t>
            </m:r>
          </m:e>
          <m:e>
            <m:r>
              <m:t>,</m:t>
            </m:r>
          </m:e>
          <m:e>
            <m:r>
              <m:t>Q</m:t>
            </m:r>
          </m:e>
        </m:d>
        <m:r>
          <m:t>=</m:t>
        </m:r>
        <m:nary>
          <m:naryPr>
            <m:chr m:val="∑"/>
            <m:limLoc m:val="undOvr"/>
            <m:grow m:val="1"/>
            <m:subHide m:val="off"/>
            <m:supHide m:val="off"/>
          </m:naryPr>
          <m:sub>
            <m:r>
              <m:t>h=1</m:t>
            </m:r>
          </m:sub>
          <m:sup>
            <m:r>
              <m:t>H</m:t>
            </m:r>
          </m:sup>
          <m:e>
            <m:r>
              <m:rPr>
                <m:sty m:val="p"/>
              </m:rPr>
              <m:t>min</m:t>
            </m:r>
          </m:e>
        </m:nary>
        <m:d>
          <m:dPr>
            <m:sepChr m:val=","/>
          </m:dPr>
          <m:e>
            <m:sSub>
              <m:e>
                <m:r>
                  <m:t>P</m:t>
                </m:r>
              </m:e>
              <m:sub>
                <m:r>
                  <m:t>h</m:t>
                </m:r>
              </m:sub>
            </m:sSub>
          </m:e>
          <m:e>
            <m:r>
              <m:t>,</m:t>
            </m:r>
          </m:e>
          <m:e>
            <m:sSub>
              <m:e>
                <m:r>
                  <m:t>Q</m:t>
                </m:r>
              </m:e>
              <m:sub>
                <m:r>
                  <m:t>h</m:t>
                </m:r>
              </m:sub>
            </m:sSub>
          </m:e>
        </m:d>
      </m:oMath>
    </w:p>
    <w:p>
      <w:pPr>
        <w:ind w:firstLine="420"/>
      </w:pPr>
      <w:r>
        <w:rPr>
          <w:lang w:eastAsia="zh-CN"/>
        </w:rPr>
        <w:t>式中，h表示得分区间编号，H表示区间总数，P_h和Q_h分别表示两组样本落入第h个区间的概率。OVL取值范围为[0,1]，数值越大表示两组得分分布的重叠程度越高。受试者工作特征曲线下面积（AUC: Area Under the Receiver Operating Characteristic Curve）用于评价判别器对两类样本的排序能力，其定义如下：</w:t>
      </w:r>
    </w:p>
    <w:p>
      <w:pPr>
        <w:spacing w:before="60" w:line="288" w:lineRule="auto"/>
        <w:ind w:firstLine="420"/>
        <w:jc w:val="center"/>
      </w:pPr>
      <m:oMath>
        <m:r>
          <m:rPr>
            <m:sty m:val="p"/>
          </m:rPr>
          <m:t>AUC</m:t>
        </m:r>
        <m:r>
          <m:t>=</m:t>
        </m:r>
        <m:r>
          <m:rPr>
            <m:sty m:val="p"/>
          </m:rPr>
          <m:t>Pr</m:t>
        </m:r>
        <m:d>
          <m:dPr>
            <m:sepChr m:val=","/>
          </m:dPr>
          <m:e>
            <m:sSubSup>
              <m:e>
                <m:r>
                  <m:t>x</m:t>
                </m:r>
              </m:e>
              <m:sub>
                <m:r>
                  <m:t>i</m:t>
                </m:r>
              </m:sub>
              <m:sup>
                <m:r>
                  <m:t>+</m:t>
                </m:r>
              </m:sup>
            </m:sSubSup>
          </m:e>
          <m:e>
            <m:r>
              <m:t>&gt;</m:t>
            </m:r>
          </m:e>
          <m:e>
            <m:sSubSup>
              <m:e>
                <m:r>
                  <m:t>x</m:t>
                </m:r>
              </m:e>
              <m:sub>
                <m:r>
                  <m:t>j</m:t>
                </m:r>
              </m:sub>
              <m:sup>
                <m:r>
                  <m:t>−</m:t>
                </m:r>
              </m:sup>
            </m:sSubSup>
          </m:e>
        </m:d>
        <m:r>
          <m:t>+</m:t>
        </m:r>
        <m:f>
          <m:fPr>
            <m:type m:val="bar"/>
          </m:fPr>
          <m:num>
            <m:r>
              <m:t>1</m:t>
            </m:r>
          </m:num>
          <m:den>
            <m:r>
              <m:t>2</m:t>
            </m:r>
          </m:den>
        </m:f>
        <m:r>
          <m:rPr>
            <m:sty m:val="p"/>
          </m:rPr>
          <m:t>Pr</m:t>
        </m:r>
        <m:d>
          <m:dPr>
            <m:sepChr m:val=","/>
          </m:dPr>
          <m:e>
            <m:sSubSup>
              <m:e>
                <m:r>
                  <m:t>x</m:t>
                </m:r>
              </m:e>
              <m:sub>
                <m:r>
                  <m:t>i</m:t>
                </m:r>
              </m:sub>
              <m:sup>
                <m:r>
                  <m:t>+</m:t>
                </m:r>
              </m:sup>
            </m:sSubSup>
          </m:e>
          <m:e>
            <m:r>
              <m:t>=</m:t>
            </m:r>
          </m:e>
          <m:e>
            <m:sSubSup>
              <m:e>
                <m:r>
                  <m:t>x</m:t>
                </m:r>
              </m:e>
              <m:sub>
                <m:r>
                  <m:t>j</m:t>
                </m:r>
              </m:sub>
              <m:sup>
                <m:r>
                  <m:t>−</m:t>
                </m:r>
              </m:sup>
            </m:sSubSup>
          </m:e>
        </m:d>
      </m:oMath>
    </w:p>
    <w:p>
      <w:pPr>
        <w:ind w:firstLine="420"/>
      </w:pPr>
      <w:r>
        <w:rPr>
          <w:lang w:eastAsia="zh-CN"/>
        </w:rPr>
        <w:t>式中，Pr表示事件发生的概率，x_i^+和x_j^-分别表示从正类与负类样本中抽取的判别器得分。AUC=0.5对应随机排序，AUC大于0.5表示判别器更倾向于给予正类样本较高评分。</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然而，平均存活天数属于系统运行结果层面的综合指标，同时受到商品交易、信贷关系及其他主体行为等多种因素影响，难以单独刻画生成对抗模仿学习组件的运行状态；若直接逐一计算Actor生成动作与专家动作之间的误差，所得结果又容易受到多维连续动作各分量尺度及样本差异的影响，难以反映两类行为在整体分布上的接近程度。基于此，本文利用固定判别器将不同来源的状态—动作样本映射至统一的得分空间：首先通过JS散度、重叠系数和AUC评价最终判别器对动作扰动的识别能力，随后根据历史Actor与专家样本得分分布之间的JS散度变化，分析Actor生成行为在训练过程中的模仿效果。</w:t>
      </w:r>
    </w:p>
    <w:p>
      <w:pPr>
        <w:ind w:firstLine="420"/>
        <w:rPr>
          <w:lang w:eastAsia="zh-CN"/>
        </w:rPr>
      </w:pPr>
      <w:r>
        <w:rPr>
          <w:lang w:eastAsia="zh-CN"/>
        </w:rPr>
        <w:t>第一步检验最终判别器对动作扰动的识别能力。本文选取一组独立运行对应的最终判别器作为评价尺度，在留出测试集的16952条专家状态—动作样本上叠加标准差为0.30的独立高斯噪声，并将动作裁剪至[-0.5,0.5]。留出测试集包含173个完整专家回合。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rPr>
          <w:lang w:eastAsia="zh-CN"/>
        </w:rPr>
      </w:pPr>
      <w:r>
        <w:rPr>
          <w:lang w:eastAsia="zh-CN"/>
        </w:rPr>
        <w:t>式中，i表示留出测试集中的样本序号；hat{a}_i^E表示第i个专家动作；tilde{a}_i^E表示加噪并裁剪后的第i个专家动作；ε_i表示第i个样本对应的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rPr>
          <w:lang w:eastAsia="zh-CN"/>
        </w:rPr>
      </w:pPr>
      <w:r>
        <w:rPr>
          <w:lang w:eastAsia="zh-CN"/>
        </w:rPr>
        <w:t>式中，D表示判别器；hat{s}_i表示第i个专家状态；带星号的φ_r表示第r次独立运行对应的最终判别器参数；d_i^E和d_i^N分别表示第i个专家样本与加噪专家样本的判别器得分。图6-2给出了两组样本的判别器得分分布。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spacing w:before="40" w:after="80" w:line="288" w:lineRule="auto"/>
        <w:ind w:firstLineChars="0" w:firstLine="0"/>
        <w:jc w:val="center"/>
        <w:rPr>
          <w:lang w:eastAsia="zh-CN"/>
        </w:rPr>
      </w:pPr>
      <w:r>
        <w:rPr>
          <w:sz w:val="18"/>
          <w:lang w:eastAsia="zh-CN"/>
        </w:rPr>
        <w:t>表6-3 判别器对专家样本与加噪专家样本的评价结果</w:t>
      </w:r>
    </w:p>
    <w:tbl>
      <w:tblPr>
        <w:tblStyle w:val="2a"/>
        <w:tblW w:type="auto" w:w="0"/>
        <w:tblLayout w:type="fixed"/>
        <w:tblLook w:firstColumn="1" w:firstRow="1" w:lastColumn="0" w:lastRow="0" w:noHBand="0" w:noVBand="1" w:val="04A0"/>
      </w:tblPr>
      <w:tblGrid>
        <w:gridCol w:w="4422"/>
        <w:gridCol w:w="4422"/>
      </w:tblGrid>
      <w:tr>
        <w:tc>
          <w:tcPr>
            <w:tcW w:type="dxa" w:w="6120"/>
          </w:tcPr>
          <w:p>
            <w:pPr>
              <w:jc w:val="center"/>
            </w:pPr>
            <w:r>
              <w:t>统计量</w:t>
            </w:r>
          </w:p>
        </w:tc>
        <w:tc>
          <w:tcPr>
            <w:tcW w:type="dxa" w:w="3240"/>
          </w:tcPr>
          <w:p>
            <w:pPr>
              <w:jc w:val="center"/>
            </w:pPr>
            <w:r>
              <w:t>估计值</w:t>
            </w:r>
          </w:p>
        </w:tc>
      </w:tr>
      <w:tr>
        <w:tc>
          <w:tcPr>
            <w:tcW w:type="dxa" w:w="6120"/>
          </w:tcPr>
          <w:p>
            <w:pPr>
              <w:jc w:val="center"/>
            </w:pPr>
            <w:r>
              <w:rPr>
                <w:rFonts w:hint="eastAsia"/>
                <w:b w:val="0"/>
                <w:bCs w:val="0"/>
              </w:rPr>
              <w:t>专家样本平均评分</w:t>
            </w:r>
          </w:p>
        </w:tc>
        <w:tc>
          <w:tcPr>
            <w:tcW w:type="dxa" w:w="3240"/>
          </w:tcPr>
          <w:p>
            <w:pPr>
              <w:jc w:val="center"/>
            </w:pPr>
            <w:r>
              <w:rPr>
                <w:rFonts w:hint="eastAsia"/>
                <w:b w:val="0"/>
                <w:bCs w:val="0"/>
              </w:rPr>
              <w:t>0.8988</w:t>
            </w:r>
          </w:p>
        </w:tc>
      </w:tr>
      <w:tr>
        <w:tc>
          <w:tcPr>
            <w:tcW w:type="dxa" w:w="6120"/>
          </w:tcPr>
          <w:p>
            <w:pPr>
              <w:jc w:val="center"/>
            </w:pPr>
            <w:r>
              <w:rPr>
                <w:rFonts w:hint="eastAsia"/>
                <w:b w:val="0"/>
                <w:bCs w:val="0"/>
              </w:rPr>
              <w:t>加噪专家样本平均评分</w:t>
            </w:r>
          </w:p>
        </w:tc>
        <w:tc>
          <w:tcPr>
            <w:tcW w:type="dxa" w:w="3240"/>
          </w:tcPr>
          <w:p>
            <w:pPr>
              <w:jc w:val="center"/>
            </w:pPr>
            <w:r>
              <w:rPr>
                <w:rFonts w:hint="eastAsia"/>
                <w:b w:val="0"/>
                <w:bCs w:val="0"/>
              </w:rPr>
              <w:t>0.6111</w:t>
            </w:r>
          </w:p>
        </w:tc>
      </w:tr>
      <w:tr>
        <w:tc>
          <w:tcPr>
            <w:tcW w:type="dxa" w:w="6120"/>
          </w:tcPr>
          <w:p>
            <w:pPr>
              <w:jc w:val="center"/>
            </w:pPr>
            <w:r>
              <w:rPr>
                <w:rFonts w:hint="eastAsia"/>
                <w:b w:val="0"/>
                <w:bCs w:val="0"/>
              </w:rPr>
              <w:t>平均评分差</w:t>
            </w:r>
          </w:p>
        </w:tc>
        <w:tc>
          <w:tcPr>
            <w:tcW w:type="dxa" w:w="3240"/>
          </w:tcPr>
          <w:p>
            <w:pPr>
              <w:jc w:val="center"/>
            </w:pPr>
            <w:r>
              <w:rPr>
                <w:rFonts w:hint="eastAsia"/>
                <w:b w:val="0"/>
                <w:bCs w:val="0"/>
              </w:rPr>
              <w:t>0.2877</w:t>
            </w:r>
          </w:p>
        </w:tc>
      </w:tr>
      <w:tr>
        <w:tc>
          <w:tcPr>
            <w:tcW w:type="dxa" w:w="6120"/>
          </w:tcPr>
          <w:p>
            <w:pPr>
              <w:jc w:val="center"/>
            </w:pPr>
            <w:r>
              <w:rPr>
                <w:rFonts w:hint="eastAsia"/>
                <w:b w:val="0"/>
                <w:bCs w:val="0"/>
              </w:rPr>
              <w:t>JS散度</w:t>
            </w:r>
          </w:p>
        </w:tc>
        <w:tc>
          <w:tcPr>
            <w:tcW w:type="dxa" w:w="3240"/>
          </w:tcPr>
          <w:p>
            <w:pPr>
              <w:jc w:val="center"/>
            </w:pPr>
            <w:r>
              <w:rPr>
                <w:rFonts w:hint="eastAsia"/>
                <w:b w:val="0"/>
                <w:bCs w:val="0"/>
              </w:rPr>
              <w:t>0.4100</w:t>
            </w:r>
          </w:p>
        </w:tc>
      </w:tr>
      <w:tr>
        <w:tc>
          <w:tcPr>
            <w:tcW w:type="dxa" w:w="6120"/>
          </w:tcPr>
          <w:p>
            <w:pPr>
              <w:jc w:val="center"/>
            </w:pPr>
            <w:r>
              <w:rPr>
                <w:rFonts w:hint="eastAsia"/>
                <w:b w:val="0"/>
                <w:bCs w:val="0"/>
              </w:rPr>
              <w:t>OVL</w:t>
            </w:r>
          </w:p>
        </w:tc>
        <w:tc>
          <w:tcPr>
            <w:tcW w:type="dxa" w:w="3240"/>
          </w:tcPr>
          <w:p>
            <w:pPr>
              <w:jc w:val="center"/>
            </w:pPr>
            <w:r>
              <w:rPr>
                <w:rFonts w:hint="eastAsia"/>
                <w:b w:val="0"/>
                <w:bCs w:val="0"/>
              </w:rPr>
              <w:t>18.85%</w:t>
            </w:r>
          </w:p>
        </w:tc>
      </w:tr>
      <w:tr>
        <w:tc>
          <w:tcPr>
            <w:tcW w:type="dxa" w:w="6120"/>
          </w:tcPr>
          <w:p>
            <w:pPr>
              <w:jc w:val="center"/>
            </w:pPr>
            <w:r>
              <w:rPr>
                <w:rFonts w:hint="eastAsia"/>
                <w:b w:val="0"/>
                <w:bCs w:val="0"/>
              </w:rPr>
              <w:t>AUC</w:t>
            </w:r>
          </w:p>
        </w:tc>
        <w:tc>
          <w:tcPr>
            <w:tcW w:type="dxa" w:w="3240"/>
          </w:tcPr>
          <w:p>
            <w:pPr>
              <w:jc w:val="center"/>
            </w:pPr>
            <w:r>
              <w:rPr>
                <w:rFonts w:hint="eastAsia"/>
                <w:b w:val="0"/>
                <w:bCs w:val="0"/>
              </w:rPr>
              <w:t>0.8186</w:t>
            </w:r>
          </w:p>
        </w:tc>
      </w:tr>
    </w:tbl>
    <w:p>
      <w:pPr>
        <w:ind w:firstLine="420"/>
        <w:rPr>
          <w:lang w:eastAsia="zh-CN"/>
        </w:rPr>
      </w:pPr>
      <w:r>
        <w:rPr>
          <w:lang w:eastAsia="zh-CN"/>
        </w:rPr>
        <w:t>图6-2与表6-3显示，最终判别器对专家样本与加噪专家样本的平均评分分别为0.8988和0.6111，平均评分差为0.2877。两组得分分布的JS散度为0.4100；由于JS散度为0时两组分布完全一致，因此该结果反映出专家样本与加噪专家样本的判别器得分分布存在差异。OVL为18.85%，表示两组归一化得分直方图的共同区域占18.85%，两组分布的重叠程度较低。以专家样本为正类的AUC为0.8186，表示随机抽取一个专家样本和一个加噪专家样本时，判别器给予专家样本更高评分的概率约为81.86%，高于随机排序对应的0.5。上述结果表明，在标准差为0.30的动作扰动条件下，最终判别器能够识别加噪动作相对于专家动作的偏离，并倾向于给予专家样本更高的评分。</w:t>
      </w:r>
    </w:p>
    <w:p>
      <w:pPr>
        <w:ind w:firstLine="420"/>
        <w:rPr>
          <w:lang w:eastAsia="zh-CN"/>
        </w:rPr>
      </w:pPr>
      <w:r>
        <w:rPr>
          <w:lang w:eastAsia="zh-CN"/>
        </w:rPr>
        <w:t>第二步检验历史Actor生成行为在训练过程中的变化。本文选取3次独立运行，分别以各次运行对应的最终判别器作为固定评价尺度，并加载每100个训练回合保存的历史Actor快照。所有历史Actor均在同一批留出专家状态上以确定性方式生成动作，不加入探索噪声。对于第r次独立运行的第k个评估时刻，历史Actor生成的动作及其判别器得分定义如下：</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rPr>
          <w:lang w:eastAsia="zh-CN"/>
        </w:rPr>
      </w:pPr>
      <w:r>
        <w:rPr>
          <w:lang w:eastAsia="zh-CN"/>
        </w:rPr>
        <w:t>式中，μ表示生产企业Actor；θ_(r,k)表示第r次独立运行在第k个评估时刻保存的Actor参数；上标G表示Actor生成动作或相应判别器得分。根据专家得分分布P_r^E和历史Actor得分分布P_(r,k)^G，Actor—专家JS散度定义如下：</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rPr>
          <w:lang w:eastAsia="zh-CN"/>
        </w:rPr>
      </w:pPr>
      <w:r>
        <w:rPr>
          <w:lang w:eastAsia="zh-CN"/>
        </w:rPr>
        <w:t>式中，J_(r,k)表示第r次独立运行在第k个评估时刻的Actor—专家JS散度。较小的J_(r,k)表示历史Actor生成行为在固定判别器得分表示下更接近专家样本。本文在每个评估时刻计算3次独立运行的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rPr>
          <w:lang w:eastAsia="zh-CN"/>
        </w:rPr>
      </w:pPr>
      <w:r>
        <w:rPr>
          <w:lang w:eastAsia="zh-CN"/>
        </w:rPr>
        <w:t>式中，带横线的J表示第k个评估时刻3次独立运行的JS散度均值；s_k表示相应JS散度的样本标准差；R表示独立运行次数，本文取R=3。图6-3给出了60个评估时刻的Actor—专家JS散度均值，阴影表示均值上下1个SEM。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训练过程中总体下降，并在第19个评估时刻达到0.172±0.033。第60个评估时刻的均值为0.258±0.017，较第1个评估时刻降低约55.5%，且训练后期整体维持在低于训练初期的水平。固定最终判别器下的得分分布结果表明，历史Actor生成行为在训练过程中总体向专家样本接近。</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