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327945"/>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327945"/>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4.2节所述扩展模型将当前状态向量与Transformer历史特征先行拼接，并将拼接结果输入一组独立的全连接动作头。</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模型训练通过连续执行多次仿真推进。本文将从环境初始化开始，经过若干天连续运行，直至触发第2.1节所述终止条件的一次完整仿真记为一个回合（episode）。如图3-2所示，每个回合结束后，仿真环境与各主体属性被重置，随后进入下一回合；主体决策模型参数与经验池在回合之间保留，并在后续交互中继续更新。训练过程由此形成日内六阶段运行、回合终止、环境重置与下一回合启动的循环。</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基于第3.1节定义的Actor、专家样本和在线经验样本，本文将生成对抗模仿学习引入生产企业主体的TD3训练过程。在该方案中，生产企业Actor同时承担TD3策略网络和GAIL生成器的作用。该方案以经验池中的生产企业交互样本为统一数据基础，使判别器训练、模仿奖励构造和Critic价值估计在同一状态—动作样本接口下衔接，并由Critic的价值估计驱动Actor更新。</w:t>
      </w:r>
    </w:p>
    <w:p w14:paraId="0CEA4AC5" w14:textId="77777777" w:rsidR="00636361" w:rsidRDefault="00000000" w:rsidP="00106600">
      <w:pPr>
        <w:ind w:firstLine="420"/>
        <w:rPr>
          <w:lang w:eastAsia="zh-CN"/>
        </w:rPr>
      </w:pPr>
      <w:r>
        <w:rPr>
          <w:lang w:eastAsia="zh-CN"/>
        </w:rPr>
        <w:t>图3-3给出了基于生成对抗模仿学习与TD3的主体训练方案。在该方案中，专家行为样本为判别器提供专家分布参照，生产企业在线交互样本构成生成样本。判别器根据两类状态-动作样本之间的差异产生模仿奖励。本文将该模仿奖励与环境奖励融合，并将融合奖励用于TD3的Critic目标值计算，使GAIL信号通过价值估计影响Actor更新。模仿学习信号进入策略学习过程的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三条分支的Transformer编码器均采用单层结构和可学习的位置嵌入，其主要参数设置见表4-1。Actor与Critic分支的历史表征维度均为32，判别器分支的历史表征维度为100；三个分支的历史窗口长度均为5，注意力头数均为1。各分支分别维护独立的线性映射、位置嵌入、Transformer编码器和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640"/>
        <w:jc w:val="center"/>
        <w:tblLayout w:type="fixed"/>
        <w:tblLook w:firstColumn="1" w:firstRow="1" w:lastColumn="0" w:lastRow="0" w:noHBand="0" w:noVBand="1" w:val="04A0"/>
      </w:tblPr>
      <w:tblGrid>
        <w:gridCol w:w="1224"/>
        <w:gridCol w:w="3384"/>
        <w:gridCol w:w="1296"/>
        <w:gridCol w:w="1440"/>
        <w:gridCol w:w="1296"/>
      </w:tblGrid>
      <w:tr>
        <w:tc>
          <w:tcPr>
            <w:tcW w:type="dxa" w:w="1224"/>
            <w:vAlign w:val="center"/>
            <w:tcBorders>
              <w:left w:val="nil"/>
              <w:right w:val="nil"/>
              <w:insideH w:val="nil"/>
              <w:insideV w:val="nil"/>
              <w:top w:val="single" w:sz="10" w:space="0" w:color="000000"/>
              <w:bottom w:val="single" w:sz="6" w:space="0" w:color="000000"/>
            </w:tcBorders>
          </w:tcPr>
          <w:p>
            <w:pPr>
              <w:jc w:val="center"/>
            </w:pPr>
            <w:r>
              <w:t>分支</w:t>
            </w:r>
          </w:p>
        </w:tc>
        <w:tc>
          <w:tcPr>
            <w:tcW w:type="dxa" w:w="3384"/>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296"/>
            <w:vAlign w:val="center"/>
            <w:tcBorders>
              <w:left w:val="nil"/>
              <w:right w:val="nil"/>
              <w:insideH w:val="nil"/>
              <w:insideV w:val="nil"/>
              <w:top w:val="single" w:sz="10" w:space="0" w:color="000000"/>
              <w:bottom w:val="single" w:sz="6" w:space="0" w:color="000000"/>
            </w:tcBorders>
          </w:tcPr>
          <w:p>
            <w:pPr>
              <w:jc w:val="center"/>
            </w:pPr>
            <w:r>
              <w:t>序列长度</w:t>
            </w:r>
          </w:p>
        </w:tc>
        <w:tc>
          <w:tcPr>
            <w:tcW w:type="dxa" w:w="1440"/>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1296"/>
            <w:vAlign w:val="center"/>
            <w:tcBorders>
              <w:left w:val="nil"/>
              <w:right w:val="nil"/>
              <w:insideH w:val="nil"/>
              <w:insideV w:val="nil"/>
              <w:top w:val="single" w:sz="10" w:space="0" w:color="000000"/>
              <w:bottom w:val="single" w:sz="6" w:space="0" w:color="000000"/>
            </w:tcBorders>
          </w:tcPr>
          <w:p>
            <w:pPr>
              <w:jc w:val="center"/>
            </w:pPr>
            <w:r>
              <w:t>表征维度</w:t>
            </w:r>
          </w:p>
        </w:tc>
      </w:tr>
      <w:tr>
        <w:tc>
          <w:tcPr>
            <w:tcW w:type="dxa" w:w="1224"/>
            <w:vAlign w:val="center"/>
            <w:tcBorders>
              <w:left w:val="nil"/>
              <w:right w:val="nil"/>
              <w:insideH w:val="nil"/>
              <w:insideV w:val="nil"/>
              <w:top w:val="nil"/>
              <w:bottom w:val="nil"/>
            </w:tcBorders>
          </w:tcPr>
          <w:p>
            <w:pPr>
              <w:jc w:val="center"/>
            </w:pPr>
            <w:r>
              <w:rPr>
                <w:rFonts w:hint="eastAsia"/>
                <w:b w:val="0"/>
                <w:bCs w:val="0"/>
              </w:rPr>
              <w:t>Actor</w:t>
            </w:r>
          </w:p>
        </w:tc>
        <w:tc>
          <w:tcPr>
            <w:tcW w:type="dxa" w:w="3384"/>
            <w:vAlign w:val="center"/>
            <w:tcBorders>
              <w:left w:val="nil"/>
              <w:right w:val="nil"/>
              <w:insideH w:val="nil"/>
              <w:insideV w:val="nil"/>
              <w:top w:val="nil"/>
              <w:bottom w:val="nil"/>
            </w:tcBorders>
          </w:tcPr>
          <w:p>
            <w:pPr>
              <w:jc w:val="center"/>
            </w:pPr>
            <w:r>
              <w:rPr>
                <w:rFonts w:hint="eastAsia"/>
                <w:b w:val="0"/>
                <w:bCs w:val="0"/>
              </w:rPr>
              <w:t>状态序列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nil"/>
            </w:tcBorders>
          </w:tcPr>
          <w:p>
            <w:pPr>
              <w:jc w:val="center"/>
            </w:pPr>
            <w:r>
              <w:rPr>
                <w:rFonts w:hint="eastAsia"/>
                <w:b w:val="0"/>
                <w:bCs w:val="0"/>
              </w:rPr>
              <w:t>Critic</w:t>
            </w:r>
          </w:p>
        </w:tc>
        <w:tc>
          <w:tcPr>
            <w:tcW w:type="dxa" w:w="3384"/>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3384"/>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1440"/>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100</w:t>
            </w:r>
          </w:p>
        </w:tc>
      </w:tr>
    </w:tbl>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486400" cy="6009455"/>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486400" cy="6009455"/>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为统一描述Actor、Critic和判别器三个分支中结构相同的历史信息处理过程，本文将序列嵌入、Transformer编码和末时刻特征读取抽象为基于Transformer的历史序列表征模块。三个分支分别实例化该模块，各实例采用相同的网络拓扑，但参数彼此独立。图4-1在下方集中给出了该模块的内部结构，并在上方展示三个模块实例与各分支任务输出之间的连接关系。在表4-1所列参数设置下，Actor分支以历史状态序列作为表征模块的输入。每一个状态向量先经过线性映射进入隐藏空间，再与可学习的位置嵌入相加。随后，单层Transformer编码器对历史窗口进行编码。编码器输出的最后一个时间位置向量经归一化后形成32维历史状态特征。该特征与33维当前状态向量拼接为65维联合输入，并由独立的128-32-4全连接动作头生成连续动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按回合组织为历史窗口，生成样本由生产企业在线交互轨迹按回合位置构造。每个时间位置的33维状态与4维动作组成37维状态—动作向量，该向量经线性映射进入100维隐藏空间，并与可学习的位置嵌入相加。单层Transformer编码器对长度为5的窗口进行编码，最后一个时间位置的编码结果经归一化后形成100维历史状态—动作特征。判别器输出头将该特征映射为logits，并经Sigmoid函数得到专家概率。其形式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04334986" w14:textId="7EB1EC5B" w:rsidR="00D80834" w:rsidRDefault="00D80834" w:rsidP="00106600">
      <w:pPr>
        <w:ind w:firstLine="420"/>
        <w:rPr>
          <w:lang w:eastAsia="zh-CN"/>
        </w:rPr>
      </w:pPr>
      <w:r>
        <w:rPr>
          <w:lang w:eastAsia="zh-CN"/>
        </w:rPr>
        <w:t>Transformer+GAIL+TD3训练方案保持第3章所述的奖励融合方式、Actor-Critic参数更新顺序和环境交互规则不变，并在生产企业主体的Actor、Critic和判别器中分别加入基于Transformer的历史序列表征模块。Actor分支将当前状态与历史状态特征拼接后输入独立动作头；Critic分支将当前状态—动作对与历史状态—动作特征拼接后输入双Q值估计分支；判别器分支根据历史状态—动作窗口输出专家概率。</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