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2  仿真环境、目标与主体决策问题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5303520" cy="3491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5303520" cy="3491054"/>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图2-1  单次仿真运行规则示意图</w:t>
      </w:r>
    </w:p>
    <w:p w14:paraId="635AD553" w14:textId="1C9593CD" w:rsidR="00636361" w:rsidRDefault="00000000" w:rsidP="00106600">
      <w:pPr>
        <w:ind w:firstLine="420"/>
        <w:rPr>
          <w:lang w:eastAsia="zh-CN"/>
        </w:rPr>
      </w:pPr>
      <w:r>
        <w:rPr>
          <w:lang w:eastAsia="zh-CN"/>
        </w:rPr>
        <w:t>如图2-1所示，一次仿真由连续推进的若干天组成。仿真开始后，系统进入当天的P1-P6六阶段流程；完成P6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T。</w:t>
      </w:r>
    </w:p>
    <w:p w14:paraId="2EB6CA2A" w14:textId="77777777" w:rsidR="00636361" w:rsidRDefault="00000000" w:rsidP="00106600">
      <w:pPr>
        <w:ind w:firstLine="420"/>
        <w:rPr>
          <w:lang w:eastAsia="zh-CN"/>
        </w:rPr>
      </w:pPr>
      <w:r>
        <w:rPr>
          <w:lang w:eastAsia="zh-CN"/>
        </w:rPr>
        <w:t>在仿真实验中，系统按照含有6个阶段（P1-P6）的日循环运行。本文将一次P1-P6循环称为“一天”。一天中的6个阶段依次为P1企业决策阶段、P2银行决策阶段、P3贷款发放阶段、P4商品交易阶段、P5生产阶段和P6结算阶段。由于本文重点是主体决策模型的训练方案，具体生产公式、交易规则和银行约束沿用既有研究[1]，本文不展开重复推导。</w:t>
      </w:r>
    </w:p>
    <w:p w14:paraId="35766E26" w14:textId="77777777" w:rsidR="00636361" w:rsidRDefault="00000000" w:rsidP="001A17F2">
      <w:pPr>
        <w:pStyle w:val="21"/>
        <w:rPr>
          <w:lang w:eastAsia="zh-CN"/>
        </w:rPr>
      </w:pPr>
      <w:r>
        <w:rPr>
          <w:lang w:eastAsia="zh-CN"/>
        </w:rPr>
        <w:t>2.2  主体决策问题</w:t>
      </w:r>
    </w:p>
    <w:p w14:paraId="1B6C66D2" w14:textId="77777777" w:rsidR="00636361" w:rsidRDefault="00000000" w:rsidP="00106600">
      <w:pPr>
        <w:ind w:firstLine="420"/>
        <w:rPr>
          <w:lang w:eastAsia="zh-CN"/>
        </w:rPr>
      </w:pPr>
      <w:r>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动作经过贷款、交易、生产和结算环节共同改变系统状态。因此，主体决策问题可以表述为：在多主体持续交互和局部信息约束下，根据当前可观测状态确定连续动作，并使动作与后续环境演化相衔接。</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状态输入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动作输出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决策机制需要在既定状态空间和动作空间下处理当前信息，并对持续交互过程中的历史关联进行表达。第3章和第4章分别给出单步状态输入下的生产企业训练方案及其历史状态表征扩展。</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327945"/>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327945"/>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图3-1所示Actor以当前状态向量作为唯一输入。第一隐藏层形成128维中间特征，第二隐藏层进一步形成32维特征，其输出直接进入动作输出层并生成连续经营动作。该网络构成GAIL+TD3模型中的单步Actor。第4.2节所述扩展模型将当前状态向量与Transformer历史特征先行拼接，并将拼接结果输入一组独立的全连接动作头。</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采用批量对齐机制。每一次网络参数更新阶段只从经验池采样一次生产企业经验批量。该批量的状态-动作部分用于构造判别器中的生成样本，该批量的完整经验样本又用于TD3的Critic目标值计算。因此，判别器给出的模仿奖励与Critic使用的环境奖励和下一状态在样本索引上保持一致。</w:t>
      </w:r>
    </w:p>
    <w:p w14:paraId="5CC3F728" w14:textId="77777777" w:rsidR="00636361" w:rsidRDefault="00000000" w:rsidP="001A17F2">
      <w:pPr>
        <w:pStyle w:val="21"/>
        <w:rPr>
          <w:lang w:eastAsia="zh-CN"/>
        </w:rPr>
      </w:pPr>
      <w:r>
        <w:rPr>
          <w:lang w:eastAsia="zh-CN"/>
        </w:rPr>
        <w:t>3.2 模型训练方案</w:t>
      </w:r>
    </w:p>
    <w:p w14:paraId="64EDABF2" w14:textId="77777777" w:rsidR="00636361" w:rsidRDefault="00000000" w:rsidP="00106600">
      <w:pPr>
        <w:ind w:firstLine="420"/>
        <w:rPr>
          <w:lang w:eastAsia="zh-CN"/>
        </w:rPr>
      </w:pPr>
      <w:r>
        <w:rPr>
          <w:lang w:eastAsia="zh-CN"/>
        </w:rPr>
        <w:t>模型训练通过连续执行多次仿真推进。本文将从环境初始化开始，经过若干天连续运行，直至触发第2.1节所述终止条件的一次完整仿真记为一个回合（episode）。一个回合包含若干天，每一天均依次执行P1-P6六个阶段。由多个回合构成的整体训练流程如图3-2所示。</w:t>
      </w:r>
    </w:p>
    <w:p>
      <w:pPr>
        <w:ind w:firstLine="420"/>
        <w:jc w:val="center"/>
        <w:rPr>
          <w:lang w:eastAsia="zh-CN"/>
        </w:rPr>
      </w:pPr>
      <w:r>
        <w:drawing>
          <wp:inline xmlns:a="http://schemas.openxmlformats.org/drawingml/2006/main" xmlns:pic="http://schemas.openxmlformats.org/drawingml/2006/picture">
            <wp:extent cx="5486400" cy="2579303"/>
            <wp:docPr id="2068173013" name="Picture 2068173013"/>
            <wp:cNvGraphicFramePr>
              <a:graphicFrameLocks noChangeAspect="1"/>
            </wp:cNvGraphicFramePr>
            <a:graphic>
              <a:graphicData uri="http://schemas.openxmlformats.org/drawingml/2006/picture">
                <pic:pic>
                  <pic:nvPicPr>
                    <pic:cNvPr id="0" name="初步设计的仿真运行规则示意图.png"/>
                    <pic:cNvPicPr/>
                  </pic:nvPicPr>
                  <pic:blipFill>
                    <a:blip r:embed="rId28"/>
                    <a:stretch>
                      <a:fillRect/>
                    </a:stretch>
                  </pic:blipFill>
                  <pic:spPr>
                    <a:xfrm>
                      <a:off x="0" y="0"/>
                      <a:ext cx="5486400" cy="2579303"/>
                    </a:xfrm>
                    <a:prstGeom prst="rect"/>
                  </pic:spPr>
                </pic:pic>
              </a:graphicData>
            </a:graphic>
          </wp:inline>
        </w:drawing>
      </w:r>
    </w:p>
    <w:p>
      <w:pPr>
        <w:spacing w:after="120" w:line="288" w:lineRule="auto"/>
        <w:ind w:firstLine="420"/>
        <w:jc w:val="center"/>
        <w:rPr>
          <w:lang w:eastAsia="zh-CN"/>
        </w:rPr>
      </w:pPr>
      <w:r>
        <w:rPr>
          <w:lang w:eastAsia="zh-CN"/>
        </w:rPr>
        <w:t>图3-2  模型训练中的多回合仿真流程</w:t>
      </w:r>
    </w:p>
    <w:p>
      <w:pPr>
        <w:ind w:firstLine="420"/>
        <w:rPr>
          <w:lang w:eastAsia="zh-CN"/>
        </w:rPr>
      </w:pPr>
      <w:r>
        <w:rPr>
          <w:lang w:eastAsia="zh-CN"/>
        </w:rPr>
        <w:t>当一个回合结束时，系统重置仿真环境和各主体属性，并以新的初始状态开始下一回合。生产企业主体的Actor、Critic和判别器参数以及经验池不随环境重置而清空，而是在跨回合交互中持续更新。交互过程中产生的状态、动作、奖励、下一状态和终止标记被写入经验池，从而将单个回合内的环境演化与跨回合的模型训练衔接起来。</w:t>
      </w:r>
    </w:p>
    <w:p>
      <w:pPr>
        <w:ind w:firstLine="420"/>
        <w:rPr>
          <w:lang w:eastAsia="zh-CN"/>
        </w:rPr>
      </w:pPr>
      <w:r>
        <w:rPr>
          <w:lang w:eastAsia="zh-CN"/>
        </w:rPr>
        <w:t>在上述多回合交互框架下，本文基于第3.1节定义的Actor、专家样本和在线经验样本，将生成对抗模仿学习引入生产企业主体的TD3训练过程。生产企业Actor同时承担TD3策略网络和GAIL生成器的作用；经验池中的生产企业交互样本为判别器训练、模仿奖励构造和Critic价值估计提供统一的数据接口。</w:t>
      </w:r>
    </w:p>
    <w:p w14:paraId="0CEA4AC5" w14:textId="77777777" w:rsidR="00636361" w:rsidRDefault="00000000" w:rsidP="00106600">
      <w:pPr>
        <w:ind w:firstLine="420"/>
        <w:rPr>
          <w:lang w:eastAsia="zh-CN"/>
        </w:rPr>
      </w:pPr>
      <w:r>
        <w:rPr>
          <w:lang w:eastAsia="zh-CN"/>
        </w:rPr>
        <w:t>图3-3进一步展示了生成对抗模仿学习与TD3的联合训练流程。专家行为样本为判别器提供专家分布参照，生产企业在线交互形成的状态-动作对构成生成样本。判别器根据两类样本之间的差异产生模仿奖励；该奖励与环境奖励融合后进入Critic目标值计算，并通过Critic对策略动作的价值估计影响Actor更新。模仿学习信号在训练过程中的传递路径可以概括为“判别器—融合奖励—Critic—Actor”。</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图3-3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pPr>
        <w:ind w:firstLine="420"/>
        <w:rPr>
          <w:lang w:eastAsia="zh-CN"/>
        </w:rPr>
      </w:pPr>
      <w:r>
        <w:rPr>
          <w:lang w:eastAsia="zh-CN"/>
        </w:rPr>
        <w:t>三条分支的Transformer编码器均采用单层结构和可学习的位置嵌入，其主要参数设置见表4-1。Actor与Critic分支的历史表征维度均为32，判别器分支的历史表征维度为100；三个分支的历史窗口长度均为5，注意力头数均为1。各分支分别维护独立的线性映射、位置嵌入、Transformer编码器和归一化参数，彼此不共享参数。</w:t>
      </w:r>
    </w:p>
    <w:p>
      <w:pPr>
        <w:spacing w:before="40" w:after="80" w:line="288" w:lineRule="auto"/>
        <w:ind w:firstLineChars="0" w:firstLine="0"/>
        <w:jc w:val="center"/>
        <w:rPr>
          <w:lang w:eastAsia="zh-CN"/>
        </w:rPr>
      </w:pPr>
      <w:r>
        <w:rPr>
          <w:sz w:val="18"/>
          <w:lang w:eastAsia="zh-CN"/>
        </w:rPr>
        <w:t>表4-1 Transformer表征模块参数设置</w:t>
      </w:r>
    </w:p>
    <w:tbl>
      <w:tblPr>
        <w:tblStyle w:val="2a"/>
        <w:tblW w:type="dxa" w:w="8640"/>
        <w:jc w:val="center"/>
        <w:tblLayout w:type="fixed"/>
        <w:tblLook w:firstColumn="1" w:firstRow="1" w:lastColumn="0" w:lastRow="0" w:noHBand="0" w:noVBand="1" w:val="04A0"/>
      </w:tblPr>
      <w:tblGrid>
        <w:gridCol w:w="1224"/>
        <w:gridCol w:w="3384"/>
        <w:gridCol w:w="1296"/>
        <w:gridCol w:w="1440"/>
        <w:gridCol w:w="1296"/>
      </w:tblGrid>
      <w:tr>
        <w:tc>
          <w:tcPr>
            <w:tcW w:type="dxa" w:w="1224"/>
            <w:vAlign w:val="center"/>
            <w:tcBorders>
              <w:left w:val="nil"/>
              <w:right w:val="nil"/>
              <w:insideH w:val="nil"/>
              <w:insideV w:val="nil"/>
              <w:top w:val="single" w:sz="10" w:space="0" w:color="000000"/>
              <w:bottom w:val="single" w:sz="6" w:space="0" w:color="000000"/>
            </w:tcBorders>
          </w:tcPr>
          <w:p>
            <w:pPr>
              <w:jc w:val="center"/>
            </w:pPr>
            <w:r>
              <w:t>分支</w:t>
            </w:r>
          </w:p>
        </w:tc>
        <w:tc>
          <w:tcPr>
            <w:tcW w:type="dxa" w:w="3384"/>
            <w:vAlign w:val="center"/>
            <w:tcBorders>
              <w:left w:val="nil"/>
              <w:right w:val="nil"/>
              <w:insideH w:val="nil"/>
              <w:insideV w:val="nil"/>
              <w:top w:val="single" w:sz="10" w:space="0" w:color="000000"/>
              <w:bottom w:val="single" w:sz="6" w:space="0" w:color="000000"/>
            </w:tcBorders>
          </w:tcPr>
          <w:p>
            <w:pPr>
              <w:jc w:val="center"/>
            </w:pPr>
            <w:r>
              <w:t>历史输入</w:t>
            </w:r>
          </w:p>
        </w:tc>
        <w:tc>
          <w:tcPr>
            <w:tcW w:type="dxa" w:w="1296"/>
            <w:vAlign w:val="center"/>
            <w:tcBorders>
              <w:left w:val="nil"/>
              <w:right w:val="nil"/>
              <w:insideH w:val="nil"/>
              <w:insideV w:val="nil"/>
              <w:top w:val="single" w:sz="10" w:space="0" w:color="000000"/>
              <w:bottom w:val="single" w:sz="6" w:space="0" w:color="000000"/>
            </w:tcBorders>
          </w:tcPr>
          <w:p>
            <w:pPr>
              <w:jc w:val="center"/>
            </w:pPr>
            <w:r>
              <w:t>序列长度</w:t>
            </w:r>
          </w:p>
        </w:tc>
        <w:tc>
          <w:tcPr>
            <w:tcW w:type="dxa" w:w="1440"/>
            <w:vAlign w:val="center"/>
            <w:tcBorders>
              <w:left w:val="nil"/>
              <w:right w:val="nil"/>
              <w:insideH w:val="nil"/>
              <w:insideV w:val="nil"/>
              <w:top w:val="single" w:sz="10" w:space="0" w:color="000000"/>
              <w:bottom w:val="single" w:sz="6" w:space="0" w:color="000000"/>
            </w:tcBorders>
          </w:tcPr>
          <w:p>
            <w:pPr>
              <w:jc w:val="center"/>
            </w:pPr>
            <w:r>
              <w:t>注意力头数</w:t>
            </w:r>
          </w:p>
        </w:tc>
        <w:tc>
          <w:tcPr>
            <w:tcW w:type="dxa" w:w="1296"/>
            <w:vAlign w:val="center"/>
            <w:tcBorders>
              <w:left w:val="nil"/>
              <w:right w:val="nil"/>
              <w:insideH w:val="nil"/>
              <w:insideV w:val="nil"/>
              <w:top w:val="single" w:sz="10" w:space="0" w:color="000000"/>
              <w:bottom w:val="single" w:sz="6" w:space="0" w:color="000000"/>
            </w:tcBorders>
          </w:tcPr>
          <w:p>
            <w:pPr>
              <w:jc w:val="center"/>
            </w:pPr>
            <w:r>
              <w:t>表征维度</w:t>
            </w:r>
          </w:p>
        </w:tc>
      </w:tr>
      <w:tr>
        <w:tc>
          <w:tcPr>
            <w:tcW w:type="dxa" w:w="1224"/>
            <w:vAlign w:val="center"/>
            <w:tcBorders>
              <w:left w:val="nil"/>
              <w:right w:val="nil"/>
              <w:insideH w:val="nil"/>
              <w:insideV w:val="nil"/>
              <w:top w:val="nil"/>
              <w:bottom w:val="nil"/>
            </w:tcBorders>
          </w:tcPr>
          <w:p>
            <w:pPr>
              <w:jc w:val="center"/>
            </w:pPr>
            <w:r>
              <w:rPr>
                <w:rFonts w:hint="eastAsia"/>
                <w:b w:val="0"/>
                <w:bCs w:val="0"/>
              </w:rPr>
              <w:t>Actor</w:t>
            </w:r>
          </w:p>
        </w:tc>
        <w:tc>
          <w:tcPr>
            <w:tcW w:type="dxa" w:w="3384"/>
            <w:vAlign w:val="center"/>
            <w:tcBorders>
              <w:left w:val="nil"/>
              <w:right w:val="nil"/>
              <w:insideH w:val="nil"/>
              <w:insideV w:val="nil"/>
              <w:top w:val="nil"/>
              <w:bottom w:val="nil"/>
            </w:tcBorders>
          </w:tcPr>
          <w:p>
            <w:pPr>
              <w:jc w:val="center"/>
            </w:pPr>
            <w:r>
              <w:rPr>
                <w:rFonts w:hint="eastAsia"/>
                <w:b w:val="0"/>
                <w:bCs w:val="0"/>
              </w:rPr>
              <w:t>状态序列</w:t>
            </w:r>
          </w:p>
        </w:tc>
        <w:tc>
          <w:tcPr>
            <w:tcW w:type="dxa" w:w="1296"/>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296"/>
            <w:vAlign w:val="center"/>
            <w:tcBorders>
              <w:left w:val="nil"/>
              <w:right w:val="nil"/>
              <w:insideH w:val="nil"/>
              <w:insideV w:val="nil"/>
              <w:top w:val="nil"/>
              <w:bottom w:val="nil"/>
            </w:tcBorders>
          </w:tcPr>
          <w:p>
            <w:pPr>
              <w:jc w:val="center"/>
            </w:pPr>
            <w:r>
              <w:rPr>
                <w:rFonts w:hint="eastAsia"/>
                <w:b w:val="0"/>
                <w:bCs w:val="0"/>
              </w:rPr>
              <w:t>32</w:t>
            </w:r>
          </w:p>
        </w:tc>
      </w:tr>
      <w:tr>
        <w:tc>
          <w:tcPr>
            <w:tcW w:type="dxa" w:w="1224"/>
            <w:vAlign w:val="center"/>
            <w:tcBorders>
              <w:left w:val="nil"/>
              <w:right w:val="nil"/>
              <w:insideH w:val="nil"/>
              <w:insideV w:val="nil"/>
              <w:top w:val="nil"/>
              <w:bottom w:val="nil"/>
            </w:tcBorders>
          </w:tcPr>
          <w:p>
            <w:pPr>
              <w:jc w:val="center"/>
            </w:pPr>
            <w:r>
              <w:rPr>
                <w:rFonts w:hint="eastAsia"/>
                <w:b w:val="0"/>
                <w:bCs w:val="0"/>
              </w:rPr>
              <w:t>Critic</w:t>
            </w:r>
          </w:p>
        </w:tc>
        <w:tc>
          <w:tcPr>
            <w:tcW w:type="dxa" w:w="3384"/>
            <w:vAlign w:val="center"/>
            <w:tcBorders>
              <w:left w:val="nil"/>
              <w:right w:val="nil"/>
              <w:insideH w:val="nil"/>
              <w:insideV w:val="nil"/>
              <w:top w:val="nil"/>
              <w:bottom w:val="nil"/>
            </w:tcBorders>
          </w:tcPr>
          <w:p>
            <w:pPr>
              <w:jc w:val="center"/>
            </w:pPr>
            <w:r>
              <w:rPr>
                <w:rFonts w:hint="eastAsia"/>
                <w:b w:val="0"/>
                <w:bCs w:val="0"/>
              </w:rPr>
              <w:t>状态—动作序列</w:t>
            </w:r>
          </w:p>
        </w:tc>
        <w:tc>
          <w:tcPr>
            <w:tcW w:type="dxa" w:w="1296"/>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296"/>
            <w:vAlign w:val="center"/>
            <w:tcBorders>
              <w:left w:val="nil"/>
              <w:right w:val="nil"/>
              <w:insideH w:val="nil"/>
              <w:insideV w:val="nil"/>
              <w:top w:val="nil"/>
              <w:bottom w:val="nil"/>
            </w:tcBorders>
          </w:tcPr>
          <w:p>
            <w:pPr>
              <w:jc w:val="center"/>
            </w:pPr>
            <w:r>
              <w:rPr>
                <w:rFonts w:hint="eastAsia"/>
                <w:b w:val="0"/>
                <w:bCs w:val="0"/>
              </w:rPr>
              <w:t>32</w:t>
            </w:r>
          </w:p>
        </w:tc>
      </w:tr>
      <w:tr>
        <w:tc>
          <w:tcPr>
            <w:tcW w:type="dxa" w:w="1224"/>
            <w:vAlign w:val="center"/>
            <w:tcBorders>
              <w:left w:val="nil"/>
              <w:right w:val="nil"/>
              <w:insideH w:val="nil"/>
              <w:insideV w:val="nil"/>
              <w:top w:val="nil"/>
              <w:bottom w:val="single" w:sz="10" w:space="0" w:color="000000"/>
            </w:tcBorders>
          </w:tcPr>
          <w:p>
            <w:pPr>
              <w:jc w:val="center"/>
            </w:pPr>
            <w:r>
              <w:rPr>
                <w:rFonts w:hint="eastAsia"/>
                <w:b w:val="0"/>
                <w:bCs w:val="0"/>
              </w:rPr>
              <w:t>判别器</w:t>
            </w:r>
          </w:p>
        </w:tc>
        <w:tc>
          <w:tcPr>
            <w:tcW w:type="dxa" w:w="3384"/>
            <w:vAlign w:val="center"/>
            <w:tcBorders>
              <w:left w:val="nil"/>
              <w:right w:val="nil"/>
              <w:insideH w:val="nil"/>
              <w:insideV w:val="nil"/>
              <w:top w:val="nil"/>
              <w:bottom w:val="single" w:sz="10" w:space="0" w:color="000000"/>
            </w:tcBorders>
          </w:tcPr>
          <w:p>
            <w:pPr>
              <w:jc w:val="center"/>
            </w:pPr>
            <w:r>
              <w:rPr>
                <w:rFonts w:hint="eastAsia"/>
                <w:b w:val="0"/>
                <w:bCs w:val="0"/>
              </w:rPr>
              <w:t>专家或生成状态—动作序列</w:t>
            </w:r>
          </w:p>
        </w:tc>
        <w:tc>
          <w:tcPr>
            <w:tcW w:type="dxa" w:w="1296"/>
            <w:vAlign w:val="center"/>
            <w:tcBorders>
              <w:left w:val="nil"/>
              <w:right w:val="nil"/>
              <w:insideH w:val="nil"/>
              <w:insideV w:val="nil"/>
              <w:top w:val="nil"/>
              <w:bottom w:val="single" w:sz="10" w:space="0" w:color="000000"/>
            </w:tcBorders>
          </w:tcPr>
          <w:p>
            <w:pPr>
              <w:jc w:val="center"/>
            </w:pPr>
            <w:r>
              <w:rPr>
                <w:rFonts w:hint="eastAsia"/>
                <w:b w:val="0"/>
                <w:bCs w:val="0"/>
              </w:rPr>
              <w:t>5</w:t>
            </w:r>
          </w:p>
        </w:tc>
        <w:tc>
          <w:tcPr>
            <w:tcW w:type="dxa" w:w="1440"/>
            <w:vAlign w:val="center"/>
            <w:tcBorders>
              <w:left w:val="nil"/>
              <w:right w:val="nil"/>
              <w:insideH w:val="nil"/>
              <w:insideV w:val="nil"/>
              <w:top w:val="nil"/>
              <w:bottom w:val="single" w:sz="10" w:space="0" w:color="000000"/>
            </w:tcBorders>
          </w:tcPr>
          <w:p>
            <w:pPr>
              <w:jc w:val="center"/>
            </w:pPr>
            <w:r>
              <w:rPr>
                <w:rFonts w:hint="eastAsia"/>
                <w:b w:val="0"/>
                <w:bCs w:val="0"/>
              </w:rPr>
              <w:t>1</w:t>
            </w:r>
          </w:p>
        </w:tc>
        <w:tc>
          <w:tcPr>
            <w:tcW w:type="dxa" w:w="1296"/>
            <w:vAlign w:val="center"/>
            <w:tcBorders>
              <w:left w:val="nil"/>
              <w:right w:val="nil"/>
              <w:insideH w:val="nil"/>
              <w:insideV w:val="nil"/>
              <w:top w:val="nil"/>
              <w:bottom w:val="single" w:sz="10" w:space="0" w:color="000000"/>
            </w:tcBorders>
          </w:tcPr>
          <w:p>
            <w:pPr>
              <w:jc w:val="center"/>
            </w:pPr>
            <w:r>
              <w:rPr>
                <w:rFonts w:hint="eastAsia"/>
                <w:b w:val="0"/>
                <w:bCs w:val="0"/>
              </w:rPr>
              <w:t>100</w:t>
            </w:r>
          </w:p>
        </w:tc>
      </w:tr>
    </w:tbl>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486400" cy="6009455"/>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486400" cy="6009455"/>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为统一描述Actor、Critic和判别器三个分支中结构相同的历史信息处理过程，本文将序列嵌入、Transformer编码和末时刻特征读取抽象为基于Transformer的历史序列表征模块。三个分支分别实例化该模块，各实例采用相同的网络拓扑，但参数彼此独立。图4-1在下方集中给出了该模块的内部结构，并在上方展示三个模块实例与各分支任务输出之间的连接关系。在表4-1所列参数设置下，Actor分支以历史状态序列作为表征模块的输入。每一个状态向量先经过线性映射进入隐藏空间，再与可学习的位置嵌入相加。随后，单层Transformer编码器对历史窗口进行编码。编码器输出的最后一个时间位置向量经归一化后形成32维历史状态特征。该特征与33维当前状态向量拼接为65维联合输入，并由独立的128-32-4全连接动作头生成连续动作。该过程定义如下：</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按回合组织为历史窗口，生成样本由生产企业在线交互轨迹按回合位置构造。每个时间位置的33维状态与4维动作组成37维状态—动作向量，该向量经线性映射进入100维隐藏空间，并与可学习的位置嵌入相加。单层Transformer编码器对长度为5的窗口进行编码，最后一个时间位置的编码结果经归一化后形成100维历史状态—动作特征。判别器输出头将该特征映射为logits，并经Sigmoid函数得到专家概率。其形式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04334986" w14:textId="7EB1EC5B" w:rsidR="00D80834" w:rsidRDefault="00D80834" w:rsidP="00106600">
      <w:pPr>
        <w:ind w:firstLine="420"/>
        <w:rPr>
          <w:lang w:eastAsia="zh-CN"/>
        </w:rPr>
      </w:pPr>
      <w:r>
        <w:rPr>
          <w:lang w:eastAsia="zh-CN"/>
        </w:rPr>
        <w:t>Transformer+GAIL+TD3训练方案保持第3章所述的奖励融合方式、Actor-Critic参数更新顺序和环境交互规则不变，并在生产企业主体的Actor、Critic和判别器中分别加入基于Transformer的历史序列表征模块。Actor分支将当前状态与历史状态特征拼接后输入独立动作头；Critic分支将当前状态—动作对与历史状态—动作特征拼接后输入双Q值估计分支；判别器分支根据历史状态—动作窗口输出专家概率。</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r>
        <w:rPr>
          <w:lang w:eastAsia="zh-CN"/>
        </w:rPr>
        <w:t>判别器提供模仿学习信号，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在上述训练过程中，本文跟踪平均存活天数、生产企业累计收益、累计归一化学习曲线下面积、学习速度、生产企业偿债能力和生成对抗模仿学习组件有效性六项评价指标。各项指标的定义如下。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（6）生成对抗模仿学习组件有效性。本文采用Jensen–Shannon散度、重叠系数和受试者工作特征曲线下面积评价生成对抗模仿学习组件。其中，Jensen–Shannon散度（JS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下一节首先从判别器与Actor生成器两个方面检验生成对抗模仿学习组件的有效性，随后在第6.4节引入历史状态序列表征，以考察模型利用连续交互信息后能否进一步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w:t>
            </w:r>
            <w:r>
              <w:rPr>
                <w:sz w:val="17"/>
              </w:rPr>
              <w:t>（</w:t>
            </w:r>
            <w:r>
              <w:rPr>
                <w:sz w:val="17"/>
              </w:rPr>
              <w:t>±5.25%</w:t>
            </w:r>
            <w:r>
              <w:rPr>
                <w:sz w:val="17"/>
              </w:rPr>
              <w:t>）</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180.43K</w:t>
            </w:r>
            <w:r>
              <w:rPr>
                <w:sz w:val="17"/>
              </w:rPr>
              <w:t>（</w:t>
            </w:r>
            <w:r>
              <w:rPr>
                <w:sz w:val="17"/>
              </w:rPr>
              <w:t>±34.82%</w:t>
            </w:r>
            <w:r>
              <w:rPr>
                <w:sz w:val="17"/>
              </w:rPr>
              <w:t>）</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w:t>
            </w:r>
            <w:r>
              <w:rPr>
                <w:sz w:val="17"/>
              </w:rPr>
              <w:t>（</w:t>
            </w:r>
            <w:r>
              <w:rPr>
                <w:sz w:val="17"/>
              </w:rPr>
              <w:t>±4.37%</w:t>
            </w:r>
            <w:r>
              <w:rPr>
                <w:sz w:val="17"/>
              </w:rPr>
              <w:t>）</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14</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pPr>
        <w:pStyle w:val="21"/>
        <w:rPr>
          <w:lang w:eastAsia="zh-CN"/>
        </w:rPr>
      </w:pPr>
      <w:r>
        <w:rPr>
          <w:lang w:eastAsia="zh-CN"/>
        </w:rPr>
        <w:t>6.3 生成对抗模仿学习组件有效性分析</w:t>
      </w:r>
    </w:p>
    <w:p>
      <w:pPr>
        <w:ind w:firstLine="420"/>
        <w:rPr>
          <w:lang w:eastAsia="zh-CN"/>
        </w:rPr>
      </w:pPr>
      <w:r>
        <w:rPr>
          <w:lang w:eastAsia="zh-CN"/>
        </w:rPr>
        <w:t>第6.2节的训练结果表明，引入生成对抗模仿学习后，生产企业主体能够以较少的训练回合达到较高的平均存活水平。然而，平均存活天数属于系统运行结果层面的综合指标，同时受到商品交易、信贷关系及其他主体行为等多种因素影响，难以单独刻画生成对抗模仿学习组件的运行状态；若直接逐一计算Actor生成动作与专家动作之间的误差，所得结果又容易受到多维连续动作各分量尺度及样本差异的影响，难以反映两类行为在整体分布上的接近程度。基于此，本文利用固定判别器将不同来源的状态—动作样本映射至统一的得分空间：首先通过JS散度、重叠系数和AUC评价最终判别器对动作扰动的识别能力，随后根据历史Actor与专家样本得分分布之间的JS散度变化，分析Actor生成行为在训练过程中的模仿效果。</w:t>
      </w:r>
    </w:p>
    <w:p>
      <w:pPr>
        <w:ind w:firstLine="420"/>
        <w:rPr>
          <w:lang w:eastAsia="zh-CN"/>
        </w:rPr>
      </w:pPr>
      <w:r>
        <w:rPr>
          <w:lang w:eastAsia="zh-CN"/>
        </w:rPr>
        <w:t>第一步检验最终判别器对动作扰动的识别能力。本文选取一组独立运行对应的最终判别器作为评价尺度，在留出测试集的16952条专家状态—动作样本上叠加标准差为0.30的独立高斯噪声，并将动作裁剪至[-0.5,0.5]。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最终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式中，D表示判别器；hat{s}_i表示第i个专家状态；带星号的φ_r表示第r次独立运行对应的最终判别器参数；d_i^E和d_i^N分别表示第i个专家样本与加噪专家样本的判别器得分。图6-2给出了两组样本的判别器得分分布。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最终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在标准差为0.30的动作扰动条件下，最终判别器能够识别加噪动作相对于专家动作的偏离，并倾向于给予专家样本更高的评分。</w:t>
      </w:r>
    </w:p>
    <w:p>
      <w:pPr>
        <w:ind w:firstLine="420"/>
        <w:rPr>
          <w:lang w:eastAsia="zh-CN"/>
        </w:rPr>
      </w:pPr>
      <w:r>
        <w:rPr>
          <w:lang w:eastAsia="zh-CN"/>
        </w:rPr>
        <w:t>第二步检验历史Actor生成行为在训练过程中的变化。本文选取3次独立运行，分别以各次运行对应的最终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最终判别器下的得分分布结果表明，历史Actor生成行为在训练过程中总体向专家样本接近。</w:t>
      </w:r>
    </w:p>
    <w:p>
      <w:pPr>
        <w:ind w:firstLine="420"/>
        <w:rPr>
          <w:lang w:eastAsia="zh-CN"/>
        </w:rPr>
      </w:pPr>
      <w:r>
        <w:rPr>
          <w:lang w:eastAsia="zh-CN"/>
        </w:rPr>
        <w:t>两步评价分别从判别器对扰动行为的识别能力和Actor生成行为的训练演化两个方面检验了生成对抗模仿学习组件。最终判别器能够识别具有明确动作扰动的样本，历史Actor相对于训练初期则形成了更接近专家得分分布的生成行为。上述结果为第6.2节中模仿学习信号改善生产企业主体前期训练表现提供了组件层面的实验证据。</w:t>
      </w:r>
    </w:p>
    <w:p w14:paraId="0DD2C01D" w14:textId="77777777" w:rsidR="00181A75" w:rsidRDefault="00181A75" w:rsidP="000C01B6">
      <w:pPr>
        <w:pStyle w:val="21"/>
        <w:rPr>
          <w:lang w:eastAsia="zh-CN"/>
        </w:rPr>
      </w:pPr>
      <w:r>
        <w:rPr>
          <w:lang w:eastAsia="zh-CN"/>
        </w:rPr>
        <w:t>6.4 GAIL+TD3与Transformer+GAIL+TD3的结果对比</w:t>
      </w:r>
    </w:p>
    <w:p w14:paraId="6920CFAE" w14:textId="7F7AFF6B" w:rsidR="00181A75" w:rsidRDefault="001E0DA4" w:rsidP="000C01B6">
      <w:pPr>
        <w:ind w:firstLine="420"/>
        <w:rPr>
          <w:lang w:eastAsia="zh-CN"/>
        </w:rPr>
      </w:pPr>
      <w:r>
        <w:rPr>
          <w:lang w:eastAsia="zh-CN"/>
        </w:rPr>
        <w:t>在完成生成对抗模仿学习组件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14</w:t>
      </w:r>
      <w:r>
        <w:rPr>
          <w:rFonts w:hint="eastAsia"/>
          <w:lang w:eastAsia="zh-CN"/>
        </w:rPr>
        <w:t>个，并在第</w:t>
      </w:r>
      <w:r>
        <w:rPr>
          <w:rFonts w:hint="eastAsia"/>
          <w:lang w:eastAsia="zh-CN"/>
        </w:rPr>
        <w:t>20</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Pr>
          <w:rFonts w:hint="eastAsia"/>
          <w:lang w:eastAsia="zh-CN"/>
        </w:rPr>
        <w:t>90.24</w:t>
      </w:r>
      <w:r>
        <w:rPr>
          <w:rFonts w:hint="eastAsia"/>
          <w:lang w:eastAsia="zh-CN"/>
        </w:rPr>
        <w:t>天，与专家轨迹平均值的差距由</w:t>
      </w:r>
      <w:r>
        <w:rPr>
          <w:rFonts w:hint="eastAsia"/>
          <w:lang w:eastAsia="zh-CN"/>
        </w:rPr>
        <w:t>17.28</w:t>
      </w:r>
      <w:r>
        <w:rPr>
          <w:rFonts w:hint="eastAsia"/>
          <w:lang w:eastAsia="zh-CN"/>
        </w:rPr>
        <w:t>天缩小至</w:t>
      </w:r>
      <w:r>
        <w:rPr>
          <w:rFonts w:hint="eastAsia"/>
          <w:lang w:eastAsia="zh-CN"/>
        </w:rPr>
        <w:t>7.75</w:t>
      </w:r>
      <w:r>
        <w:rPr>
          <w:rFonts w:hint="eastAsia"/>
          <w:lang w:eastAsia="zh-CN"/>
        </w:rPr>
        <w:t>天，缩小幅度</w:t>
      </w:r>
      <w:r>
        <w:rPr>
          <w:rFonts w:hint="eastAsia"/>
          <w:lang w:eastAsia="zh-CN"/>
        </w:rPr>
        <w:lastRenderedPageBreak/>
        <w:t>约为</w:t>
      </w:r>
      <w:r>
        <w:rPr>
          <w:rFonts w:hint="eastAsia"/>
          <w:lang w:eastAsia="zh-CN"/>
        </w:rPr>
        <w:t>55.2%</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Pr>
          <w:rFonts w:hint="eastAsia"/>
          <w:lang w:eastAsia="zh-CN"/>
        </w:rPr>
        <w:t>0.773</w:t>
      </w:r>
      <w:r>
        <w:rPr>
          <w:rFonts w:hint="eastAsia"/>
          <w:lang w:eastAsia="zh-CN"/>
        </w:rPr>
        <w:t>，增幅约为</w:t>
      </w:r>
      <w:r>
        <w:rPr>
          <w:rFonts w:hint="eastAsia"/>
          <w:lang w:eastAsia="zh-CN"/>
        </w:rPr>
        <w:t>13.2%</w:t>
      </w:r>
      <w:r>
        <w:rPr>
          <w:rFonts w:hint="eastAsia"/>
          <w:lang w:eastAsia="zh-CN"/>
        </w:rPr>
        <w:t>；生产企业最终稳定累计收益由</w:t>
      </w:r>
      <w:r>
        <w:rPr>
          <w:rFonts w:hint="eastAsia"/>
          <w:lang w:eastAsia="zh-CN"/>
        </w:rPr>
        <w:t>126.35K</w:t>
      </w:r>
      <w:r>
        <w:rPr>
          <w:rFonts w:hint="eastAsia"/>
          <w:lang w:eastAsia="zh-CN"/>
        </w:rPr>
        <w:t>提高至</w:t>
      </w:r>
      <w:r>
        <w:rPr>
          <w:rFonts w:hint="eastAsia"/>
          <w:lang w:eastAsia="zh-CN"/>
        </w:rPr>
        <w:t>180.43K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主体决策模型基础上引入生成对抗模仿学习，并进一步采用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动作数据，并从学习速度、专家轨迹存活水平接近程度、主体累计收益和生产企业偿债能力等方面，比较</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三种主体训练方案。主要研究结论如下。</w:t>
      </w:r>
    </w:p>
    <w:p w14:paraId="39145297" w14:textId="77777777" w:rsidR="001E0DA4" w:rsidRDefault="001E0DA4" w:rsidP="001E0DA4">
      <w:pPr>
        <w:ind w:firstLine="420"/>
        <w:rPr>
          <w:lang w:eastAsia="zh-CN"/>
        </w:rPr>
      </w:pPr>
      <w:r>
        <w:rPr>
          <w:lang w:eastAsia="zh-CN"/>
        </w:rPr>
        <w:t>首先，生成对抗模仿学习信号缩短了生产企业主体达到较高存活水平所需的训练过程。与</w:t>
      </w:r>
      <w:r>
        <w:rPr>
          <w:lang w:eastAsia="zh-CN"/>
        </w:rPr>
        <w:t>TD3</w:t>
      </w:r>
      <w:r>
        <w:rPr>
          <w:lang w:eastAsia="zh-CN"/>
        </w:rPr>
        <w:t>相比，</w:t>
      </w:r>
      <w:r>
        <w:rPr>
          <w:lang w:eastAsia="zh-CN"/>
        </w:rPr>
        <w:t>GAIL+TD3</w:t>
      </w:r>
      <w:r>
        <w:rPr>
          <w:lang w:eastAsia="zh-CN"/>
        </w:rPr>
        <w:t>达到</w:t>
      </w:r>
      <w:r>
        <w:rPr>
          <w:lang w:eastAsia="zh-CN"/>
        </w:rPr>
        <w:t>80</w:t>
      </w:r>
      <w:r>
        <w:rPr>
          <w:lang w:eastAsia="zh-CN"/>
        </w:rPr>
        <w:t>天所需的评估时刻由</w:t>
      </w:r>
      <w:r>
        <w:rPr>
          <w:lang w:eastAsia="zh-CN"/>
        </w:rPr>
        <w:t>44</w:t>
      </w:r>
      <w:r>
        <w:rPr>
          <w:lang w:eastAsia="zh-CN"/>
        </w:rPr>
        <w:t>缩短至</w:t>
      </w:r>
      <w:r>
        <w:rPr>
          <w:lang w:eastAsia="zh-CN"/>
        </w:rPr>
        <w:t>17</w:t>
      </w:r>
      <w:r>
        <w:rPr>
          <w:lang w:eastAsia="zh-CN"/>
        </w:rPr>
        <w:t>，提前</w:t>
      </w:r>
      <w:r>
        <w:rPr>
          <w:lang w:eastAsia="zh-CN"/>
        </w:rPr>
        <w:t>27</w:t>
      </w:r>
      <w:r>
        <w:rPr>
          <w:lang w:eastAsia="zh-CN"/>
        </w:rPr>
        <w:t>个评估时刻；第</w:t>
      </w:r>
      <w:r>
        <w:rPr>
          <w:lang w:eastAsia="zh-CN"/>
        </w:rPr>
        <w:t>60</w:t>
      </w:r>
      <w:r>
        <w:rPr>
          <w:lang w:eastAsia="zh-CN"/>
        </w:rPr>
        <w:t>个评估时刻的累计归一化学习曲线下面积由</w:t>
      </w:r>
      <w:r>
        <w:rPr>
          <w:lang w:eastAsia="zh-CN"/>
        </w:rPr>
        <w:t>0.435</w:t>
      </w:r>
      <w:r>
        <w:rPr>
          <w:lang w:eastAsia="zh-CN"/>
        </w:rPr>
        <w:t>提高至</w:t>
      </w:r>
      <w:r>
        <w:rPr>
          <w:lang w:eastAsia="zh-CN"/>
        </w:rPr>
        <w:t>0.683</w:t>
      </w:r>
      <w:r>
        <w:rPr>
          <w:lang w:eastAsia="zh-CN"/>
        </w:rPr>
        <w:t>。专家状态</w:t>
      </w:r>
      <w:r>
        <w:rPr>
          <w:lang w:eastAsia="zh-CN"/>
        </w:rPr>
        <w:t>—</w:t>
      </w:r>
      <w:r>
        <w:rPr>
          <w:lang w:eastAsia="zh-CN"/>
        </w:rPr>
        <w:t>动作样本经由判别器形成的模仿奖励为生产企业主体提供了额外的学习信息，使模型以较少的训练回合达到</w:t>
      </w:r>
      <w:r>
        <w:rPr>
          <w:lang w:eastAsia="zh-CN"/>
        </w:rPr>
        <w:t>80</w:t>
      </w:r>
      <w:r>
        <w:rPr>
          <w:lang w:eastAsia="zh-CN"/>
        </w:rPr>
        <w:t>天，并在完整训练区间内取得较高的累积平均存活表现。</w:t>
      </w:r>
    </w:p>
    <w:p w14:paraId="5BB13987" w14:textId="77777777" w:rsidR="001E0DA4" w:rsidRDefault="001E0DA4" w:rsidP="001E0DA4">
      <w:pPr>
        <w:ind w:firstLine="420"/>
        <w:rPr>
          <w:lang w:eastAsia="zh-CN"/>
        </w:rPr>
      </w:pPr>
      <w:r>
        <w:rPr>
          <w:lang w:eastAsia="zh-CN"/>
        </w:rPr>
        <w:t>其次，引入</w:t>
      </w:r>
      <w:r>
        <w:rPr>
          <w:lang w:eastAsia="zh-CN"/>
        </w:rPr>
        <w:t>Transformer</w:t>
      </w:r>
      <w:r>
        <w:rPr>
          <w:lang w:eastAsia="zh-CN"/>
        </w:rPr>
        <w:t>编码器后，模型的学习速度和稳定阶段存活水平得到进一步改善。</w:t>
      </w:r>
      <w:r>
        <w:rPr>
          <w:lang w:eastAsia="zh-CN"/>
        </w:rPr>
        <w:t>Transformer+GAIL+TD3</w:t>
      </w:r>
      <w:r>
        <w:rPr>
          <w:lang w:eastAsia="zh-CN"/>
        </w:rPr>
        <w:t>在第</w:t>
      </w:r>
      <w:r>
        <w:rPr>
          <w:lang w:eastAsia="zh-CN"/>
        </w:rPr>
        <w:t>14</w:t>
      </w:r>
      <w:r>
        <w:rPr>
          <w:lang w:eastAsia="zh-CN"/>
        </w:rPr>
        <w:t>个评估时刻达到</w:t>
      </w:r>
      <w:r>
        <w:rPr>
          <w:lang w:eastAsia="zh-CN"/>
        </w:rPr>
        <w:t>80</w:t>
      </w:r>
      <w:r>
        <w:rPr>
          <w:lang w:eastAsia="zh-CN"/>
        </w:rPr>
        <w:t>天，并在第</w:t>
      </w:r>
      <w:r>
        <w:rPr>
          <w:lang w:eastAsia="zh-CN"/>
        </w:rPr>
        <w:t>20</w:t>
      </w:r>
      <w:r>
        <w:rPr>
          <w:lang w:eastAsia="zh-CN"/>
        </w:rPr>
        <w:t>个评估时刻达到</w:t>
      </w:r>
      <w:r>
        <w:rPr>
          <w:lang w:eastAsia="zh-CN"/>
        </w:rPr>
        <w:t>90</w:t>
      </w:r>
      <w:r>
        <w:rPr>
          <w:lang w:eastAsia="zh-CN"/>
        </w:rPr>
        <w:t>天；其最终稳定平均存活天数由</w:t>
      </w:r>
      <w:r>
        <w:rPr>
          <w:lang w:eastAsia="zh-CN"/>
        </w:rPr>
        <w:t>80.71</w:t>
      </w:r>
      <w:r>
        <w:rPr>
          <w:lang w:eastAsia="zh-CN"/>
        </w:rPr>
        <w:t>天提高至</w:t>
      </w:r>
      <w:r>
        <w:rPr>
          <w:lang w:eastAsia="zh-CN"/>
        </w:rPr>
        <w:t>90.24</w:t>
      </w:r>
      <w:r>
        <w:rPr>
          <w:lang w:eastAsia="zh-CN"/>
        </w:rPr>
        <w:t>天，与专家轨迹平均值的差距由</w:t>
      </w:r>
      <w:r>
        <w:rPr>
          <w:lang w:eastAsia="zh-CN"/>
        </w:rPr>
        <w:t>17.28</w:t>
      </w:r>
      <w:r>
        <w:rPr>
          <w:lang w:eastAsia="zh-CN"/>
        </w:rPr>
        <w:t>天缩小至</w:t>
      </w:r>
      <w:r>
        <w:rPr>
          <w:lang w:eastAsia="zh-CN"/>
        </w:rPr>
        <w:t>7.75</w:t>
      </w:r>
      <w:r>
        <w:rPr>
          <w:lang w:eastAsia="zh-CN"/>
        </w:rPr>
        <w:t>天，第</w:t>
      </w:r>
      <w:r>
        <w:rPr>
          <w:lang w:eastAsia="zh-CN"/>
        </w:rPr>
        <w:t>60</w:t>
      </w:r>
      <w:r>
        <w:rPr>
          <w:lang w:eastAsia="zh-CN"/>
        </w:rPr>
        <w:t>个评估时刻的累计归一化学习曲线下面积由</w:t>
      </w:r>
      <w:r>
        <w:rPr>
          <w:lang w:eastAsia="zh-CN"/>
        </w:rPr>
        <w:t>0.683</w:t>
      </w:r>
      <w:r>
        <w:rPr>
          <w:lang w:eastAsia="zh-CN"/>
        </w:rPr>
        <w:t>提高至</w:t>
      </w:r>
      <w:r>
        <w:rPr>
          <w:lang w:eastAsia="zh-CN"/>
        </w:rPr>
        <w:t>0.773</w:t>
      </w:r>
      <w:r>
        <w:rPr>
          <w:lang w:eastAsia="zh-CN"/>
        </w:rPr>
        <w:t>。上述结果说明，历史状态序列增强了生产企业主体对跨时段交互信息的表征，并使模型在平均存活天数方面进一步接近专家轨迹。</w:t>
      </w:r>
    </w:p>
    <w:p w14:paraId="1F4A0248" w14:textId="38F8E59B" w:rsidR="00815AAA" w:rsidRDefault="001E0DA4" w:rsidP="001E0DA4">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r w:rsidR="00815AAA">
        <w:rPr>
          <w:lang w:eastAsia="zh-CN"/>
        </w:rPr>
        <w:t>。</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