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1C9593CD"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w:t>
      </w:r>
      <w:r w:rsidR="00861972">
        <w:rPr>
          <w:rFonts w:hint="eastAsia"/>
          <w:lang w:eastAsia="zh-CN"/>
        </w:rPr>
        <w:t>预设</w:t>
      </w:r>
      <w:r>
        <w:rPr>
          <w:lang w:eastAsia="zh-CN"/>
        </w:rPr>
        <w:t>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r>
        <w:rPr>
          <w:lang w:eastAsia="zh-CN"/>
        </w:rPr>
        <w:t>个阶段（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r>
        <w:rPr>
          <w:lang w:eastAsia="zh-CN"/>
        </w:rPr>
        <w:t>个阶段依次为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在生成对抗模仿学习与TD3的联合训练框架中，生产企业主体需要通过可训练的策略模型形成连续经营决策，并为后续的判别器训练与价值估计提供状态—动作样本。为此，本文首先对生产企业主体的Actor神经网络、状态输入、动作输出和经验样本进行统一定义。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生产企业Actor的网络结构如图3-1所示。</w:t>
      </w:r>
    </w:p>
    <w:p>
      <w:pPr>
        <w:ind w:firstLine="420"/>
        <w:jc w:val="center"/>
        <w:rPr>
          <w:lang w:eastAsia="zh-CN"/>
        </w:rPr>
      </w:pPr>
      <w:r>
        <w:drawing>
          <wp:inline xmlns:a="http://schemas.openxmlformats.org/drawingml/2006/main" xmlns:pic="http://schemas.openxmlformats.org/drawingml/2006/picture">
            <wp:extent cx="5486400" cy="2327945"/>
            <wp:docPr id="2068173012" name="Picture 2068173012"/>
            <wp:cNvGraphicFramePr>
              <a:graphicFrameLocks noChangeAspect="1"/>
            </wp:cNvGraphicFramePr>
            <a:graphic>
              <a:graphicData uri="http://schemas.openxmlformats.org/drawingml/2006/picture">
                <pic:pic>
                  <pic:nvPicPr>
                    <pic:cNvPr id="0" name="production_actor_network_structure.png"/>
                    <pic:cNvPicPr/>
                  </pic:nvPicPr>
                  <pic:blipFill>
                    <a:blip r:embed="rId27"/>
                    <a:stretch>
                      <a:fillRect/>
                    </a:stretch>
                  </pic:blipFill>
                  <pic:spPr>
                    <a:xfrm>
                      <a:off x="0" y="0"/>
                      <a:ext cx="5486400" cy="2327945"/>
                    </a:xfrm>
                    <a:prstGeom prst="rect"/>
                  </pic:spPr>
                </pic:pic>
              </a:graphicData>
            </a:graphic>
          </wp:inline>
        </w:drawing>
      </w:r>
    </w:p>
    <w:p>
      <w:pPr>
        <w:spacing w:after="120" w:line="288" w:lineRule="auto"/>
        <w:ind w:firstLine="420"/>
        <w:jc w:val="center"/>
        <w:rPr>
          <w:lang w:eastAsia="zh-CN"/>
        </w:rPr>
      </w:pPr>
      <w:r>
        <w:rPr>
          <w:lang w:eastAsia="zh-CN"/>
        </w:rPr>
        <w:t>图3-1  生产企业Actor神经网络结构</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两个隐藏层共同承担当前状态的特征表示任务。第一隐藏层形成128维中间特征，第二隐藏层进一步形成32维特征，动作输出层据此生成连续经营动作。因此，本章Actor采用基于当前观测的单步状态特征表示。第4章将在该结构基础上引入Transformer编码器，并进一步说明历史状态序列特征与Actor当前状态特征的融合方式。</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采用批量对齐机制。每一次网络参数更新阶段只从经验池采样一次生产企业经验批量。该批量的状态-动作部分用于构造判别器中的生成样本，该批量的完整经验样本又用于TD3的Critic目标值计算。因此，判别器给出的模仿奖励与Critic使用的环境奖励和下一状态在样本索引上保持一致。</w:t>
      </w:r>
    </w:p>
    <w:p w14:paraId="5CC3F728" w14:textId="77777777" w:rsidR="00636361" w:rsidRDefault="00000000" w:rsidP="001A17F2">
      <w:pPr>
        <w:pStyle w:val="21"/>
        <w:rPr>
          <w:lang w:eastAsia="zh-CN"/>
        </w:rPr>
      </w:pPr>
      <w:r>
        <w:rPr>
          <w:lang w:eastAsia="zh-CN"/>
        </w:rPr>
        <w:t>3.2 模型训练方案</w:t>
      </w:r>
    </w:p>
    <w:p w14:paraId="64EDABF2" w14:textId="77777777" w:rsidR="00636361" w:rsidRDefault="00000000" w:rsidP="00106600">
      <w:pPr>
        <w:ind w:firstLine="420"/>
        <w:rPr>
          <w:lang w:eastAsia="zh-CN"/>
        </w:rPr>
      </w:pPr>
      <w:r>
        <w:rPr>
          <w:lang w:eastAsia="zh-CN"/>
        </w:rPr>
        <w:t>基于第3.1节定义的Actor、专家样本和在线经验样本，本文将生成对抗模仿学习引入生产企业主体的TD3训练过程。在该方案中，生产企业Actor同时承担TD3策略网络和GAIL生成器的作用。该方案以经验池中的生产企业交互样本为统一数据基础，使判别器训练、模仿奖励构造和Critic价值估计在同一状态—动作样本接口下衔接，并由Critic的价值估计驱动Actor更新。</w:t>
      </w:r>
    </w:p>
    <w:p w14:paraId="0CEA4AC5" w14:textId="77777777" w:rsidR="00636361" w:rsidRDefault="00000000" w:rsidP="00106600">
      <w:pPr>
        <w:ind w:firstLine="420"/>
        <w:rPr>
          <w:lang w:eastAsia="zh-CN"/>
        </w:rPr>
      </w:pPr>
      <w:r>
        <w:rPr>
          <w:lang w:eastAsia="zh-CN"/>
        </w:rPr>
        <w:t>图3-2给出了基于生成对抗模仿学习与TD3的主体训练方案。在该方案中，专家行为样本为判别器提供专家分布参照，生产企业在线交互样本构成生成样本。判别器根据两类状态-动作样本之间的差异产生模仿奖励。本文将该模仿奖励与环境奖励融合，并将融合奖励用于TD3的Critic目标值计算，使GAIL信号通过价值估计影响Actor更新。模仿学习信号进入策略学习过程的路径可以概括为“判别器—融合奖励—Critic—Actor”。</w:t>
      </w:r>
    </w:p>
    <w:p w14:paraId="1343119B" w14:textId="77777777" w:rsidR="00636361" w:rsidRDefault="00000000" w:rsidP="001000AD">
      <w:pPr>
        <w:ind w:firstLineChars="0" w:firstLine="0"/>
        <w:jc w:val="center"/>
      </w:pPr>
      <w:r>
        <w:rPr>
          <w:noProof/>
        </w:rPr>
        <w:drawing>
          <wp:inline distT="0" distB="0" distL="0" distR="0" wp14:anchorId="540FF763" wp14:editId="03926F3B">
            <wp:extent cx="5486400" cy="2152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486400" cy="2152416"/>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图3-2  基于生成对抗模仿学习与TD3的主体训练方案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Transformer </w:t>
      </w:r>
      <w:r>
        <w:rPr>
          <w:lang w:eastAsia="zh-CN"/>
        </w:rPr>
        <w:t>编码器对历史窗口进行编码。编码器输出的最后一个时间位置向量经归一化后作为历史状态特征，并与当前状态向量拼接，输入后续动作生成网络。该过程可表示为：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判别器侧也保留序列输入接口。专家数据先按回合组织为历史窗口，生成样本则由生产企业在线交互轨迹按回合位置构造。判别器输入为长度为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编码器后，取最后一个时间位置的编码向量输出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更新顺序和环境交互规则，而是在生产企业主体的网络输入端加入历史状态或历史状态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r>
        <w:rPr>
          <w:lang w:eastAsia="zh-CN"/>
        </w:rPr>
        <w:t>判别器提供模仿学习信号，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sidRPr="00C12DA3">
              <w:rPr>
                <w:rFonts w:hint="eastAsia"/>
                <w:lang w:eastAsia="zh-CN"/>
              </w:rPr>
              <w:t>8</w:t>
            </w:r>
            <w:r w:rsidRPr="00C12DA3">
              <w:rPr>
                <w:rFonts w:hint="eastAsia"/>
                <w:lang w:eastAsia="zh-CN"/>
              </w:rPr>
              <w:t>次独立运行的均值及均值上下</w:t>
            </w:r>
            <w:r w:rsidRPr="00C12DA3">
              <w:rPr>
                <w:rFonts w:hint="eastAsia"/>
                <w:lang w:eastAsia="zh-CN"/>
              </w:rPr>
              <w:t>1</w:t>
            </w:r>
            <w:r w:rsidRPr="00C12DA3">
              <w:rPr>
                <w:rFonts w:hint="eastAsia"/>
                <w:lang w:eastAsia="zh-CN"/>
              </w:rPr>
              <w:t>个</w:t>
            </w:r>
            <w:r w:rsidRPr="00C12DA3">
              <w:rPr>
                <w:rFonts w:hint="eastAsia"/>
                <w:lang w:eastAsia="zh-CN"/>
              </w:rPr>
              <w:t>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在上述训练过程中，本文跟踪平均存活天数、生产企业累计收益、累计归一化学习曲线下面积、学习速度、生产企业偿债能力和生成对抗模仿学习组件有效性六项评价指标。各项指标的定义如下。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w:t>
      </w:r>
      <w:r>
        <w:rPr>
          <w:lang w:eastAsia="zh-CN"/>
        </w:rPr>
        <w:t>S</w:t>
      </w:r>
      <w:r>
        <w:rPr>
          <w:lang w:eastAsia="zh-CN"/>
        </w:rPr>
        <w:t>表示独立运行次数，本文取</w:t>
      </w:r>
      <w:r>
        <w:rPr>
          <w:lang w:eastAsia="zh-CN"/>
        </w:rPr>
        <w:t>S=8</w:t>
      </w:r>
      <w:r>
        <w:rPr>
          <w:lang w:eastAsia="zh-CN"/>
        </w:rPr>
        <w:t>；</w:t>
      </w:r>
      <w:r>
        <w:rPr>
          <w:lang w:eastAsia="zh-CN"/>
        </w:rPr>
        <w:t>r</w:t>
      </w:r>
      <w:r>
        <w:rPr>
          <w:lang w:eastAsia="zh-CN"/>
        </w:rPr>
        <w:t>表示独立运行编号；</w:t>
      </w:r>
      <w:r>
        <w:rPr>
          <w:lang w:eastAsia="zh-CN"/>
        </w:rPr>
        <w:t>μ</w:t>
      </w:r>
      <w:r>
        <w:rPr>
          <w:lang w:eastAsia="zh-CN"/>
        </w:rPr>
        <w:t>表示第</w:t>
      </w:r>
      <w:r>
        <w:rPr>
          <w:lang w:eastAsia="zh-CN"/>
        </w:rPr>
        <w:t>k</w:t>
      </w:r>
      <w:r>
        <w:rPr>
          <w:lang w:eastAsia="zh-CN"/>
        </w:rPr>
        <w:t>个评估时刻的平均存活天数均值；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w:r>
        <w:rPr>
          <w:lang w:eastAsia="zh-CN"/>
        </w:rPr>
        <w:t>T</w:t>
      </w:r>
      <w:r>
        <w:rPr>
          <w:lang w:eastAsia="zh-CN"/>
        </w:rPr>
        <w:t>表示均值曲线达到目标值所需的评估时刻。较小的</w:t>
      </w:r>
      <w:r>
        <w:rPr>
          <w:lang w:eastAsia="zh-CN"/>
        </w:rPr>
        <w:t>T</w:t>
      </w:r>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（6）生成对抗模仿学习组件有效性。本文采用Jensen–Shannon散度、重叠系数和受试者工作特征曲线下面积评价生成对抗模仿学习组件。其中，Jensen–Shannon散度（JS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17307959" w:rsidR="002B5830" w:rsidRDefault="00A26CC5" w:rsidP="002B5830">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天。为定量比较三种模型的训练表现，本文对每次独立运行在最后</w:t>
      </w:r>
      <w:r>
        <w:rPr>
          <w:lang w:eastAsia="zh-CN"/>
        </w:rPr>
        <w:t>20</w:t>
      </w:r>
      <w:r>
        <w:rPr>
          <w:lang w:eastAsia="zh-CN"/>
        </w:rPr>
        <w:t>个评估时刻的平均存活天数和生产企业累计收益分别取均值，再在</w:t>
      </w:r>
      <w:r>
        <w:rPr>
          <w:lang w:eastAsia="zh-CN"/>
        </w:rPr>
        <w:t>8</w:t>
      </w:r>
      <w:r>
        <w:rPr>
          <w:lang w:eastAsia="zh-CN"/>
        </w:rPr>
        <w:t>次独立运行之间计算总体均值和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下一节首先从判别器与Actor生成器两个方面检验生成对抗模仿学习组件的有效性，随后在第6.4节引入历史状态序列表征，以考察模型利用连续交互信息后能否进一步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w:t>
            </w:r>
            <w:r>
              <w:rPr>
                <w:sz w:val="17"/>
              </w:rPr>
              <w:t>（</w:t>
            </w:r>
            <w:r>
              <w:rPr>
                <w:sz w:val="17"/>
              </w:rPr>
              <w:t>±5.25%</w:t>
            </w:r>
            <w:r>
              <w:rPr>
                <w:sz w:val="17"/>
              </w:rPr>
              <w:t>）</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180.43K</w:t>
            </w:r>
            <w:r>
              <w:rPr>
                <w:sz w:val="17"/>
              </w:rPr>
              <w:t>（</w:t>
            </w:r>
            <w:r>
              <w:rPr>
                <w:sz w:val="17"/>
              </w:rPr>
              <w:t>±34.82%</w:t>
            </w:r>
            <w:r>
              <w:rPr>
                <w:sz w:val="17"/>
              </w:rPr>
              <w:t>）</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w:t>
            </w:r>
            <w:r>
              <w:rPr>
                <w:sz w:val="17"/>
              </w:rPr>
              <w:t>（</w:t>
            </w:r>
            <w:r>
              <w:rPr>
                <w:sz w:val="17"/>
              </w:rPr>
              <w:t>±4.37%</w:t>
            </w:r>
            <w:r>
              <w:rPr>
                <w:sz w:val="17"/>
              </w:rPr>
              <w:t>）</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14</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w:t>
      </w:r>
      <w:r w:rsidR="00BC70A9">
        <w:rPr>
          <w:sz w:val="17"/>
          <w:lang w:eastAsia="zh-CN"/>
        </w:rPr>
        <w:t>平均存活天数和生产企业累计收益为每次独立运行最后</w:t>
      </w:r>
      <w:r w:rsidR="00BC70A9">
        <w:rPr>
          <w:sz w:val="17"/>
          <w:lang w:eastAsia="zh-CN"/>
        </w:rPr>
        <w:t>20</w:t>
      </w:r>
      <w:r w:rsidR="00BC70A9">
        <w:rPr>
          <w:sz w:val="17"/>
          <w:lang w:eastAsia="zh-CN"/>
        </w:rPr>
        <w:t>个评估时刻的均值，再对</w:t>
      </w:r>
      <w:r w:rsidR="00BC70A9">
        <w:rPr>
          <w:sz w:val="17"/>
          <w:lang w:eastAsia="zh-CN"/>
        </w:rPr>
        <w:t>8</w:t>
      </w:r>
      <w:r w:rsidR="00BC70A9">
        <w:rPr>
          <w:sz w:val="17"/>
          <w:lang w:eastAsia="zh-CN"/>
        </w:rPr>
        <w:t>次运行进行统计；</w:t>
      </w:r>
      <w:proofErr w:type="spellStart"/>
      <w:r w:rsidR="00BC70A9">
        <w:rPr>
          <w:sz w:val="17"/>
          <w:lang w:eastAsia="zh-CN"/>
        </w:rPr>
        <w:t>nAULC</w:t>
      </w:r>
      <w:proofErr w:type="spellEnd"/>
      <w:r w:rsidR="00BC70A9">
        <w:rPr>
          <w:sz w:val="17"/>
          <w:lang w:eastAsia="zh-CN"/>
        </w:rPr>
        <w:t>采用第</w:t>
      </w:r>
      <w:r w:rsidR="00BC70A9">
        <w:rPr>
          <w:sz w:val="17"/>
          <w:lang w:eastAsia="zh-CN"/>
        </w:rPr>
        <w:t>60</w:t>
      </w:r>
      <w:r w:rsidR="00BC70A9">
        <w:rPr>
          <w:sz w:val="17"/>
          <w:lang w:eastAsia="zh-CN"/>
        </w:rPr>
        <w:t>个评估时刻的数值。括号内为相对</w:t>
      </w:r>
      <w:r w:rsidR="00BC70A9">
        <w:rPr>
          <w:sz w:val="17"/>
          <w:lang w:eastAsia="zh-CN"/>
        </w:rPr>
        <w:t>SEM</w:t>
      </w:r>
      <w:r w:rsidR="00BC70A9">
        <w:rPr>
          <w:sz w:val="17"/>
          <w:lang w:eastAsia="zh-CN"/>
        </w:rPr>
        <w:t>，</w:t>
      </w:r>
      <w:r w:rsidR="00BC70A9">
        <w:rPr>
          <w:sz w:val="17"/>
          <w:lang w:eastAsia="zh-CN"/>
        </w:rPr>
        <w:t>K</w:t>
      </w:r>
      <w:r w:rsidR="00BC70A9">
        <w:rPr>
          <w:sz w:val="17"/>
          <w:lang w:eastAsia="zh-CN"/>
        </w:rPr>
        <w:t>表示</w:t>
      </w:r>
      <w:r w:rsidR="00BC70A9">
        <w:rPr>
          <w:sz w:val="17"/>
          <w:lang w:eastAsia="zh-CN"/>
        </w:rPr>
        <w:t>10³</w:t>
      </w:r>
      <w:r w:rsidR="00BC70A9">
        <w:rPr>
          <w:sz w:val="17"/>
          <w:lang w:eastAsia="zh-CN"/>
        </w:rPr>
        <w:t>。学习速度依据</w:t>
      </w:r>
      <w:r w:rsidR="00BC70A9">
        <w:rPr>
          <w:sz w:val="17"/>
          <w:lang w:eastAsia="zh-CN"/>
        </w:rPr>
        <w:t>8</w:t>
      </w:r>
      <w:r w:rsidR="00BC70A9">
        <w:rPr>
          <w:sz w:val="17"/>
          <w:lang w:eastAsia="zh-CN"/>
        </w:rPr>
        <w:t>次独立运行的平均存活天数均值曲线计算；</w:t>
      </w:r>
      <w:r w:rsidR="00BC70A9">
        <w:rPr>
          <w:sz w:val="17"/>
          <w:lang w:eastAsia="zh-CN"/>
        </w:rPr>
        <w:t>“</w:t>
      </w:r>
      <w:r w:rsidR="00BC70A9">
        <w:rPr>
          <w:sz w:val="17"/>
          <w:lang w:eastAsia="zh-CN"/>
        </w:rPr>
        <w:t>未达到</w:t>
      </w:r>
      <w:r w:rsidR="00BC70A9">
        <w:rPr>
          <w:sz w:val="17"/>
          <w:lang w:eastAsia="zh-CN"/>
        </w:rPr>
        <w:t>”</w:t>
      </w:r>
      <w:r w:rsidR="00BC70A9">
        <w:rPr>
          <w:sz w:val="17"/>
          <w:lang w:eastAsia="zh-CN"/>
        </w:rPr>
        <w:t>表示均值曲线截至第</w:t>
      </w:r>
      <w:r w:rsidR="00BC70A9">
        <w:rPr>
          <w:sz w:val="17"/>
          <w:lang w:eastAsia="zh-CN"/>
        </w:rPr>
        <w:t>60</w:t>
      </w:r>
      <w:r w:rsidR="00BC70A9">
        <w:rPr>
          <w:sz w:val="17"/>
          <w:lang w:eastAsia="zh-CN"/>
        </w:rPr>
        <w:t>个评估时刻仍未连续</w:t>
      </w:r>
      <w:r w:rsidR="00BC70A9">
        <w:rPr>
          <w:sz w:val="17"/>
          <w:lang w:eastAsia="zh-CN"/>
        </w:rPr>
        <w:t>3</w:t>
      </w:r>
      <w:r w:rsidR="00BC70A9">
        <w:rPr>
          <w:sz w:val="17"/>
          <w:lang w:eastAsia="zh-CN"/>
        </w:rPr>
        <w:t>个评估时刻达到相应目标值</w:t>
      </w:r>
      <w:r>
        <w:rPr>
          <w:sz w:val="17"/>
          <w:lang w:eastAsia="zh-CN"/>
        </w:rPr>
        <w:t>。</w:t>
      </w:r>
    </w:p>
    <w:p>
      <w:pPr>
        <w:pStyle w:val="21"/>
        <w:rPr>
          <w:lang w:eastAsia="zh-CN"/>
        </w:rPr>
      </w:pPr>
      <w:r>
        <w:rPr>
          <w:lang w:eastAsia="zh-CN"/>
        </w:rPr>
        <w:t>6.3 生成对抗模仿学习组件有效性分析</w:t>
      </w:r>
    </w:p>
    <w:p>
      <w:pPr>
        <w:ind w:firstLine="420"/>
        <w:rPr>
          <w:lang w:eastAsia="zh-CN"/>
        </w:rPr>
      </w:pPr>
      <w:r>
        <w:rPr>
          <w:lang w:eastAsia="zh-CN"/>
        </w:rPr>
        <w:t>第6.2节的训练结果表明，引入生成对抗模仿学习后，生产企业主体能够以较少的训练回合达到较高的平均存活水平。然而，平均存活天数属于系统运行结果层面的综合指标，同时受到商品交易、信贷关系及其他主体行为等多种因素影响，难以单独刻画生成对抗模仿学习组件的运行状态；若直接逐一计算Actor生成动作与专家动作之间的误差，所得结果又容易受到多维连续动作各分量尺度及样本差异的影响，难以反映两类行为在整体分布上的接近程度。基于此，本文利用固定判别器将不同来源的状态—动作样本映射至统一的得分空间：首先通过JS散度、重叠系数和AUC评价最终判别器对动作扰动的识别能力，随后根据历史Actor与专家样本得分分布之间的JS散度变化，分析Actor生成行为在训练过程中的模仿效果。</w:t>
      </w:r>
    </w:p>
    <w:p>
      <w:pPr>
        <w:ind w:firstLine="420"/>
        <w:rPr>
          <w:lang w:eastAsia="zh-CN"/>
        </w:rPr>
      </w:pPr>
      <w:r>
        <w:rPr>
          <w:lang w:eastAsia="zh-CN"/>
        </w:rPr>
        <w:t>第一步检验最终判别器对动作扰动的识别能力。本文选取一组独立运行对应的最终判别器作为评价尺度，在留出测试集的16952条专家状态—动作样本上叠加标准差为0.30的独立高斯噪声，并将动作裁剪至[-0.5,0.5]。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最终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式中，D表示判别器；hat{s}_i表示第i个专家状态；带星号的φ_r表示第r次独立运行对应的最终判别器参数；d_i^E和d_i^N分别表示第i个专家样本与加噪专家样本的判别器得分。图6-2给出了两组样本的判别器得分分布。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最终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在标准差为0.30的动作扰动条件下，最终判别器能够识别加噪动作相对于专家动作的偏离，并倾向于给予专家样本更高的评分。</w:t>
      </w:r>
    </w:p>
    <w:p>
      <w:pPr>
        <w:ind w:firstLine="420"/>
        <w:rPr>
          <w:lang w:eastAsia="zh-CN"/>
        </w:rPr>
      </w:pPr>
      <w:r>
        <w:rPr>
          <w:lang w:eastAsia="zh-CN"/>
        </w:rPr>
        <w:t>第二步检验历史Actor生成行为在训练过程中的变化。本文选取3次独立运行，分别以各次运行对应的最终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最终判别器下的得分分布结果表明，历史Actor生成行为在训练过程中总体向专家样本接近。</w:t>
      </w:r>
    </w:p>
    <w:p>
      <w:pPr>
        <w:ind w:firstLine="420"/>
        <w:rPr>
          <w:lang w:eastAsia="zh-CN"/>
        </w:rPr>
      </w:pPr>
      <w:r>
        <w:rPr>
          <w:lang w:eastAsia="zh-CN"/>
        </w:rPr>
        <w:t>两步评价分别从判别器对扰动行为的识别能力和Actor生成行为的训练演化两个方面检验了生成对抗模仿学习组件。最终判别器能够识别具有明确动作扰动的样本，历史Actor相对于训练初期则形成了更接近专家得分分布的生成行为。上述结果为第6.2节中模仿学习信号改善生产企业主体前期训练表现提供了组件层面的实验证据。</w:t>
      </w:r>
    </w:p>
    <w:p w14:paraId="0DD2C01D" w14:textId="77777777" w:rsidR="00181A75" w:rsidRDefault="00181A75" w:rsidP="000C01B6">
      <w:pPr>
        <w:pStyle w:val="21"/>
        <w:rPr>
          <w:lang w:eastAsia="zh-CN"/>
        </w:rPr>
      </w:pPr>
      <w:r>
        <w:rPr>
          <w:lang w:eastAsia="zh-CN"/>
        </w:rPr>
        <w:t>6.4 GAIL+TD3与Transformer+GAIL+TD3的结果对比</w:t>
      </w:r>
    </w:p>
    <w:p w14:paraId="6920CFAE" w14:textId="7F7AFF6B" w:rsidR="00181A75" w:rsidRDefault="001E0DA4" w:rsidP="000C01B6">
      <w:pPr>
        <w:ind w:firstLine="420"/>
        <w:rPr>
          <w:lang w:eastAsia="zh-CN"/>
        </w:rPr>
      </w:pPr>
      <w:r>
        <w:rPr>
          <w:lang w:eastAsia="zh-CN"/>
        </w:rPr>
        <w:t>在完成生成对抗模仿学习组件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14</w:t>
      </w:r>
      <w:r>
        <w:rPr>
          <w:rFonts w:hint="eastAsia"/>
          <w:lang w:eastAsia="zh-CN"/>
        </w:rPr>
        <w:t>个，并在第</w:t>
      </w:r>
      <w:r>
        <w:rPr>
          <w:rFonts w:hint="eastAsia"/>
          <w:lang w:eastAsia="zh-CN"/>
        </w:rPr>
        <w:t>20</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Pr>
          <w:rFonts w:hint="eastAsia"/>
          <w:lang w:eastAsia="zh-CN"/>
        </w:rPr>
        <w:t>90.24</w:t>
      </w:r>
      <w:r>
        <w:rPr>
          <w:rFonts w:hint="eastAsia"/>
          <w:lang w:eastAsia="zh-CN"/>
        </w:rPr>
        <w:t>天，与专家轨迹平均值的差距由</w:t>
      </w:r>
      <w:r>
        <w:rPr>
          <w:rFonts w:hint="eastAsia"/>
          <w:lang w:eastAsia="zh-CN"/>
        </w:rPr>
        <w:t>17.28</w:t>
      </w:r>
      <w:r>
        <w:rPr>
          <w:rFonts w:hint="eastAsia"/>
          <w:lang w:eastAsia="zh-CN"/>
        </w:rPr>
        <w:t>天缩小至</w:t>
      </w:r>
      <w:r>
        <w:rPr>
          <w:rFonts w:hint="eastAsia"/>
          <w:lang w:eastAsia="zh-CN"/>
        </w:rPr>
        <w:t>7.75</w:t>
      </w:r>
      <w:r>
        <w:rPr>
          <w:rFonts w:hint="eastAsia"/>
          <w:lang w:eastAsia="zh-CN"/>
        </w:rPr>
        <w:t>天，缩小幅度</w:t>
      </w:r>
      <w:r>
        <w:rPr>
          <w:rFonts w:hint="eastAsia"/>
          <w:lang w:eastAsia="zh-CN"/>
        </w:rPr>
        <w:lastRenderedPageBreak/>
        <w:t>约为</w:t>
      </w:r>
      <w:r>
        <w:rPr>
          <w:rFonts w:hint="eastAsia"/>
          <w:lang w:eastAsia="zh-CN"/>
        </w:rPr>
        <w:t>55.2%</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Pr>
          <w:rFonts w:hint="eastAsia"/>
          <w:lang w:eastAsia="zh-CN"/>
        </w:rPr>
        <w:t>0.773</w:t>
      </w:r>
      <w:r>
        <w:rPr>
          <w:rFonts w:hint="eastAsia"/>
          <w:lang w:eastAsia="zh-CN"/>
        </w:rPr>
        <w:t>，增幅约为</w:t>
      </w:r>
      <w:r>
        <w:rPr>
          <w:rFonts w:hint="eastAsia"/>
          <w:lang w:eastAsia="zh-CN"/>
        </w:rPr>
        <w:t>13.2%</w:t>
      </w:r>
      <w:r>
        <w:rPr>
          <w:rFonts w:hint="eastAsia"/>
          <w:lang w:eastAsia="zh-CN"/>
        </w:rPr>
        <w:t>；生产企业最终稳定累计收益由</w:t>
      </w:r>
      <w:r>
        <w:rPr>
          <w:rFonts w:hint="eastAsia"/>
          <w:lang w:eastAsia="zh-CN"/>
        </w:rPr>
        <w:t>126.35K</w:t>
      </w:r>
      <w:r>
        <w:rPr>
          <w:rFonts w:hint="eastAsia"/>
          <w:lang w:eastAsia="zh-CN"/>
        </w:rPr>
        <w:t>提高至</w:t>
      </w:r>
      <w:r>
        <w:rPr>
          <w:rFonts w:hint="eastAsia"/>
          <w:lang w:eastAsia="zh-CN"/>
        </w:rPr>
        <w:t>180.43K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7.75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主体决策模型基础上引入生成对抗模仿学习，并进一步采用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动作数据，并从学习速度、专家轨迹存活水平接近程度、主体累计收益和生产企业偿债能力等方面，比较</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三种主体训练方案。主要研究结论如下。</w:t>
      </w:r>
    </w:p>
    <w:p w14:paraId="39145297" w14:textId="77777777" w:rsidR="001E0DA4" w:rsidRDefault="001E0DA4" w:rsidP="001E0DA4">
      <w:pPr>
        <w:ind w:firstLine="420"/>
        <w:rPr>
          <w:lang w:eastAsia="zh-CN"/>
        </w:rPr>
      </w:pPr>
      <w:r>
        <w:rPr>
          <w:lang w:eastAsia="zh-CN"/>
        </w:rPr>
        <w:t>首先，生成对抗模仿学习信号缩短了生产企业主体达到较高存活水平所需的训练过程。与</w:t>
      </w:r>
      <w:r>
        <w:rPr>
          <w:lang w:eastAsia="zh-CN"/>
        </w:rPr>
        <w:t>TD3</w:t>
      </w:r>
      <w:r>
        <w:rPr>
          <w:lang w:eastAsia="zh-CN"/>
        </w:rPr>
        <w:t>相比，</w:t>
      </w:r>
      <w:r>
        <w:rPr>
          <w:lang w:eastAsia="zh-CN"/>
        </w:rPr>
        <w:t>GAIL+TD3</w:t>
      </w:r>
      <w:r>
        <w:rPr>
          <w:lang w:eastAsia="zh-CN"/>
        </w:rPr>
        <w:t>达到</w:t>
      </w:r>
      <w:r>
        <w:rPr>
          <w:lang w:eastAsia="zh-CN"/>
        </w:rPr>
        <w:t>80</w:t>
      </w:r>
      <w:r>
        <w:rPr>
          <w:lang w:eastAsia="zh-CN"/>
        </w:rPr>
        <w:t>天所需的评估时刻由</w:t>
      </w:r>
      <w:r>
        <w:rPr>
          <w:lang w:eastAsia="zh-CN"/>
        </w:rPr>
        <w:t>44</w:t>
      </w:r>
      <w:r>
        <w:rPr>
          <w:lang w:eastAsia="zh-CN"/>
        </w:rPr>
        <w:t>缩短至</w:t>
      </w:r>
      <w:r>
        <w:rPr>
          <w:lang w:eastAsia="zh-CN"/>
        </w:rPr>
        <w:t>17</w:t>
      </w:r>
      <w:r>
        <w:rPr>
          <w:lang w:eastAsia="zh-CN"/>
        </w:rPr>
        <w:t>，提前</w:t>
      </w:r>
      <w:r>
        <w:rPr>
          <w:lang w:eastAsia="zh-CN"/>
        </w:rPr>
        <w:t>27</w:t>
      </w:r>
      <w:r>
        <w:rPr>
          <w:lang w:eastAsia="zh-CN"/>
        </w:rPr>
        <w:t>个评估时刻；第</w:t>
      </w:r>
      <w:r>
        <w:rPr>
          <w:lang w:eastAsia="zh-CN"/>
        </w:rPr>
        <w:t>60</w:t>
      </w:r>
      <w:r>
        <w:rPr>
          <w:lang w:eastAsia="zh-CN"/>
        </w:rPr>
        <w:t>个评估时刻的累计归一化学习曲线下面积由</w:t>
      </w:r>
      <w:r>
        <w:rPr>
          <w:lang w:eastAsia="zh-CN"/>
        </w:rPr>
        <w:t>0.435</w:t>
      </w:r>
      <w:r>
        <w:rPr>
          <w:lang w:eastAsia="zh-CN"/>
        </w:rPr>
        <w:t>提高至</w:t>
      </w:r>
      <w:r>
        <w:rPr>
          <w:lang w:eastAsia="zh-CN"/>
        </w:rPr>
        <w:t>0.683</w:t>
      </w:r>
      <w:r>
        <w:rPr>
          <w:lang w:eastAsia="zh-CN"/>
        </w:rPr>
        <w:t>。专家状态</w:t>
      </w:r>
      <w:r>
        <w:rPr>
          <w:lang w:eastAsia="zh-CN"/>
        </w:rPr>
        <w:t>—</w:t>
      </w:r>
      <w:r>
        <w:rPr>
          <w:lang w:eastAsia="zh-CN"/>
        </w:rPr>
        <w:t>动作样本经由判别器形成的模仿奖励为生产企业主体提供了额外的学习信息，使模型以较少的训练回合达到</w:t>
      </w:r>
      <w:r>
        <w:rPr>
          <w:lang w:eastAsia="zh-CN"/>
        </w:rPr>
        <w:t>80</w:t>
      </w:r>
      <w:r>
        <w:rPr>
          <w:lang w:eastAsia="zh-CN"/>
        </w:rPr>
        <w:t>天，并在完整训练区间内取得较高的累积平均存活表现。</w:t>
      </w:r>
    </w:p>
    <w:p w14:paraId="5BB13987" w14:textId="77777777" w:rsidR="001E0DA4" w:rsidRDefault="001E0DA4" w:rsidP="001E0DA4">
      <w:pPr>
        <w:ind w:firstLine="420"/>
        <w:rPr>
          <w:lang w:eastAsia="zh-CN"/>
        </w:rPr>
      </w:pPr>
      <w:r>
        <w:rPr>
          <w:lang w:eastAsia="zh-CN"/>
        </w:rPr>
        <w:t>其次，引入</w:t>
      </w:r>
      <w:r>
        <w:rPr>
          <w:lang w:eastAsia="zh-CN"/>
        </w:rPr>
        <w:t>Transformer</w:t>
      </w:r>
      <w:r>
        <w:rPr>
          <w:lang w:eastAsia="zh-CN"/>
        </w:rPr>
        <w:t>编码器后，模型的学习速度和稳定阶段存活水平得到进一步改善。</w:t>
      </w:r>
      <w:r>
        <w:rPr>
          <w:lang w:eastAsia="zh-CN"/>
        </w:rPr>
        <w:t>Transformer+GAIL+TD3</w:t>
      </w:r>
      <w:r>
        <w:rPr>
          <w:lang w:eastAsia="zh-CN"/>
        </w:rPr>
        <w:t>在第</w:t>
      </w:r>
      <w:r>
        <w:rPr>
          <w:lang w:eastAsia="zh-CN"/>
        </w:rPr>
        <w:t>14</w:t>
      </w:r>
      <w:r>
        <w:rPr>
          <w:lang w:eastAsia="zh-CN"/>
        </w:rPr>
        <w:t>个评估时刻达到</w:t>
      </w:r>
      <w:r>
        <w:rPr>
          <w:lang w:eastAsia="zh-CN"/>
        </w:rPr>
        <w:t>80</w:t>
      </w:r>
      <w:r>
        <w:rPr>
          <w:lang w:eastAsia="zh-CN"/>
        </w:rPr>
        <w:t>天，并在第</w:t>
      </w:r>
      <w:r>
        <w:rPr>
          <w:lang w:eastAsia="zh-CN"/>
        </w:rPr>
        <w:t>20</w:t>
      </w:r>
      <w:r>
        <w:rPr>
          <w:lang w:eastAsia="zh-CN"/>
        </w:rPr>
        <w:t>个评估时刻达到</w:t>
      </w:r>
      <w:r>
        <w:rPr>
          <w:lang w:eastAsia="zh-CN"/>
        </w:rPr>
        <w:t>90</w:t>
      </w:r>
      <w:r>
        <w:rPr>
          <w:lang w:eastAsia="zh-CN"/>
        </w:rPr>
        <w:t>天；其最终稳定平均存活天数由</w:t>
      </w:r>
      <w:r>
        <w:rPr>
          <w:lang w:eastAsia="zh-CN"/>
        </w:rPr>
        <w:t>80.71</w:t>
      </w:r>
      <w:r>
        <w:rPr>
          <w:lang w:eastAsia="zh-CN"/>
        </w:rPr>
        <w:t>天提高至</w:t>
      </w:r>
      <w:r>
        <w:rPr>
          <w:lang w:eastAsia="zh-CN"/>
        </w:rPr>
        <w:t>90.24</w:t>
      </w:r>
      <w:r>
        <w:rPr>
          <w:lang w:eastAsia="zh-CN"/>
        </w:rPr>
        <w:t>天，与专家轨迹平均值的差距由</w:t>
      </w:r>
      <w:r>
        <w:rPr>
          <w:lang w:eastAsia="zh-CN"/>
        </w:rPr>
        <w:t>17.28</w:t>
      </w:r>
      <w:r>
        <w:rPr>
          <w:lang w:eastAsia="zh-CN"/>
        </w:rPr>
        <w:t>天缩小至</w:t>
      </w:r>
      <w:r>
        <w:rPr>
          <w:lang w:eastAsia="zh-CN"/>
        </w:rPr>
        <w:t>7.75</w:t>
      </w:r>
      <w:r>
        <w:rPr>
          <w:lang w:eastAsia="zh-CN"/>
        </w:rPr>
        <w:t>天，第</w:t>
      </w:r>
      <w:r>
        <w:rPr>
          <w:lang w:eastAsia="zh-CN"/>
        </w:rPr>
        <w:t>60</w:t>
      </w:r>
      <w:r>
        <w:rPr>
          <w:lang w:eastAsia="zh-CN"/>
        </w:rPr>
        <w:t>个评估时刻的累计归一化学习曲线下面积由</w:t>
      </w:r>
      <w:r>
        <w:rPr>
          <w:lang w:eastAsia="zh-CN"/>
        </w:rPr>
        <w:t>0.683</w:t>
      </w:r>
      <w:r>
        <w:rPr>
          <w:lang w:eastAsia="zh-CN"/>
        </w:rPr>
        <w:t>提高至</w:t>
      </w:r>
      <w:r>
        <w:rPr>
          <w:lang w:eastAsia="zh-CN"/>
        </w:rPr>
        <w:t>0.773</w:t>
      </w:r>
      <w:r>
        <w:rPr>
          <w:lang w:eastAsia="zh-CN"/>
        </w:rPr>
        <w:t>。上述结果说明，历史状态序列增强了生产企业主体对跨时段交互信息的表征，并使模型在平均存活天数方面进一步接近专家轨迹。</w:t>
      </w:r>
    </w:p>
    <w:p w14:paraId="1F4A0248" w14:textId="38F8E59B" w:rsidR="00815AAA" w:rsidRDefault="001E0DA4" w:rsidP="001E0DA4">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r w:rsidR="00815AAA">
        <w:rPr>
          <w:lang w:eastAsia="zh-CN"/>
        </w:rPr>
        <w:t>。</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